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201295</wp:posOffset>
            </wp:positionH>
            <wp:positionV relativeFrom="page">
              <wp:posOffset>150495</wp:posOffset>
            </wp:positionV>
            <wp:extent cx="714629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31115"/>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258445</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Report of Foreign Private Issuer</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Pursuant to Rule 13a-16 or 15d-16 under the</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month of February 2026</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001-14014</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CREDICORP LTD.</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our subsidiary</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Banco de Credito del Peru:</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Calle Centenario 156</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La Molina 15026</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Lima, Peru </w:t>
      </w:r>
      <w:r>
        <w:rPr>
          <w:rFonts w:ascii="Times New Roman" w:cs="Times New Roman" w:eastAsia="Times New Roman" w:hAnsi="Times New Roman"/>
          <w:sz w:val="16"/>
          <w:szCs w:val="16"/>
          <w:color w:val="auto"/>
        </w:rPr>
        <w:t>(Address of principal executive office)</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69" w:lineRule="exact"/>
        <w:rPr>
          <w:sz w:val="24"/>
          <w:szCs w:val="24"/>
          <w:color w:val="auto"/>
        </w:rPr>
      </w:pPr>
    </w:p>
    <w:p>
      <w:pPr>
        <w:jc w:val="center"/>
        <w:ind w:right="19"/>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-712470</wp:posOffset>
            </wp:positionH>
            <wp:positionV relativeFrom="paragraph">
              <wp:posOffset>217170</wp:posOffset>
            </wp:positionV>
            <wp:extent cx="71462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302260</wp:posOffset>
            </wp:positionV>
            <wp:extent cx="714629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31115"/>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433070</wp:posOffset>
            </wp:positionV>
            <wp:extent cx="714629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9019"/>
          </w:cols>
          <w:pgMar w:left="1440" w:top="466" w:right="1440" w:bottom="1440" w:gutter="0" w:footer="0" w:header="0"/>
        </w:sectPr>
      </w:pPr>
    </w:p>
    <w:bookmarkStart w:id="1" w:name="page2"/>
    <w:bookmarkEnd w:id="1"/>
    <w:p>
      <w:pPr>
        <w:ind w:left="3"/>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2150745"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50745" cy="608965"/>
                    </a:xfrm>
                    <a:prstGeom prst="rect">
                      <a:avLst/>
                    </a:prstGeom>
                    <a:noFill/>
                  </pic:spPr>
                </pic:pic>
              </a:graphicData>
            </a:graphic>
          </wp:anchor>
        </w:drawing>
        <w:t>February 9, 2026</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Securities and Exchange Commission - SEC</w:t>
      </w:r>
    </w:p>
    <w:p>
      <w:pPr>
        <w:spacing w:after="0" w:line="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Re.: MATERIAL EVENT</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Dear Sirs:</w:t>
      </w:r>
    </w:p>
    <w:p>
      <w:pPr>
        <w:spacing w:after="0" w:line="204" w:lineRule="exact"/>
        <w:rPr>
          <w:sz w:val="20"/>
          <w:szCs w:val="20"/>
          <w:color w:val="auto"/>
        </w:rPr>
      </w:pPr>
    </w:p>
    <w:p>
      <w:pPr>
        <w:jc w:val="both"/>
        <w:ind w:left="3"/>
        <w:spacing w:after="0" w:line="264" w:lineRule="auto"/>
        <w:rPr>
          <w:sz w:val="20"/>
          <w:szCs w:val="20"/>
          <w:color w:val="auto"/>
        </w:rPr>
      </w:pPr>
      <w:r>
        <w:rPr>
          <w:rFonts w:ascii="Times New Roman" w:cs="Times New Roman" w:eastAsia="Times New Roman" w:hAnsi="Times New Roman"/>
          <w:sz w:val="16"/>
          <w:szCs w:val="16"/>
          <w:color w:val="auto"/>
        </w:rPr>
        <w:t xml:space="preserve">Credicorp Ltd. (‘Credicorp’) notifies you as a Material Event that, in response to an Official Letter from the Peruvian Superintendency of the Securities Market (SMV) notified to Credicorp on February 2, 2026, requesting information related to a judicial proceeding for the Nullity of an Administrative Act initiated by Credicorp against the SMV, the following response to the SMV (unofficial English translation of the original Spanish text) was published in the Peruvian market in the form of an </w:t>
      </w:r>
      <w:r>
        <w:rPr>
          <w:rFonts w:ascii="Times New Roman" w:cs="Times New Roman" w:eastAsia="Times New Roman" w:hAnsi="Times New Roman"/>
          <w:sz w:val="16"/>
          <w:szCs w:val="16"/>
          <w:i w:val="1"/>
          <w:iCs w:val="1"/>
          <w:color w:val="auto"/>
        </w:rPr>
        <w:t>Hecho 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Importancia </w:t>
      </w:r>
      <w:r>
        <w:rPr>
          <w:rFonts w:ascii="Times New Roman" w:cs="Times New Roman" w:eastAsia="Times New Roman" w:hAnsi="Times New Roman"/>
          <w:sz w:val="16"/>
          <w:szCs w:val="16"/>
          <w:color w:val="auto"/>
        </w:rPr>
        <w:t>(Material Event):</w:t>
      </w:r>
    </w:p>
    <w:p>
      <w:pPr>
        <w:spacing w:after="0" w:line="3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February 4, 2026</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Sirs</w:t>
      </w:r>
    </w:p>
    <w:p>
      <w:pPr>
        <w:spacing w:after="0" w:line="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SUPERINTENDENCY OF SECURITIES MARKET - SMV</w:t>
      </w:r>
    </w:p>
    <w:p>
      <w:pPr>
        <w:spacing w:after="0" w:line="185" w:lineRule="exact"/>
        <w:rPr>
          <w:sz w:val="20"/>
          <w:szCs w:val="20"/>
          <w:color w:val="auto"/>
        </w:rPr>
      </w:pPr>
    </w:p>
    <w:tbl>
      <w:tblPr>
        <w:tblLayout w:type="fixed"/>
        <w:tblInd w:w="13" w:type="dxa"/>
        <w:tblCellMar>
          <w:top w:w="0" w:type="dxa"/>
          <w:left w:w="0" w:type="dxa"/>
          <w:bottom w:w="0" w:type="dxa"/>
          <w:right w:w="0" w:type="dxa"/>
        </w:tblCellMar>
      </w:tblPr>
      <w:tr>
        <w:trPr>
          <w:trHeight w:val="182"/>
        </w:trPr>
        <w:tc>
          <w:tcPr>
            <w:tcW w:w="2000" w:type="dxa"/>
            <w:vAlign w:val="bottom"/>
            <w:tcBorders>
              <w:top w:val="single" w:sz="8" w:color="auto"/>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6"/>
                <w:szCs w:val="16"/>
                <w:color w:val="auto"/>
              </w:rPr>
              <w:t>Reference:</w:t>
            </w:r>
          </w:p>
        </w:tc>
        <w:tc>
          <w:tcPr>
            <w:tcW w:w="820" w:type="dxa"/>
            <w:vAlign w:val="bottom"/>
            <w:tcBorders>
              <w:top w:val="single" w:sz="8" w:color="auto"/>
            </w:tcBorders>
          </w:tcPr>
          <w:p>
            <w:pPr>
              <w:ind w:left="300"/>
              <w:spacing w:after="0" w:line="182" w:lineRule="exact"/>
              <w:rPr>
                <w:sz w:val="20"/>
                <w:szCs w:val="20"/>
                <w:color w:val="auto"/>
              </w:rPr>
            </w:pPr>
            <w:r>
              <w:rPr>
                <w:rFonts w:ascii="Times New Roman" w:cs="Times New Roman" w:eastAsia="Times New Roman" w:hAnsi="Times New Roman"/>
                <w:sz w:val="16"/>
                <w:szCs w:val="16"/>
                <w:color w:val="auto"/>
              </w:rPr>
              <w:t>a)</w:t>
            </w:r>
          </w:p>
        </w:tc>
        <w:tc>
          <w:tcPr>
            <w:tcW w:w="2600" w:type="dxa"/>
            <w:vAlign w:val="bottom"/>
            <w:tcBorders>
              <w:top w:val="single" w:sz="8" w:color="auto"/>
              <w:bottom w:val="single" w:sz="8" w:color="0000EE"/>
            </w:tcBorders>
          </w:tcPr>
          <w:p>
            <w:pPr>
              <w:spacing w:after="0" w:line="182" w:lineRule="exact"/>
              <w:rPr>
                <w:sz w:val="20"/>
                <w:szCs w:val="20"/>
                <w:color w:val="auto"/>
              </w:rPr>
            </w:pPr>
            <w:r>
              <w:rPr>
                <w:rFonts w:ascii="Times New Roman" w:cs="Times New Roman" w:eastAsia="Times New Roman" w:hAnsi="Times New Roman"/>
                <w:sz w:val="16"/>
                <w:szCs w:val="16"/>
                <w:color w:val="0000EE"/>
              </w:rPr>
              <w:t>Official Letter No. 423-2026-SMV/11.1</w:t>
            </w:r>
          </w:p>
        </w:tc>
        <w:tc>
          <w:tcPr>
            <w:tcW w:w="5840" w:type="dxa"/>
            <w:vAlign w:val="bottom"/>
            <w:tcBorders>
              <w:top w:val="single" w:sz="8" w:color="auto"/>
              <w:right w:val="single" w:sz="8" w:color="auto"/>
            </w:tcBorders>
          </w:tcPr>
          <w:p>
            <w:pPr>
              <w:spacing w:after="0"/>
              <w:rPr>
                <w:sz w:val="15"/>
                <w:szCs w:val="15"/>
                <w:color w:val="auto"/>
              </w:rPr>
            </w:pPr>
          </w:p>
        </w:tc>
      </w:tr>
      <w:tr>
        <w:trPr>
          <w:trHeight w:val="215"/>
        </w:trPr>
        <w:tc>
          <w:tcPr>
            <w:tcW w:w="200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b)</w:t>
            </w:r>
          </w:p>
        </w:tc>
        <w:tc>
          <w:tcPr>
            <w:tcW w:w="844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Case File No. 2026004414</w:t>
            </w:r>
          </w:p>
        </w:tc>
      </w:tr>
      <w:tr>
        <w:trPr>
          <w:trHeight w:val="388"/>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Dear Sirs,</w:t>
            </w:r>
          </w:p>
        </w:tc>
        <w:tc>
          <w:tcPr>
            <w:tcW w:w="8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840" w:type="dxa"/>
            <w:vAlign w:val="bottom"/>
          </w:tcPr>
          <w:p>
            <w:pPr>
              <w:spacing w:after="0"/>
              <w:rPr>
                <w:sz w:val="24"/>
                <w:szCs w:val="24"/>
                <w:color w:val="auto"/>
              </w:rPr>
            </w:pPr>
          </w:p>
        </w:tc>
      </w:tr>
    </w:tbl>
    <w:p>
      <w:pPr>
        <w:spacing w:after="0" w:line="178" w:lineRule="exact"/>
        <w:rPr>
          <w:sz w:val="20"/>
          <w:szCs w:val="20"/>
          <w:color w:val="auto"/>
        </w:rPr>
      </w:pPr>
    </w:p>
    <w:p>
      <w:pPr>
        <w:jc w:val="both"/>
        <w:ind w:left="3"/>
        <w:spacing w:after="0" w:line="197" w:lineRule="exact"/>
        <w:rPr>
          <w:sz w:val="20"/>
          <w:szCs w:val="20"/>
          <w:color w:val="auto"/>
        </w:rPr>
      </w:pPr>
      <w:r>
        <w:rPr>
          <w:rFonts w:ascii="Times New Roman" w:cs="Times New Roman" w:eastAsia="Times New Roman" w:hAnsi="Times New Roman"/>
          <w:sz w:val="16"/>
          <w:szCs w:val="16"/>
          <w:color w:val="auto"/>
        </w:rPr>
        <w:t xml:space="preserve">We refer to the Official Letter cited in the reference (the “Official Letter”), through which the General Intendency of Conduct Supervision has requested that we address certain inquiries in connection with the judicial proceeding for the Nullity of an Administrative Act initiated by Credicorp Ltd. (“Credicorp”) against the SMV. In said proceeding, Credicorp seeks the nullity of the SMV’s deemed resolution, which, by operation of negative administrative silence, dismissed the appeal filed by Credicorp against </w:t>
      </w:r>
      <w:r>
        <w:rPr>
          <w:rFonts w:ascii="Times New Roman" w:cs="Times New Roman" w:eastAsia="Times New Roman" w:hAnsi="Times New Roman"/>
          <w:sz w:val="16"/>
          <w:szCs w:val="16"/>
          <w:u w:val="single" w:color="auto"/>
          <w:color w:val="0000EE"/>
        </w:rPr>
        <w:t>Deputy Superintendency Resolution N.° 012</w:t>
      </w:r>
      <w:r>
        <w:rPr>
          <w:rFonts w:ascii="MS PGothic" w:cs="MS PGothic" w:eastAsia="MS PGothic" w:hAnsi="MS PGothic"/>
          <w:sz w:val="16"/>
          <w:szCs w:val="16"/>
          <w:u w:val="single" w:color="auto"/>
          <w:color w:val="0000EE"/>
        </w:rPr>
        <w:t>‑</w:t>
      </w:r>
      <w:r>
        <w:rPr>
          <w:rFonts w:ascii="Times New Roman" w:cs="Times New Roman" w:eastAsia="Times New Roman" w:hAnsi="Times New Roman"/>
          <w:sz w:val="16"/>
          <w:szCs w:val="16"/>
          <w:u w:val="single" w:color="auto"/>
          <w:color w:val="0000EE"/>
        </w:rPr>
        <w:t>2021</w:t>
      </w:r>
      <w:r>
        <w:rPr>
          <w:rFonts w:ascii="MS PGothic" w:cs="MS PGothic" w:eastAsia="MS PGothic" w:hAnsi="MS PGothic"/>
          <w:sz w:val="16"/>
          <w:szCs w:val="16"/>
          <w:u w:val="single" w:color="auto"/>
          <w:color w:val="0000EE"/>
        </w:rPr>
        <w:t>‑</w:t>
      </w:r>
      <w:r>
        <w:rPr>
          <w:rFonts w:ascii="Times New Roman" w:cs="Times New Roman" w:eastAsia="Times New Roman" w:hAnsi="Times New Roman"/>
          <w:sz w:val="16"/>
          <w:szCs w:val="16"/>
          <w:u w:val="single" w:color="auto"/>
          <w:color w:val="0000EE"/>
        </w:rPr>
        <w:t>SMV/11</w:t>
      </w:r>
      <w:r>
        <w:rPr>
          <w:rFonts w:ascii="Times New Roman" w:cs="Times New Roman" w:eastAsia="Times New Roman" w:hAnsi="Times New Roman"/>
          <w:sz w:val="16"/>
          <w:szCs w:val="16"/>
          <w:color w:val="auto"/>
        </w:rPr>
        <w:t xml:space="preserve">. The request relates specifically to </w:t>
      </w:r>
      <w:r>
        <w:rPr>
          <w:rFonts w:ascii="Times New Roman" w:cs="Times New Roman" w:eastAsia="Times New Roman" w:hAnsi="Times New Roman"/>
          <w:sz w:val="16"/>
          <w:szCs w:val="16"/>
          <w:u w:val="single" w:color="auto"/>
          <w:color w:val="0000EE"/>
        </w:rPr>
        <w:t>Resolution N.° S/N</w:t>
      </w:r>
      <w:r>
        <w:rPr>
          <w:rFonts w:ascii="Times New Roman" w:cs="Times New Roman" w:eastAsia="Times New Roman" w:hAnsi="Times New Roman"/>
          <w:sz w:val="16"/>
          <w:szCs w:val="16"/>
          <w:color w:val="auto"/>
        </w:rPr>
        <w:t xml:space="preserve"> dated November 26, 2025, issued by the Permanent Civil Chamber of the Supreme Court of the Republic, acting as an appellate court, which resolved to uphold the first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instance judgment dated August 15, 2023, that declared the claim unfounded (the “Resolution”).</w:t>
      </w:r>
    </w:p>
    <w:p>
      <w:pPr>
        <w:spacing w:after="0" w:line="18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Below, we respond to the information request contained in the Official Letter, following the same order in which the questions were presented, as detailed below:</w:t>
      </w:r>
    </w:p>
    <w:p>
      <w:pPr>
        <w:spacing w:after="0" w:line="202" w:lineRule="exact"/>
        <w:rPr>
          <w:sz w:val="20"/>
          <w:szCs w:val="20"/>
          <w:color w:val="auto"/>
        </w:rPr>
      </w:pPr>
    </w:p>
    <w:p>
      <w:pPr>
        <w:ind w:left="283" w:hanging="283"/>
        <w:spacing w:after="0"/>
        <w:tabs>
          <w:tab w:leader="none" w:pos="283"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Question N.° 1: Specify the date on which the Resolution was notified to Credicorp.</w:t>
      </w:r>
    </w:p>
    <w:p>
      <w:pPr>
        <w:spacing w:after="0" w:line="204"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Response to Question N.° 1: </w:t>
      </w:r>
      <w:r>
        <w:rPr>
          <w:rFonts w:ascii="Times New Roman" w:cs="Times New Roman" w:eastAsia="Times New Roman" w:hAnsi="Times New Roman"/>
          <w:sz w:val="16"/>
          <w:szCs w:val="16"/>
          <w:color w:val="auto"/>
        </w:rPr>
        <w:t>The Resolution was notified to Credicorp on January 29, 2026.</w:t>
      </w:r>
    </w:p>
    <w:p>
      <w:pPr>
        <w:spacing w:after="0" w:line="204" w:lineRule="exact"/>
        <w:rPr>
          <w:rFonts w:ascii="Times New Roman" w:cs="Times New Roman" w:eastAsia="Times New Roman" w:hAnsi="Times New Roman"/>
          <w:sz w:val="16"/>
          <w:szCs w:val="16"/>
          <w:b w:val="1"/>
          <w:bCs w:val="1"/>
          <w:color w:val="auto"/>
        </w:rPr>
      </w:pPr>
    </w:p>
    <w:p>
      <w:pPr>
        <w:ind w:left="283" w:hanging="283"/>
        <w:spacing w:after="0"/>
        <w:tabs>
          <w:tab w:leader="none" w:pos="283"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Question N.° 2: Explain the reasons why Credicorp did not disclose the information regarding the Resolution as a material event.</w:t>
      </w:r>
    </w:p>
    <w:p>
      <w:pPr>
        <w:spacing w:after="0" w:line="204"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Response to Question N.° 2</w:t>
      </w:r>
      <w:r>
        <w:rPr>
          <w:rFonts w:ascii="Times New Roman" w:cs="Times New Roman" w:eastAsia="Times New Roman" w:hAnsi="Times New Roman"/>
          <w:sz w:val="16"/>
          <w:szCs w:val="16"/>
          <w:color w:val="auto"/>
        </w:rPr>
        <w:t>: The notification of the Resolution was not disclosed as a material event because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it does not constitute a final and binding decision</w:t>
      </w:r>
      <w:r>
        <w:rPr>
          <w:rFonts w:ascii="Times New Roman" w:cs="Times New Roman" w:eastAsia="Times New Roman" w:hAnsi="Times New Roman"/>
          <w:sz w:val="16"/>
          <w:szCs w:val="16"/>
          <w:color w:val="auto"/>
        </w:rPr>
        <w:t>.</w:t>
      </w:r>
    </w:p>
    <w:p>
      <w:pPr>
        <w:spacing w:after="0" w:line="206" w:lineRule="exact"/>
        <w:rPr>
          <w:rFonts w:ascii="Times New Roman" w:cs="Times New Roman" w:eastAsia="Times New Roman" w:hAnsi="Times New Roman"/>
          <w:sz w:val="16"/>
          <w:szCs w:val="16"/>
          <w:b w:val="1"/>
          <w:bCs w:val="1"/>
          <w:color w:val="auto"/>
        </w:rPr>
      </w:pPr>
    </w:p>
    <w:p>
      <w:pPr>
        <w:jc w:val="both"/>
        <w:ind w:left="283" w:right="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Specifically, the Resolution corresponds to the decision issued by the Permanent Civil Chamber of the Supreme Court of the Republic at the appellate level. In this regard, pursuant to Articles 11 and 34 of the Consolidated Text of Law N.° 27584, the Law governing Administrative Contentious Proceedings, Credicorp may file a cassation appeal against the Resolution for review by the Constitutional and Social Chamber of the Supreme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14629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76" w:right="319" w:bottom="1440" w:gutter="0" w:footer="0" w:header="0"/>
        </w:sectPr>
      </w:pPr>
    </w:p>
    <w:bookmarkStart w:id="2" w:name="page3"/>
    <w:bookmarkEnd w:id="2"/>
    <w:p>
      <w:pPr>
        <w:ind w:left="283"/>
        <w:spacing w:after="0"/>
        <w:rPr>
          <w:sz w:val="20"/>
          <w:szCs w:val="20"/>
          <w:color w:val="auto"/>
        </w:rPr>
      </w:pPr>
      <w:r>
        <w:rPr>
          <w:rFonts w:ascii="Times New Roman" w:cs="Times New Roman" w:eastAsia="Times New Roman" w:hAnsi="Times New Roman"/>
          <w:sz w:val="16"/>
          <w:szCs w:val="16"/>
          <w:color w:val="auto"/>
        </w:rPr>
        <w:t>As of this date, the statutory period for filing such cassation appeal remains in force and will expire on February 12, 2026.</w:t>
      </w:r>
    </w:p>
    <w:p>
      <w:pPr>
        <w:spacing w:after="0" w:line="204" w:lineRule="exact"/>
        <w:rPr>
          <w:sz w:val="20"/>
          <w:szCs w:val="20"/>
          <w:color w:val="auto"/>
        </w:rPr>
      </w:pPr>
    </w:p>
    <w:p>
      <w:pPr>
        <w:ind w:left="283" w:right="20"/>
        <w:spacing w:after="0" w:line="287" w:lineRule="auto"/>
        <w:rPr>
          <w:sz w:val="20"/>
          <w:szCs w:val="20"/>
          <w:color w:val="auto"/>
        </w:rPr>
      </w:pPr>
      <w:r>
        <w:rPr>
          <w:rFonts w:ascii="Times New Roman" w:cs="Times New Roman" w:eastAsia="Times New Roman" w:hAnsi="Times New Roman"/>
          <w:sz w:val="16"/>
          <w:szCs w:val="16"/>
          <w:color w:val="auto"/>
        </w:rPr>
        <w:t>Accordingly, the Resolution is subject to challenge and, therefore, is not final. As such, it does not determine the final and definitive outcome of the aforementioned judicial proceeding and, on this basis, we consider that it is not required to be disclosed as a material event.</w:t>
      </w:r>
    </w:p>
    <w:p>
      <w:pPr>
        <w:spacing w:after="0" w:line="141" w:lineRule="exact"/>
        <w:rPr>
          <w:sz w:val="20"/>
          <w:szCs w:val="20"/>
          <w:color w:val="auto"/>
        </w:rPr>
      </w:pPr>
    </w:p>
    <w:p>
      <w:pPr>
        <w:ind w:left="283" w:right="20" w:hanging="283"/>
        <w:spacing w:after="0" w:line="290" w:lineRule="auto"/>
        <w:tabs>
          <w:tab w:leader="none" w:pos="283"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Question N.° 3: Considering that the aforementioned judicial proceeding has resulted in unfavorable decisions for Credicorp in both first and second instance, indicate whether these decisions conclude the proceeding, or whether Credicorp will file any further appeal, as applicable.</w:t>
      </w:r>
    </w:p>
    <w:p>
      <w:pPr>
        <w:spacing w:after="0" w:line="138" w:lineRule="exact"/>
        <w:rPr>
          <w:rFonts w:ascii="Times New Roman" w:cs="Times New Roman" w:eastAsia="Times New Roman" w:hAnsi="Times New Roman"/>
          <w:sz w:val="16"/>
          <w:szCs w:val="16"/>
          <w:b w:val="1"/>
          <w:bCs w:val="1"/>
          <w:color w:val="auto"/>
        </w:rPr>
      </w:pPr>
    </w:p>
    <w:p>
      <w:pPr>
        <w:ind w:left="283" w:right="20"/>
        <w:spacing w:after="0" w:line="29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Response to Question N.° 3</w:t>
      </w:r>
      <w:r>
        <w:rPr>
          <w:rFonts w:ascii="Times New Roman" w:cs="Times New Roman" w:eastAsia="Times New Roman" w:hAnsi="Times New Roman"/>
          <w:sz w:val="16"/>
          <w:szCs w:val="16"/>
          <w:color w:val="auto"/>
        </w:rPr>
        <w:t>: As stated in the response to Question No. 2, the statutory period for Credicorp to exercise its right to file a cassation appeal against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Resolution remains in force. Credicorp is currently assessing whether it will file a cassation appeal, in accordance with its legal rights.</w:t>
      </w:r>
    </w:p>
    <w:p>
      <w:pPr>
        <w:spacing w:after="0" w:line="138" w:lineRule="exact"/>
        <w:rPr>
          <w:rFonts w:ascii="Times New Roman" w:cs="Times New Roman" w:eastAsia="Times New Roman" w:hAnsi="Times New Roman"/>
          <w:sz w:val="16"/>
          <w:szCs w:val="16"/>
          <w:b w:val="1"/>
          <w:bCs w:val="1"/>
          <w:color w:val="auto"/>
        </w:rPr>
      </w:pPr>
    </w:p>
    <w:p>
      <w:pPr>
        <w:ind w:left="283" w:right="20" w:hanging="283"/>
        <w:spacing w:after="0" w:line="290" w:lineRule="auto"/>
        <w:tabs>
          <w:tab w:leader="none" w:pos="283"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Question N.° 4: Indicate in which line items and notes of Credicorp’s financial statements the fine imposed by the SMV has been recognized, the effects of the Resolution on such line items, and any other information related to the Resolution and its impact on Credicorp or on its financial statements.</w:t>
      </w:r>
    </w:p>
    <w:p>
      <w:pPr>
        <w:spacing w:after="0" w:line="104" w:lineRule="exact"/>
        <w:rPr>
          <w:rFonts w:ascii="Times New Roman" w:cs="Times New Roman" w:eastAsia="Times New Roman" w:hAnsi="Times New Roman"/>
          <w:sz w:val="16"/>
          <w:szCs w:val="16"/>
          <w:b w:val="1"/>
          <w:bCs w:val="1"/>
          <w:color w:val="auto"/>
        </w:rPr>
      </w:pPr>
    </w:p>
    <w:p>
      <w:pPr>
        <w:jc w:val="both"/>
        <w:ind w:left="283" w:right="20"/>
        <w:spacing w:after="0" w:line="219" w:lineRule="exact"/>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Response to Question N.° 4</w:t>
      </w:r>
      <w:r>
        <w:rPr>
          <w:rFonts w:ascii="Times New Roman" w:cs="Times New Roman" w:eastAsia="Times New Roman" w:hAnsi="Times New Roman"/>
          <w:sz w:val="16"/>
          <w:szCs w:val="16"/>
          <w:color w:val="auto"/>
        </w:rPr>
        <w:t>: The fine imposed by the SMV through Deputy Superintendency Resolution N.° 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was paid by Credicorp on December 9,</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2021. This is reflected in Note 35(iii) of Credicorp’s Annual Consolidated Audited Financial Statements as of December 31, 2021, which discloses information regarding the administrative sanctioning proceeding and its outcome, the payment of the fine by Credicorp, and the initiation of the administrative contentious proceeding.</w:t>
      </w:r>
    </w:p>
    <w:p>
      <w:pPr>
        <w:spacing w:after="0" w:line="349" w:lineRule="exact"/>
        <w:rPr>
          <w:rFonts w:ascii="Times New Roman" w:cs="Times New Roman" w:eastAsia="Times New Roman" w:hAnsi="Times New Roman"/>
          <w:sz w:val="16"/>
          <w:szCs w:val="16"/>
          <w:b w:val="1"/>
          <w:bCs w:val="1"/>
          <w:color w:val="auto"/>
        </w:rPr>
      </w:pPr>
    </w:p>
    <w:p>
      <w:pPr>
        <w:ind w:left="283" w:hanging="283"/>
        <w:spacing w:after="0"/>
        <w:tabs>
          <w:tab w:leader="none" w:pos="283"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Question N.° 5: In the event that the facts previously set forth are not accurate, provide detailed and duly documented clarifications.</w:t>
      </w:r>
    </w:p>
    <w:p>
      <w:pPr>
        <w:spacing w:after="0" w:line="204" w:lineRule="exact"/>
        <w:rPr>
          <w:rFonts w:ascii="Times New Roman" w:cs="Times New Roman" w:eastAsia="Times New Roman" w:hAnsi="Times New Roman"/>
          <w:sz w:val="16"/>
          <w:szCs w:val="16"/>
          <w:b w:val="1"/>
          <w:bCs w:val="1"/>
          <w:color w:val="auto"/>
        </w:rPr>
      </w:pPr>
    </w:p>
    <w:p>
      <w:pPr>
        <w:ind w:left="28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Response to Question No. 5: </w:t>
      </w:r>
      <w:r>
        <w:rPr>
          <w:rFonts w:ascii="Times New Roman" w:cs="Times New Roman" w:eastAsia="Times New Roman" w:hAnsi="Times New Roman"/>
          <w:sz w:val="16"/>
          <w:szCs w:val="16"/>
          <w:color w:val="auto"/>
        </w:rPr>
        <w:t>There are no additional clarifications beyond those already provided.</w:t>
      </w:r>
    </w:p>
    <w:p>
      <w:pPr>
        <w:spacing w:after="0" w:line="204" w:lineRule="exact"/>
        <w:rPr>
          <w:rFonts w:ascii="Times New Roman" w:cs="Times New Roman" w:eastAsia="Times New Roman" w:hAnsi="Times New Roman"/>
          <w:sz w:val="16"/>
          <w:szCs w:val="16"/>
          <w:b w:val="1"/>
          <w:bCs w:val="1"/>
          <w:color w:val="auto"/>
        </w:rPr>
      </w:pPr>
    </w:p>
    <w:p>
      <w:pPr>
        <w:ind w:left="283" w:hanging="283"/>
        <w:spacing w:after="0"/>
        <w:tabs>
          <w:tab w:leader="none" w:pos="283"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Question N.° 6: Any other additional information and/or supporting documentation related to the matters addressed in this request.</w:t>
      </w:r>
    </w:p>
    <w:p>
      <w:pPr>
        <w:spacing w:after="0" w:line="204"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b w:val="1"/>
          <w:bCs w:val="1"/>
          <w:color w:val="auto"/>
        </w:rPr>
        <w:t xml:space="preserve">Response to Question N.° 6: </w:t>
      </w:r>
      <w:r>
        <w:rPr>
          <w:rFonts w:ascii="Times New Roman" w:cs="Times New Roman" w:eastAsia="Times New Roman" w:hAnsi="Times New Roman"/>
          <w:sz w:val="16"/>
          <w:szCs w:val="16"/>
          <w:color w:val="auto"/>
        </w:rPr>
        <w:t>There is no additional information and/or supporting documentation other than that indicated above.</w:t>
      </w:r>
    </w:p>
    <w:p>
      <w:pPr>
        <w:spacing w:after="0" w:line="171" w:lineRule="exact"/>
        <w:rPr>
          <w:sz w:val="20"/>
          <w:szCs w:val="20"/>
          <w:color w:val="auto"/>
        </w:rPr>
      </w:pPr>
    </w:p>
    <w:p>
      <w:pPr>
        <w:jc w:val="both"/>
        <w:ind w:left="3" w:right="20"/>
        <w:spacing w:after="0" w:line="221" w:lineRule="exact"/>
        <w:rPr>
          <w:sz w:val="20"/>
          <w:szCs w:val="20"/>
          <w:color w:val="auto"/>
        </w:rPr>
      </w:pPr>
      <w:r>
        <w:rPr>
          <w:rFonts w:ascii="Times New Roman" w:cs="Times New Roman" w:eastAsia="Times New Roman" w:hAnsi="Times New Roman"/>
          <w:sz w:val="16"/>
          <w:szCs w:val="16"/>
          <w:color w:val="auto"/>
        </w:rPr>
        <w:t>In accordance with the request made by the SMV, a copy of Official Letter No. 423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and its annexes, including a copy of the Resolution, is attached hereto as an appendix.</w:t>
      </w:r>
    </w:p>
    <w:p>
      <w:pPr>
        <w:spacing w:after="0" w:line="179" w:lineRule="exact"/>
        <w:rPr>
          <w:sz w:val="20"/>
          <w:szCs w:val="20"/>
          <w:color w:val="auto"/>
        </w:rPr>
      </w:pPr>
    </w:p>
    <w:p>
      <w:pPr>
        <w:jc w:val="both"/>
        <w:ind w:left="3"/>
        <w:spacing w:after="0" w:line="260" w:lineRule="auto"/>
        <w:rPr>
          <w:sz w:val="20"/>
          <w:szCs w:val="20"/>
          <w:color w:val="auto"/>
        </w:rPr>
      </w:pPr>
      <w:r>
        <w:rPr>
          <w:rFonts w:ascii="Times New Roman" w:cs="Times New Roman" w:eastAsia="Times New Roman" w:hAnsi="Times New Roman"/>
          <w:sz w:val="16"/>
          <w:szCs w:val="16"/>
          <w:color w:val="auto"/>
        </w:rPr>
        <w:t>Without prejudice to our compliance with the authority’s request, we must note that, as stated in the response to Question No. 2, the Resolution is subject to challenge and, therefore, is not final. Accordingly, we consider that the Resolution does not constitute a material event requiring mandatory disclosure under the Securities Market Law and the Regulation on Material Events and Reserved Information, as well as the Supervisory Guidance on the Material Events Regime for Issuers: Relevance Criteria and Transparency Obligations. In particular, the latter guidance provides that “a material event must be disclosed when the judgment that brings the final instance to an end (i.e., once the administrative/judicial/arbitral remedies have been exhausted or when the decision is immediately enforceable) is notified to the issuer.” As explained above, this has not occurred in the present case, since the Resolution remains subject to a cassation appeal.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214630</wp:posOffset>
            </wp:positionV>
            <wp:extent cx="714629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color w:val="auto"/>
        </w:rPr>
        <w:t>Yours truly,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CREDICORP LTD.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Guillermo Morales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Representative</w:t>
      </w:r>
    </w:p>
    <w:p>
      <w:pPr>
        <w:spacing w:after="0" w:line="153"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6"/>
          <w:szCs w:val="16"/>
          <w:color w:val="auto"/>
        </w:rPr>
        <w:t>Pursuant to the request made by the SMV through Official Letter N.° 423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we disclosed the referenced Official Letter and its annexes to the Peruvian market as a Material Event. Accordingly, the attached Official Letter and its annexes are unofficial English translations of the original documents issued in Spanish.</w:t>
      </w:r>
    </w:p>
    <w:p>
      <w:pPr>
        <w:spacing w:after="0" w:line="17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u w:val="single" w:color="auto"/>
          <w:color w:val="auto"/>
        </w:rPr>
        <w:t>Guillermo Morales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Representative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14629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6" w:lineRule="exact"/>
        <w:rPr>
          <w:sz w:val="20"/>
          <w:szCs w:val="20"/>
          <w:color w:val="auto"/>
        </w:rPr>
      </w:pPr>
    </w:p>
    <w:p>
      <w:pPr>
        <w:ind w:firstLine="481"/>
        <w:spacing w:after="0" w:line="287"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9, 2026</w:t>
      </w:r>
    </w:p>
    <w:p>
      <w:pPr>
        <w:spacing w:after="0" w:line="2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CREDICORP LTD.</w:t>
      </w:r>
    </w:p>
    <w:p>
      <w:pPr>
        <w:spacing w:after="0" w:line="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(Registrant)</w:t>
      </w:r>
    </w:p>
    <w:p>
      <w:pPr>
        <w:spacing w:after="0" w:line="189" w:lineRule="exact"/>
        <w:rPr>
          <w:sz w:val="20"/>
          <w:szCs w:val="20"/>
          <w:color w:val="auto"/>
        </w:rPr>
      </w:pPr>
    </w:p>
    <w:p>
      <w:pPr>
        <w:ind w:left="5580"/>
        <w:spacing w:after="0"/>
        <w:tabs>
          <w:tab w:leader="none" w:pos="61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17145</wp:posOffset>
            </wp:positionV>
            <wp:extent cx="238188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1885" cy="15240"/>
                    </a:xfrm>
                    <a:prstGeom prst="rect">
                      <a:avLst/>
                    </a:prstGeom>
                    <a:noFill/>
                  </pic:spPr>
                </pic:pic>
              </a:graphicData>
            </a:graphic>
          </wp:anchor>
        </w:drawing>
      </w:r>
    </w:p>
    <w:p>
      <w:pPr>
        <w:spacing w:after="0" w:line="1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b w:val="1"/>
          <w:bCs w:val="1"/>
          <w:color w:val="auto"/>
        </w:rPr>
        <w:t>Guillermo Morales</w:t>
      </w:r>
    </w:p>
    <w:p>
      <w:pPr>
        <w:spacing w:after="0" w:line="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299720</wp:posOffset>
            </wp:positionV>
            <wp:extent cx="714629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1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290" cy="31115"/>
                    </a:xfrm>
                    <a:prstGeom prst="rect">
                      <a:avLst/>
                    </a:prstGeom>
                    <a:noFill/>
                  </pic:spPr>
                </pic:pic>
              </a:graphicData>
            </a:graphic>
          </wp:anchor>
        </w:drawing>
        <w:t>Annex 1</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San Isidro, February 2, 2026</w:t>
      </w:r>
    </w:p>
    <w:p>
      <w:pPr>
        <w:spacing w:after="0" w:line="169" w:lineRule="exact"/>
        <w:rPr>
          <w:sz w:val="20"/>
          <w:szCs w:val="20"/>
          <w:color w:val="auto"/>
        </w:rPr>
      </w:pPr>
    </w:p>
    <w:p>
      <w:pPr>
        <w:ind w:left="3"/>
        <w:spacing w:after="0" w:line="184" w:lineRule="exact"/>
        <w:rPr>
          <w:sz w:val="20"/>
          <w:szCs w:val="20"/>
          <w:color w:val="auto"/>
        </w:rPr>
      </w:pPr>
      <w:r>
        <w:rPr>
          <w:rFonts w:ascii="Times New Roman" w:cs="Times New Roman" w:eastAsia="Times New Roman" w:hAnsi="Times New Roman"/>
          <w:sz w:val="16"/>
          <w:szCs w:val="16"/>
          <w:b w:val="1"/>
          <w:bCs w:val="1"/>
          <w:u w:val="single" w:color="auto"/>
          <w:color w:val="auto"/>
        </w:rPr>
        <w:t>OFFICIAL LETTER No. 423</w:t>
      </w:r>
      <w:r>
        <w:rPr>
          <w:rFonts w:ascii="MS PGothic" w:cs="MS PGothic" w:eastAsia="MS PGothic" w:hAnsi="MS PGothic"/>
          <w:sz w:val="16"/>
          <w:szCs w:val="16"/>
          <w:u w:val="single" w:color="auto"/>
          <w:color w:val="auto"/>
          <w:strike w:val="1"/>
        </w:rPr>
        <w:t>‑</w:t>
      </w:r>
      <w:r>
        <w:rPr>
          <w:rFonts w:ascii="Times New Roman" w:cs="Times New Roman" w:eastAsia="Times New Roman" w:hAnsi="Times New Roman"/>
          <w:sz w:val="16"/>
          <w:szCs w:val="16"/>
          <w:b w:val="1"/>
          <w:bCs w:val="1"/>
          <w:u w:val="single" w:color="auto"/>
          <w:color w:val="auto"/>
        </w:rPr>
        <w:t>2026</w:t>
      </w:r>
      <w:r>
        <w:rPr>
          <w:rFonts w:ascii="MS PGothic" w:cs="MS PGothic" w:eastAsia="MS PGothic" w:hAnsi="MS PGothic"/>
          <w:sz w:val="16"/>
          <w:szCs w:val="16"/>
          <w:u w:val="single" w:color="auto"/>
          <w:color w:val="auto"/>
          <w:strike w:val="1"/>
        </w:rPr>
        <w:t>‑</w:t>
      </w:r>
      <w:r>
        <w:rPr>
          <w:rFonts w:ascii="Times New Roman" w:cs="Times New Roman" w:eastAsia="Times New Roman" w:hAnsi="Times New Roman"/>
          <w:sz w:val="16"/>
          <w:szCs w:val="16"/>
          <w:b w:val="1"/>
          <w:bCs w:val="1"/>
          <w:u w:val="single" w:color="auto"/>
          <w:color w:val="auto"/>
        </w:rPr>
        <w:t>SMV/11.1</w:t>
      </w:r>
    </w:p>
    <w:p>
      <w:pPr>
        <w:spacing w:after="0" w:line="23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Mr. Gianfranco Ferrari de las Casas</w:t>
      </w:r>
    </w:p>
    <w:p>
      <w:pPr>
        <w:spacing w:after="0" w:line="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CREDICORP LTD.</w:t>
      </w:r>
    </w:p>
    <w:p>
      <w:pPr>
        <w:spacing w:after="0" w:line="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Clarendon House 2 Church Street Hm11 – Bermuda</w:t>
      </w:r>
    </w:p>
    <w:p>
      <w:pPr>
        <w:spacing w:after="0" w:line="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u w:val="single" w:color="auto"/>
          <w:color w:val="auto"/>
        </w:rPr>
        <w:t>Present.–</w:t>
      </w:r>
    </w:p>
    <w:p>
      <w:pPr>
        <w:spacing w:after="0" w:line="10" w:lineRule="exact"/>
        <w:rPr>
          <w:sz w:val="20"/>
          <w:szCs w:val="20"/>
          <w:color w:val="auto"/>
        </w:rPr>
      </w:pPr>
    </w:p>
    <w:p>
      <w:pPr>
        <w:ind w:left="9483"/>
        <w:spacing w:after="0"/>
        <w:rPr>
          <w:sz w:val="20"/>
          <w:szCs w:val="20"/>
          <w:color w:val="auto"/>
        </w:rPr>
      </w:pPr>
      <w:r>
        <w:rPr>
          <w:rFonts w:ascii="Times New Roman" w:cs="Times New Roman" w:eastAsia="Times New Roman" w:hAnsi="Times New Roman"/>
          <w:sz w:val="16"/>
          <w:szCs w:val="16"/>
          <w:b w:val="1"/>
          <w:bCs w:val="1"/>
          <w:color w:val="auto"/>
        </w:rPr>
        <w:t>Ref.: File No. 2026004414</w:t>
      </w:r>
    </w:p>
    <w:p>
      <w:pPr>
        <w:spacing w:after="0" w:line="180" w:lineRule="exact"/>
        <w:rPr>
          <w:sz w:val="20"/>
          <w:szCs w:val="20"/>
          <w:color w:val="auto"/>
        </w:rPr>
      </w:pPr>
    </w:p>
    <w:p>
      <w:pPr>
        <w:jc w:val="both"/>
        <w:ind w:left="3"/>
        <w:spacing w:after="0" w:line="230" w:lineRule="exact"/>
        <w:rPr>
          <w:sz w:val="20"/>
          <w:szCs w:val="20"/>
          <w:color w:val="auto"/>
        </w:rPr>
      </w:pPr>
      <w:r>
        <w:rPr>
          <w:rFonts w:ascii="Times New Roman" w:cs="Times New Roman" w:eastAsia="Times New Roman" w:hAnsi="Times New Roman"/>
          <w:sz w:val="16"/>
          <w:szCs w:val="16"/>
          <w:color w:val="auto"/>
        </w:rPr>
        <w:t>We write to you in relation to the legal mandates established mainly in Articles 1</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10</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12</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and 30</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of the Consolidated Text of the Securities Market Law, Legislative Decree No. 861, approved by Supreme Decree No. 020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 (hereinafter, TUO LMV), by virtue of which CREDICORP LTD. (hereinafter, CREDICORP), in its capacity as an issuing company with securities registered in the Public Registry of the Securities Market (RPMV), is required to disclose all information about itself, its securities, and their offering, that qualifies as material events, ensuring that such disclosure complies with the requirements of truthfulness, sufficiency and timeliness, and other requirements established in the Regulation on Material Events and Reserved Information, approved by SMV Resolution No. 005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(hereinafter, the MI Regulation)</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6"/>
          <w:szCs w:val="16"/>
          <w:color w:val="auto"/>
        </w:rPr>
        <w:t>.</w:t>
      </w:r>
    </w:p>
    <w:p>
      <w:pPr>
        <w:spacing w:after="0" w:line="2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Likewise, it must be taken into account that section 9.2 of Article 9; section 6.4 of Article 6; and item 33 of ANNEX 1 of the MI Regulation establish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142621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6210" cy="15240"/>
                    </a:xfrm>
                    <a:prstGeom prst="rect">
                      <a:avLst/>
                    </a:prstGeom>
                    <a:noFill/>
                  </pic:spPr>
                </pic:pic>
              </a:graphicData>
            </a:graphic>
          </wp:anchor>
        </w:drawing>
      </w:r>
    </w:p>
    <w:p>
      <w:pPr>
        <w:spacing w:after="0" w:line="399" w:lineRule="exact"/>
        <w:rPr>
          <w:sz w:val="20"/>
          <w:szCs w:val="20"/>
          <w:color w:val="auto"/>
        </w:rPr>
      </w:pPr>
    </w:p>
    <w:p>
      <w:pPr>
        <w:ind w:left="3" w:right="20" w:hanging="3"/>
        <w:spacing w:after="0" w:line="198" w:lineRule="auto"/>
        <w:tabs>
          <w:tab w:leader="none" w:pos="123"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i w:val="1"/>
          <w:iCs w:val="1"/>
          <w:color w:val="auto"/>
        </w:rPr>
        <w:t xml:space="preserve">“Article 1.– Purpose and Scope of the Law.– The purpose of this law is to promote the orderly development and </w:t>
      </w:r>
      <w:r>
        <w:rPr>
          <w:rFonts w:ascii="Times New Roman" w:cs="Times New Roman" w:eastAsia="Times New Roman" w:hAnsi="Times New Roman"/>
          <w:sz w:val="16"/>
          <w:szCs w:val="16"/>
          <w:b w:val="1"/>
          <w:bCs w:val="1"/>
          <w:i w:val="1"/>
          <w:iCs w:val="1"/>
          <w:u w:val="single" w:color="auto"/>
          <w:color w:val="auto"/>
        </w:rPr>
        <w:t>transparency of the securities market</w:t>
      </w:r>
      <w:r>
        <w:rPr>
          <w:rFonts w:ascii="Times New Roman" w:cs="Times New Roman" w:eastAsia="Times New Roman" w:hAnsi="Times New Roman"/>
          <w:sz w:val="16"/>
          <w:szCs w:val="16"/>
          <w:i w:val="1"/>
          <w:iCs w:val="1"/>
          <w:color w:val="auto"/>
        </w:rPr>
        <w:t xml:space="preserve">, as well as the </w:t>
      </w:r>
      <w:r>
        <w:rPr>
          <w:rFonts w:ascii="Times New Roman" w:cs="Times New Roman" w:eastAsia="Times New Roman" w:hAnsi="Times New Roman"/>
          <w:sz w:val="16"/>
          <w:szCs w:val="16"/>
          <w:b w:val="1"/>
          <w:bCs w:val="1"/>
          <w:i w:val="1"/>
          <w:iCs w:val="1"/>
          <w:u w:val="single" w:color="auto"/>
          <w:color w:val="auto"/>
        </w:rPr>
        <w:t>adequate protection of investors</w:t>
      </w:r>
      <w:r>
        <w:rPr>
          <w:rFonts w:ascii="Times New Roman" w:cs="Times New Roman" w:eastAsia="Times New Roman" w:hAnsi="Times New Roman"/>
          <w:sz w:val="16"/>
          <w:szCs w:val="16"/>
          <w:i w:val="1"/>
          <w:iCs w:val="1"/>
          <w:color w:val="auto"/>
        </w:rPr>
        <w:t>. (…)”</w:t>
      </w:r>
    </w:p>
    <w:p>
      <w:pPr>
        <w:spacing w:after="0" w:line="175" w:lineRule="exact"/>
        <w:rPr>
          <w:sz w:val="20"/>
          <w:szCs w:val="20"/>
          <w:color w:val="auto"/>
        </w:rPr>
      </w:pPr>
    </w:p>
    <w:p>
      <w:pPr>
        <w:jc w:val="both"/>
        <w:ind w:left="3" w:right="20" w:hanging="3"/>
        <w:spacing w:after="0" w:line="213" w:lineRule="auto"/>
        <w:tabs>
          <w:tab w:leader="none" w:pos="11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i w:val="1"/>
          <w:iCs w:val="1"/>
          <w:color w:val="auto"/>
        </w:rPr>
        <w:t xml:space="preserve">“Article 10.– Quality of Information.– </w:t>
      </w:r>
      <w:r>
        <w:rPr>
          <w:rFonts w:ascii="Times New Roman" w:cs="Times New Roman" w:eastAsia="Times New Roman" w:hAnsi="Times New Roman"/>
          <w:sz w:val="16"/>
          <w:szCs w:val="16"/>
          <w:b w:val="1"/>
          <w:bCs w:val="1"/>
          <w:i w:val="1"/>
          <w:iCs w:val="1"/>
          <w:u w:val="single" w:color="auto"/>
          <w:color w:val="auto"/>
        </w:rPr>
        <w:t>All information that, pursuant to this law</w:t>
      </w:r>
      <w:r>
        <w:rPr>
          <w:rFonts w:ascii="Times New Roman" w:cs="Times New Roman" w:eastAsia="Times New Roman" w:hAnsi="Times New Roman"/>
          <w:sz w:val="16"/>
          <w:szCs w:val="16"/>
          <w:i w:val="1"/>
          <w:iCs w:val="1"/>
          <w:color w:val="auto"/>
        </w:rPr>
        <w:t xml:space="preserve">, must be submitted to the SMV, the stock exchange, the entities responsible for centralized mechanisms, or to investors, </w:t>
      </w:r>
      <w:r>
        <w:rPr>
          <w:rFonts w:ascii="Times New Roman" w:cs="Times New Roman" w:eastAsia="Times New Roman" w:hAnsi="Times New Roman"/>
          <w:sz w:val="16"/>
          <w:szCs w:val="16"/>
          <w:b w:val="1"/>
          <w:bCs w:val="1"/>
          <w:i w:val="1"/>
          <w:iCs w:val="1"/>
          <w:u w:val="single" w:color="auto"/>
          <w:color w:val="auto"/>
        </w:rPr>
        <w:t>shall be truthful, sufficient, and in a timely manner.</w:t>
      </w:r>
      <w:r>
        <w:rPr>
          <w:rFonts w:ascii="Times New Roman" w:cs="Times New Roman" w:eastAsia="Times New Roman" w:hAnsi="Times New Roman"/>
          <w:sz w:val="16"/>
          <w:szCs w:val="16"/>
          <w:i w:val="1"/>
          <w:iCs w:val="1"/>
          <w:color w:val="auto"/>
        </w:rPr>
        <w:t xml:space="preserve"> Once the information has been received by said institutions, it must be made immediately available to the public.”</w:t>
      </w:r>
    </w:p>
    <w:p>
      <w:pPr>
        <w:spacing w:after="0" w:line="79" w:lineRule="exact"/>
        <w:rPr>
          <w:sz w:val="20"/>
          <w:szCs w:val="20"/>
          <w:color w:val="auto"/>
        </w:rPr>
      </w:pPr>
    </w:p>
    <w:p>
      <w:pPr>
        <w:ind w:left="103" w:hanging="103"/>
        <w:spacing w:after="0"/>
        <w:tabs>
          <w:tab w:leader="none" w:pos="103"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i w:val="1"/>
          <w:iCs w:val="1"/>
          <w:color w:val="auto"/>
        </w:rPr>
        <w:t xml:space="preserve">“Article 12.– Market Transparency.– </w:t>
      </w:r>
      <w:r>
        <w:rPr>
          <w:rFonts w:ascii="Times New Roman" w:cs="Times New Roman" w:eastAsia="Times New Roman" w:hAnsi="Times New Roman"/>
          <w:sz w:val="16"/>
          <w:szCs w:val="16"/>
          <w:b w:val="1"/>
          <w:bCs w:val="1"/>
          <w:i w:val="1"/>
          <w:iCs w:val="1"/>
          <w:u w:val="single" w:color="auto"/>
          <w:color w:val="auto"/>
        </w:rPr>
        <w:t>It is prohibited any act, omission, practice</w:t>
      </w:r>
      <w:r>
        <w:rPr>
          <w:rFonts w:ascii="Times New Roman" w:cs="Times New Roman" w:eastAsia="Times New Roman" w:hAnsi="Times New Roman"/>
          <w:sz w:val="16"/>
          <w:szCs w:val="16"/>
          <w:i w:val="1"/>
          <w:iCs w:val="1"/>
          <w:color w:val="auto"/>
        </w:rPr>
        <w:t xml:space="preserve">, or conduct that </w:t>
      </w:r>
      <w:r>
        <w:rPr>
          <w:rFonts w:ascii="Times New Roman" w:cs="Times New Roman" w:eastAsia="Times New Roman" w:hAnsi="Times New Roman"/>
          <w:sz w:val="16"/>
          <w:szCs w:val="16"/>
          <w:b w:val="1"/>
          <w:bCs w:val="1"/>
          <w:i w:val="1"/>
          <w:iCs w:val="1"/>
          <w:u w:val="single" w:color="auto"/>
          <w:color w:val="auto"/>
        </w:rPr>
        <w:t>undermines the integrity or transparency of the market</w:t>
      </w:r>
      <w:r>
        <w:rPr>
          <w:rFonts w:ascii="Times New Roman" w:cs="Times New Roman" w:eastAsia="Times New Roman" w:hAnsi="Times New Roman"/>
          <w:sz w:val="16"/>
          <w:szCs w:val="16"/>
          <w:i w:val="1"/>
          <w:iCs w:val="1"/>
          <w:color w:val="auto"/>
        </w:rPr>
        <w:t>, such as:</w:t>
      </w:r>
    </w:p>
    <w:p>
      <w:pPr>
        <w:spacing w:after="0" w:line="176" w:lineRule="exact"/>
        <w:rPr>
          <w:rFonts w:ascii="Times New Roman" w:cs="Times New Roman" w:eastAsia="Times New Roman" w:hAnsi="Times New Roman"/>
          <w:sz w:val="27"/>
          <w:szCs w:val="27"/>
          <w:color w:val="auto"/>
          <w:vertAlign w:val="superscript"/>
        </w:rPr>
      </w:pPr>
    </w:p>
    <w:p>
      <w:pPr>
        <w:ind w:left="3"/>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i w:val="1"/>
          <w:iCs w:val="1"/>
          <w:color w:val="auto"/>
        </w:rPr>
        <w:t>(…)</w:t>
      </w:r>
    </w:p>
    <w:p>
      <w:pPr>
        <w:spacing w:after="0" w:line="204" w:lineRule="exact"/>
        <w:rPr>
          <w:sz w:val="20"/>
          <w:szCs w:val="20"/>
          <w:color w:val="auto"/>
        </w:rPr>
      </w:pPr>
    </w:p>
    <w:p>
      <w:pPr>
        <w:ind w:left="3" w:right="20" w:hanging="3"/>
        <w:spacing w:after="0" w:line="290" w:lineRule="auto"/>
        <w:tabs>
          <w:tab w:leader="none" w:pos="245"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Providing false or misleading information regarding the situation of a security or financial instrument, its issuer, or its business, which by its nature is capable of influencing the liquidity or the price of said security or financial instrument. (…)”</w:t>
      </w:r>
    </w:p>
    <w:p>
      <w:pPr>
        <w:spacing w:after="0" w:line="136" w:lineRule="exact"/>
        <w:rPr>
          <w:sz w:val="20"/>
          <w:szCs w:val="20"/>
          <w:color w:val="auto"/>
        </w:rPr>
      </w:pPr>
    </w:p>
    <w:p>
      <w:pPr>
        <w:jc w:val="both"/>
        <w:ind w:left="3" w:right="20" w:hanging="3"/>
        <w:spacing w:after="0" w:line="227" w:lineRule="auto"/>
        <w:tabs>
          <w:tab w:leader="none" w:pos="135"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i w:val="1"/>
          <w:iCs w:val="1"/>
          <w:color w:val="auto"/>
        </w:rPr>
        <w:t xml:space="preserve">“Article 30.– Material Events.– The registration of a security or issuance program entails for </w:t>
      </w:r>
      <w:r>
        <w:rPr>
          <w:rFonts w:ascii="Times New Roman" w:cs="Times New Roman" w:eastAsia="Times New Roman" w:hAnsi="Times New Roman"/>
          <w:sz w:val="16"/>
          <w:szCs w:val="16"/>
          <w:b w:val="1"/>
          <w:bCs w:val="1"/>
          <w:i w:val="1"/>
          <w:iCs w:val="1"/>
          <w:u w:val="single" w:color="auto"/>
          <w:color w:val="auto"/>
        </w:rPr>
        <w:t>its issuer the obligation to inform the SMV</w:t>
      </w:r>
      <w:r>
        <w:rPr>
          <w:rFonts w:ascii="Times New Roman" w:cs="Times New Roman" w:eastAsia="Times New Roman" w:hAnsi="Times New Roman"/>
          <w:sz w:val="16"/>
          <w:szCs w:val="16"/>
          <w:i w:val="1"/>
          <w:iCs w:val="1"/>
          <w:color w:val="auto"/>
        </w:rPr>
        <w:t xml:space="preserve"> and, as applicable, the respective stock exchange or the entity responsible for operating the centralized mechanism, </w:t>
      </w:r>
      <w:r>
        <w:rPr>
          <w:rFonts w:ascii="Times New Roman" w:cs="Times New Roman" w:eastAsia="Times New Roman" w:hAnsi="Times New Roman"/>
          <w:sz w:val="16"/>
          <w:szCs w:val="16"/>
          <w:b w:val="1"/>
          <w:bCs w:val="1"/>
          <w:i w:val="1"/>
          <w:iCs w:val="1"/>
          <w:u w:val="single" w:color="auto"/>
          <w:color w:val="auto"/>
        </w:rPr>
        <w:t>of material events, including ongoing negotiations, regarding itself,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u w:val="single" w:color="auto"/>
          <w:color w:val="auto"/>
        </w:rPr>
        <w:t>security, and the offering thereof, as well as the obligation to disclose such information in a truthful, sufficient, and in a timely manner</w:t>
      </w:r>
      <w:r>
        <w:rPr>
          <w:rFonts w:ascii="Times New Roman" w:cs="Times New Roman" w:eastAsia="Times New Roman" w:hAnsi="Times New Roman"/>
          <w:sz w:val="16"/>
          <w:szCs w:val="16"/>
          <w:i w:val="1"/>
          <w:iCs w:val="1"/>
          <w:color w:val="auto"/>
        </w:rPr>
        <w:t>. The information must be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 xml:space="preserve">provided to said institutions and disclosed as soon as the event occurs or the issuer becomes aware of it, as the case may be. The importance of an event is measured by the influence </w:t>
      </w:r>
      <w:r>
        <w:rPr>
          <w:rFonts w:ascii="Times New Roman" w:cs="Times New Roman" w:eastAsia="Times New Roman" w:hAnsi="Times New Roman"/>
          <w:sz w:val="16"/>
          <w:szCs w:val="16"/>
          <w:b w:val="1"/>
          <w:bCs w:val="1"/>
          <w:i w:val="1"/>
          <w:iCs w:val="1"/>
          <w:u w:val="single" w:color="auto"/>
          <w:color w:val="auto"/>
        </w:rPr>
        <w:t>it may exert</w:t>
      </w:r>
      <w:r>
        <w:rPr>
          <w:rFonts w:ascii="Times New Roman" w:cs="Times New Roman" w:eastAsia="Times New Roman" w:hAnsi="Times New Roman"/>
          <w:sz w:val="16"/>
          <w:szCs w:val="16"/>
          <w:i w:val="1"/>
          <w:iCs w:val="1"/>
          <w:color w:val="auto"/>
        </w:rPr>
        <w:t xml:space="preserve"> on a reasonable investor in deciding whether to invest or not in the security.”</w:t>
      </w:r>
    </w:p>
    <w:p>
      <w:pPr>
        <w:spacing w:after="0" w:line="79" w:lineRule="exact"/>
        <w:rPr>
          <w:sz w:val="20"/>
          <w:szCs w:val="20"/>
          <w:color w:val="auto"/>
        </w:rPr>
      </w:pPr>
    </w:p>
    <w:p>
      <w:pPr>
        <w:ind w:left="103" w:hanging="103"/>
        <w:spacing w:after="0"/>
        <w:tabs>
          <w:tab w:leader="none" w:pos="103"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i w:val="1"/>
          <w:iCs w:val="1"/>
          <w:color w:val="auto"/>
        </w:rPr>
        <w:t>“The highlighted and underlined portions are additions. The highlighted and underlined portions of the provisions and texts that are transcribed are also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14629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255" w:right="319"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6"/>
          <w:szCs w:val="16"/>
          <w:i w:val="1"/>
          <w:iCs w:val="1"/>
          <w:color w:val="auto"/>
        </w:rPr>
        <w:t>“Article 9.– Timing for Reporting Material Events</w:t>
      </w:r>
    </w:p>
    <w:p>
      <w:pPr>
        <w:spacing w:after="0" w:line="202" w:lineRule="exact"/>
        <w:rPr>
          <w:sz w:val="20"/>
          <w:szCs w:val="20"/>
          <w:color w:val="auto"/>
        </w:rPr>
      </w:pPr>
    </w:p>
    <w:p>
      <w:pPr>
        <w:jc w:val="both"/>
        <w:ind w:left="580" w:right="20"/>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9.1. The Issuer must report its material events as soon as such event occurs or the </w:t>
      </w:r>
      <w:r>
        <w:rPr>
          <w:rFonts w:ascii="Times New Roman" w:cs="Times New Roman" w:eastAsia="Times New Roman" w:hAnsi="Times New Roman"/>
          <w:sz w:val="16"/>
          <w:szCs w:val="16"/>
          <w:b w:val="1"/>
          <w:bCs w:val="1"/>
          <w:i w:val="1"/>
          <w:iCs w:val="1"/>
          <w:u w:val="single" w:color="auto"/>
          <w:color w:val="auto"/>
        </w:rPr>
        <w:t>Issuer becomes aware of it</w:t>
      </w:r>
      <w:r>
        <w:rPr>
          <w:rFonts w:ascii="Times New Roman" w:cs="Times New Roman" w:eastAsia="Times New Roman" w:hAnsi="Times New Roman"/>
          <w:sz w:val="16"/>
          <w:szCs w:val="16"/>
          <w:i w:val="1"/>
          <w:iCs w:val="1"/>
          <w:color w:val="auto"/>
        </w:rPr>
        <w:t>, and in no case later than the day on which the event has occurred or has become known. This information must be communicated to the SMV before being provided to any other person, entity, or means of dissemination, and simultaneously, when applicable, to the Stock Exchange or to the entity responsible for operating the respective centralized mechanism. This obligation applies regardless of whether the information originated within the Issuer itself or not.</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204" w:lineRule="exact"/>
        <w:rPr>
          <w:sz w:val="20"/>
          <w:szCs w:val="20"/>
          <w:color w:val="auto"/>
        </w:rPr>
      </w:pPr>
    </w:p>
    <w:p>
      <w:pPr>
        <w:jc w:val="both"/>
        <w:ind w:left="580" w:right="20"/>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9.2. It is presumed that an Issuer is aware of a material event concerning itself when such event originates within its own organization or its controlling shareholder; when it is notified or informed of the occurrence of the event; or when it is an event that has been disclosed or </w:t>
      </w:r>
      <w:r>
        <w:rPr>
          <w:rFonts w:ascii="Times New Roman" w:cs="Times New Roman" w:eastAsia="Times New Roman" w:hAnsi="Times New Roman"/>
          <w:sz w:val="16"/>
          <w:szCs w:val="16"/>
          <w:b w:val="1"/>
          <w:bCs w:val="1"/>
          <w:i w:val="1"/>
          <w:iCs w:val="1"/>
          <w:u w:val="single" w:color="auto"/>
          <w:color w:val="auto"/>
        </w:rPr>
        <w:t>disseminated publicly.</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Article 6.– Duty of Diligence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In complying with the obligations established in this Regulation, the Issuer is responsible for:</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204" w:lineRule="exact"/>
        <w:rPr>
          <w:sz w:val="20"/>
          <w:szCs w:val="20"/>
          <w:color w:val="auto"/>
        </w:rPr>
      </w:pPr>
    </w:p>
    <w:p>
      <w:pPr>
        <w:jc w:val="both"/>
        <w:ind w:left="580"/>
        <w:spacing w:after="0" w:line="290" w:lineRule="auto"/>
        <w:rPr>
          <w:sz w:val="20"/>
          <w:szCs w:val="20"/>
          <w:color w:val="auto"/>
        </w:rPr>
      </w:pPr>
      <w:r>
        <w:rPr>
          <w:rFonts w:ascii="Times New Roman" w:cs="Times New Roman" w:eastAsia="Times New Roman" w:hAnsi="Times New Roman"/>
          <w:sz w:val="16"/>
          <w:szCs w:val="16"/>
          <w:i w:val="1"/>
          <w:iCs w:val="1"/>
          <w:color w:val="auto"/>
        </w:rPr>
        <w:t>6.2. Acting impartially in the communication of material events and reserved information, regardless of whether such information may have a favorable or adverse effect on the price quotation or trading of the security.</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ANNEX 1</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202" w:lineRule="exact"/>
        <w:rPr>
          <w:sz w:val="20"/>
          <w:szCs w:val="20"/>
          <w:color w:val="auto"/>
        </w:rPr>
      </w:pPr>
    </w:p>
    <w:p>
      <w:pPr>
        <w:ind w:left="580" w:right="20"/>
        <w:spacing w:after="0" w:line="292" w:lineRule="auto"/>
        <w:tabs>
          <w:tab w:leader="none" w:pos="838"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The initiation and </w:t>
      </w:r>
      <w:r>
        <w:rPr>
          <w:rFonts w:ascii="Times New Roman" w:cs="Times New Roman" w:eastAsia="Times New Roman" w:hAnsi="Times New Roman"/>
          <w:sz w:val="16"/>
          <w:szCs w:val="16"/>
          <w:b w:val="1"/>
          <w:bCs w:val="1"/>
          <w:i w:val="1"/>
          <w:iCs w:val="1"/>
          <w:u w:val="single" w:color="auto"/>
          <w:color w:val="auto"/>
        </w:rPr>
        <w:t>final outcome of judicial</w:t>
      </w:r>
      <w:r>
        <w:rPr>
          <w:rFonts w:ascii="Times New Roman" w:cs="Times New Roman" w:eastAsia="Times New Roman" w:hAnsi="Times New Roman"/>
          <w:sz w:val="16"/>
          <w:szCs w:val="16"/>
          <w:i w:val="1"/>
          <w:iCs w:val="1"/>
          <w:color w:val="auto"/>
        </w:rPr>
        <w:t xml:space="preserve"> or arbitral proceedings, and administrative proceedings that may affect the assets, business, or activities of the Issuer.</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Furthermore, the provisions of Article 27 of the MI Regulation must also be taken into consideration:</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“Article 27.– Supervisory Authority</w:t>
      </w:r>
    </w:p>
    <w:p>
      <w:pPr>
        <w:spacing w:after="0" w:line="204" w:lineRule="exact"/>
        <w:rPr>
          <w:sz w:val="20"/>
          <w:szCs w:val="20"/>
          <w:color w:val="auto"/>
        </w:rPr>
      </w:pPr>
    </w:p>
    <w:p>
      <w:pPr>
        <w:jc w:val="both"/>
        <w:ind w:left="580" w:right="20"/>
        <w:spacing w:after="0" w:line="268" w:lineRule="auto"/>
        <w:rPr>
          <w:sz w:val="20"/>
          <w:szCs w:val="20"/>
          <w:color w:val="auto"/>
        </w:rPr>
      </w:pPr>
      <w:r>
        <w:rPr>
          <w:rFonts w:ascii="Times New Roman" w:cs="Times New Roman" w:eastAsia="Times New Roman" w:hAnsi="Times New Roman"/>
          <w:sz w:val="16"/>
          <w:szCs w:val="16"/>
          <w:i w:val="1"/>
          <w:iCs w:val="1"/>
          <w:color w:val="auto"/>
        </w:rPr>
        <w:t>27.1. The SMV body responsible for supervising material events may require the Issuer to disclose, on an occasional or periodic basis, through the means established for material events, any information that, in its judgment, has the capacity to exert the significant influence referred to in Articles 3 and 4 of this Regulation, for the purpose of ensuring transparency in the securities market. Should the Issuer refuse to do so, that SMV body shall proceed to disclose the corresponding information.</w:t>
      </w:r>
    </w:p>
    <w:p>
      <w:pPr>
        <w:spacing w:after="0" w:line="3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Failure to comply with the requirement constitutes a sanctionable infringement in accordance with the Regulation of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241935</wp:posOffset>
            </wp:positionV>
            <wp:extent cx="714629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ind w:left="583" w:right="20"/>
        <w:spacing w:after="0" w:line="290" w:lineRule="auto"/>
        <w:rPr>
          <w:sz w:val="20"/>
          <w:szCs w:val="20"/>
          <w:color w:val="auto"/>
        </w:rPr>
      </w:pPr>
      <w:r>
        <w:rPr>
          <w:rFonts w:ascii="Times New Roman" w:cs="Times New Roman" w:eastAsia="Times New Roman" w:hAnsi="Times New Roman"/>
          <w:sz w:val="16"/>
          <w:szCs w:val="16"/>
          <w:i w:val="1"/>
          <w:iCs w:val="1"/>
          <w:color w:val="auto"/>
        </w:rPr>
        <w:t>27.2. The SMV may require the Issuer to clarify, specify, supplement, rectify, or amend the information disclosed as a material event. The response to such requirement must be disclose through MVNet as a material event.</w:t>
      </w:r>
    </w:p>
    <w:p>
      <w:pPr>
        <w:spacing w:after="0" w:line="138"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204" w:lineRule="exact"/>
        <w:rPr>
          <w:sz w:val="20"/>
          <w:szCs w:val="20"/>
          <w:color w:val="auto"/>
        </w:rPr>
      </w:pPr>
    </w:p>
    <w:p>
      <w:pPr>
        <w:ind w:left="583" w:right="20"/>
        <w:spacing w:after="0" w:line="290" w:lineRule="auto"/>
        <w:rPr>
          <w:sz w:val="20"/>
          <w:szCs w:val="20"/>
          <w:color w:val="auto"/>
        </w:rPr>
      </w:pPr>
      <w:r>
        <w:rPr>
          <w:rFonts w:ascii="Times New Roman" w:cs="Times New Roman" w:eastAsia="Times New Roman" w:hAnsi="Times New Roman"/>
          <w:sz w:val="16"/>
          <w:szCs w:val="16"/>
          <w:i w:val="1"/>
          <w:iCs w:val="1"/>
          <w:color w:val="auto"/>
        </w:rPr>
        <w:t>27.3. The Issuer must provide the information or documentation required by the SMV in the course of its supervisory or inspection activities in order to assess compliance with the obligations established under this Regulation.”</w:t>
      </w:r>
    </w:p>
    <w:p>
      <w:pPr>
        <w:spacing w:after="0" w:line="140" w:lineRule="exact"/>
        <w:rPr>
          <w:sz w:val="20"/>
          <w:szCs w:val="20"/>
          <w:color w:val="auto"/>
        </w:rPr>
      </w:pPr>
    </w:p>
    <w:p>
      <w:pPr>
        <w:jc w:val="both"/>
        <w:ind w:left="3"/>
        <w:spacing w:after="0" w:line="198" w:lineRule="exact"/>
        <w:rPr>
          <w:sz w:val="20"/>
          <w:szCs w:val="20"/>
          <w:color w:val="auto"/>
        </w:rPr>
      </w:pPr>
      <w:r>
        <w:rPr>
          <w:rFonts w:ascii="Times New Roman" w:cs="Times New Roman" w:eastAsia="Times New Roman" w:hAnsi="Times New Roman"/>
          <w:sz w:val="16"/>
          <w:szCs w:val="16"/>
          <w:color w:val="auto"/>
        </w:rPr>
        <w:t xml:space="preserve">In addition, CREDICORP must take into account the “SUPERVISORY GUIDANCE ON THE MATERIAL EVENTS REGIME FOR ISSUERS: RELEVANCE CRITERIA AND TRANSPARENCY OBLIGATIONS,” which was notified on January 20, 2026, by the </w:t>
      </w:r>
      <w:r>
        <w:rPr>
          <w:rFonts w:ascii="Times New Roman" w:cs="Times New Roman" w:eastAsia="Times New Roman" w:hAnsi="Times New Roman"/>
          <w:sz w:val="16"/>
          <w:szCs w:val="16"/>
          <w:b w:val="1"/>
          <w:bCs w:val="1"/>
          <w:color w:val="auto"/>
        </w:rPr>
        <w:t>Circular N.° 031</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2026</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SMV/11.1.</w:t>
      </w:r>
      <w:r>
        <w:rPr>
          <w:rFonts w:ascii="Times New Roman" w:cs="Times New Roman" w:eastAsia="Times New Roman" w:hAnsi="Times New Roman"/>
          <w:sz w:val="16"/>
          <w:szCs w:val="16"/>
          <w:color w:val="auto"/>
        </w:rPr>
        <w:t xml:space="preserve"> This Guidance contains the main criteria applied by the SMV’s General Intendency of Conduct Supervision (IGSC by its Spanish acronym) when supervising compliance by issuers with their duties and obligations related to the material events regime.</w:t>
      </w:r>
    </w:p>
    <w:p>
      <w:pPr>
        <w:spacing w:after="0" w:line="1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Under these premises, the following events related to CREDICORP are established for the present case:</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EVENTS</w:t>
      </w:r>
    </w:p>
    <w:p>
      <w:pPr>
        <w:spacing w:after="0" w:line="169" w:lineRule="exact"/>
        <w:rPr>
          <w:sz w:val="20"/>
          <w:szCs w:val="20"/>
          <w:color w:val="auto"/>
        </w:rPr>
      </w:pPr>
    </w:p>
    <w:p>
      <w:pPr>
        <w:jc w:val="both"/>
        <w:ind w:left="583" w:hanging="583"/>
        <w:spacing w:after="0" w:line="204" w:lineRule="exact"/>
        <w:tabs>
          <w:tab w:leader="none" w:pos="58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Deputy Superintendency Resolution N.° 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SMV/11 dated </w:t>
      </w:r>
      <w:r>
        <w:rPr>
          <w:rFonts w:ascii="Times New Roman" w:cs="Times New Roman" w:eastAsia="Times New Roman" w:hAnsi="Times New Roman"/>
          <w:sz w:val="16"/>
          <w:szCs w:val="16"/>
          <w:b w:val="1"/>
          <w:bCs w:val="1"/>
          <w:color w:val="auto"/>
        </w:rPr>
        <w:t>March 5, 2021</w:t>
      </w:r>
      <w:r>
        <w:rPr>
          <w:rFonts w:ascii="Times New Roman" w:cs="Times New Roman" w:eastAsia="Times New Roman" w:hAnsi="Times New Roman"/>
          <w:sz w:val="16"/>
          <w:szCs w:val="16"/>
          <w:color w:val="auto"/>
        </w:rPr>
        <w:t xml:space="preserve"> (File No. 2019048270), CREDICORP was sanctioned for: (i) having engaged in conduct involving the concealment of information that affected the transparency of the stock market, by failing to disclose relevant information regarding cash contributions to the political party FUERZA 2011 during the 2011 Peruvian presidential campaign; and (ii) having engaged in conduct involving the concealment of information that affected the transparency of the securities market, by failing to disclose relevant information regarding the agreement of its Executive Committee to make contributions, through its subsidiaries, to the political party PERUANOS POR EL KAMBIO during the 2016 Peruvian presidential campaign.</w:t>
      </w:r>
    </w:p>
    <w:p>
      <w:pPr>
        <w:spacing w:after="0" w:line="181" w:lineRule="exact"/>
        <w:rPr>
          <w:rFonts w:ascii="Times New Roman" w:cs="Times New Roman" w:eastAsia="Times New Roman" w:hAnsi="Times New Roman"/>
          <w:sz w:val="16"/>
          <w:szCs w:val="16"/>
          <w:color w:val="auto"/>
        </w:rPr>
      </w:pPr>
    </w:p>
    <w:p>
      <w:pPr>
        <w:ind w:left="583" w:right="20"/>
        <w:spacing w:after="0" w:line="28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Thus, in the first administrative instance before the SMV, it was determined that CREDICORP had committed two very serious violations, and it was imposed a total fine of 510 UIT (S/1.9 million).</w:t>
      </w:r>
    </w:p>
    <w:p>
      <w:pPr>
        <w:spacing w:after="0" w:line="106" w:lineRule="exact"/>
        <w:rPr>
          <w:rFonts w:ascii="Times New Roman" w:cs="Times New Roman" w:eastAsia="Times New Roman" w:hAnsi="Times New Roman"/>
          <w:sz w:val="16"/>
          <w:szCs w:val="16"/>
          <w:color w:val="auto"/>
        </w:rPr>
      </w:pPr>
    </w:p>
    <w:p>
      <w:pPr>
        <w:ind w:left="583" w:right="20"/>
        <w:spacing w:after="0" w:line="221"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w:t>
      </w:r>
      <w:r>
        <w:rPr>
          <w:rFonts w:ascii="Times New Roman" w:cs="Times New Roman" w:eastAsia="Times New Roman" w:hAnsi="Times New Roman"/>
          <w:sz w:val="16"/>
          <w:szCs w:val="16"/>
          <w:b w:val="1"/>
          <w:bCs w:val="1"/>
          <w:color w:val="auto"/>
        </w:rPr>
        <w:t>March 26, 2021</w:t>
      </w:r>
      <w:r>
        <w:rPr>
          <w:rFonts w:ascii="Times New Roman" w:cs="Times New Roman" w:eastAsia="Times New Roman" w:hAnsi="Times New Roman"/>
          <w:sz w:val="16"/>
          <w:szCs w:val="16"/>
          <w:color w:val="auto"/>
        </w:rPr>
        <w:t>, CREDICORP filed an appeal against Resolution SASCM N.° 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2021. This appeal was not resolved in the second administrative instance of the SMV.</w:t>
      </w:r>
    </w:p>
    <w:p>
      <w:pPr>
        <w:spacing w:after="0" w:line="170" w:lineRule="exact"/>
        <w:rPr>
          <w:rFonts w:ascii="Times New Roman" w:cs="Times New Roman" w:eastAsia="Times New Roman" w:hAnsi="Times New Roman"/>
          <w:sz w:val="16"/>
          <w:szCs w:val="16"/>
          <w:color w:val="auto"/>
        </w:rPr>
      </w:pPr>
    </w:p>
    <w:p>
      <w:pPr>
        <w:jc w:val="both"/>
        <w:ind w:left="583" w:hanging="583"/>
        <w:spacing w:after="0" w:line="205" w:lineRule="auto"/>
        <w:tabs>
          <w:tab w:leader="none" w:pos="58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w:t>
      </w:r>
      <w:r>
        <w:rPr>
          <w:rFonts w:ascii="Times New Roman" w:cs="Times New Roman" w:eastAsia="Times New Roman" w:hAnsi="Times New Roman"/>
          <w:sz w:val="16"/>
          <w:szCs w:val="16"/>
          <w:b w:val="1"/>
          <w:bCs w:val="1"/>
          <w:color w:val="auto"/>
        </w:rPr>
        <w:t>December 7, 2021</w:t>
      </w:r>
      <w:r>
        <w:rPr>
          <w:rFonts w:ascii="Times New Roman" w:cs="Times New Roman" w:eastAsia="Times New Roman" w:hAnsi="Times New Roman"/>
          <w:sz w:val="16"/>
          <w:szCs w:val="16"/>
          <w:color w:val="auto"/>
        </w:rPr>
        <w:t>, the Judicial Branch notified the SMV</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 xml:space="preserve"> of Resolution N.° 1 issued by the Provisional Superior Chamber Specialized in Administrative Litigation, admitting the claim filed by CREDICORP against the SMV regarding the Nullity of Administrative Act (Judicial File No.</w:t>
      </w:r>
    </w:p>
    <w:p>
      <w:pPr>
        <w:ind w:left="583"/>
        <w:spacing w:after="0" w:line="184"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01996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1801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05), requesting as its main claim and first subsidiary claim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142621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6210" cy="15240"/>
                    </a:xfrm>
                    <a:prstGeom prst="rect">
                      <a:avLst/>
                    </a:prstGeom>
                    <a:noFill/>
                  </pic:spPr>
                </pic:pic>
              </a:graphicData>
            </a:graphic>
          </wp:anchor>
        </w:drawing>
      </w:r>
    </w:p>
    <w:p>
      <w:pPr>
        <w:spacing w:after="0" w:line="287" w:lineRule="exact"/>
        <w:rPr>
          <w:sz w:val="20"/>
          <w:szCs w:val="20"/>
          <w:color w:val="auto"/>
        </w:rPr>
      </w:pPr>
    </w:p>
    <w:p>
      <w:pPr>
        <w:ind w:left="103" w:hanging="103"/>
        <w:spacing w:after="0"/>
        <w:tabs>
          <w:tab w:leader="none" w:pos="103"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File No. 2021046384.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14629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8" w:name="page9"/>
    <w:bookmarkEnd w:id="8"/>
    <w:p>
      <w:pPr>
        <w:ind w:left="583"/>
        <w:spacing w:after="0"/>
        <w:rPr>
          <w:sz w:val="20"/>
          <w:szCs w:val="20"/>
          <w:color w:val="auto"/>
        </w:rPr>
      </w:pPr>
      <w:r>
        <w:rPr>
          <w:rFonts w:ascii="Times New Roman" w:cs="Times New Roman" w:eastAsia="Times New Roman" w:hAnsi="Times New Roman"/>
          <w:sz w:val="16"/>
          <w:szCs w:val="16"/>
          <w:i w:val="1"/>
          <w:iCs w:val="1"/>
          <w:color w:val="auto"/>
        </w:rPr>
        <w:t>“1. Principal Claim:</w:t>
      </w:r>
    </w:p>
    <w:p>
      <w:pPr>
        <w:spacing w:after="0" w:line="202" w:lineRule="exact"/>
        <w:rPr>
          <w:sz w:val="20"/>
          <w:szCs w:val="20"/>
          <w:color w:val="auto"/>
        </w:rPr>
      </w:pPr>
    </w:p>
    <w:p>
      <w:pPr>
        <w:jc w:val="both"/>
        <w:ind w:left="583" w:right="20"/>
        <w:spacing w:after="0" w:line="217" w:lineRule="exact"/>
        <w:rPr>
          <w:sz w:val="20"/>
          <w:szCs w:val="20"/>
          <w:color w:val="auto"/>
        </w:rPr>
      </w:pPr>
      <w:r>
        <w:rPr>
          <w:rFonts w:ascii="Times New Roman" w:cs="Times New Roman" w:eastAsia="Times New Roman" w:hAnsi="Times New Roman"/>
          <w:sz w:val="16"/>
          <w:szCs w:val="16"/>
          <w:b w:val="1"/>
          <w:bCs w:val="1"/>
          <w:i w:val="1"/>
          <w:iCs w:val="1"/>
          <w:color w:val="auto"/>
        </w:rPr>
        <w:t xml:space="preserve">Declare the NULLITY of the deemed SMV resolution </w:t>
      </w:r>
      <w:r>
        <w:rPr>
          <w:rFonts w:ascii="Times New Roman" w:cs="Times New Roman" w:eastAsia="Times New Roman" w:hAnsi="Times New Roman"/>
          <w:sz w:val="16"/>
          <w:szCs w:val="16"/>
          <w:i w:val="1"/>
          <w:iCs w:val="1"/>
          <w:color w:val="auto"/>
        </w:rPr>
        <w:t>that, through negative administrative silence,</w:t>
      </w:r>
      <w:r>
        <w:rPr>
          <w:rFonts w:ascii="Times New Roman" w:cs="Times New Roman" w:eastAsia="Times New Roman" w:hAnsi="Times New Roman"/>
          <w:sz w:val="16"/>
          <w:szCs w:val="16"/>
          <w:b w:val="1"/>
          <w:bCs w:val="1"/>
          <w:i w:val="1"/>
          <w:iCs w:val="1"/>
          <w:color w:val="auto"/>
        </w:rPr>
        <w:t xml:space="preserve"> dismissed the appeal filed on March 26, 2021 </w:t>
      </w:r>
      <w:r>
        <w:rPr>
          <w:rFonts w:ascii="Times New Roman" w:cs="Times New Roman" w:eastAsia="Times New Roman" w:hAnsi="Times New Roman"/>
          <w:sz w:val="16"/>
          <w:szCs w:val="16"/>
          <w:i w:val="1"/>
          <w:iCs w:val="1"/>
          <w:color w:val="auto"/>
        </w:rPr>
        <w:t>by Credicorp</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against Deputy Superintendency Resolution N.° 012</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2021</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SMV/11.</w:t>
      </w:r>
    </w:p>
    <w:p>
      <w:pPr>
        <w:spacing w:after="0" w:line="151"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i w:val="1"/>
          <w:iCs w:val="1"/>
          <w:color w:val="auto"/>
        </w:rPr>
        <w:t>2. First Subsidiary Claim:</w:t>
      </w:r>
    </w:p>
    <w:p>
      <w:pPr>
        <w:spacing w:after="0" w:line="204" w:lineRule="exact"/>
        <w:rPr>
          <w:sz w:val="20"/>
          <w:szCs w:val="20"/>
          <w:color w:val="auto"/>
        </w:rPr>
      </w:pPr>
    </w:p>
    <w:p>
      <w:pPr>
        <w:jc w:val="both"/>
        <w:ind w:left="583" w:right="20"/>
        <w:spacing w:after="0" w:line="198" w:lineRule="exact"/>
        <w:rPr>
          <w:sz w:val="20"/>
          <w:szCs w:val="20"/>
          <w:color w:val="auto"/>
        </w:rPr>
      </w:pPr>
      <w:r>
        <w:rPr>
          <w:rFonts w:ascii="Times New Roman" w:cs="Times New Roman" w:eastAsia="Times New Roman" w:hAnsi="Times New Roman"/>
          <w:sz w:val="16"/>
          <w:szCs w:val="16"/>
          <w:i w:val="1"/>
          <w:iCs w:val="1"/>
          <w:color w:val="auto"/>
        </w:rPr>
        <w:t>In the hypothetical case that our Principal Claim is not upheld, declare the TOTAL NULLITY of the deemed SMV resolution that, through negative administrative silence, dismissed the appeal filed on March 26, 2021 by Credicorp against Deputy Superintendency Resolution N.° 012</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2021</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 xml:space="preserve">SMV/11, as well as of said latter resolution, so that they are rendered without any legal effect, </w:t>
      </w:r>
      <w:r>
        <w:rPr>
          <w:rFonts w:ascii="Times New Roman" w:cs="Times New Roman" w:eastAsia="Times New Roman" w:hAnsi="Times New Roman"/>
          <w:sz w:val="16"/>
          <w:szCs w:val="16"/>
          <w:b w:val="1"/>
          <w:bCs w:val="1"/>
          <w:i w:val="1"/>
          <w:iCs w:val="1"/>
          <w:color w:val="auto"/>
        </w:rPr>
        <w:t>given that these resolutions constitute a situation of abuse of rights, having departed without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 xml:space="preserve">justification from a longstanding line of years of jurisprudence </w:t>
      </w:r>
      <w:r>
        <w:rPr>
          <w:rFonts w:ascii="Times New Roman" w:cs="Times New Roman" w:eastAsia="Times New Roman" w:hAnsi="Times New Roman"/>
          <w:sz w:val="16"/>
          <w:szCs w:val="16"/>
          <w:i w:val="1"/>
          <w:iCs w:val="1"/>
          <w:color w:val="auto"/>
        </w:rPr>
        <w:t>in which the failure to disclose relevant information is sanctioned under the infringement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consisting of disclosing material events of significant importance.</w:t>
      </w:r>
    </w:p>
    <w:p>
      <w:pPr>
        <w:ind w:left="58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t>
      </w:r>
    </w:p>
    <w:p>
      <w:pPr>
        <w:spacing w:after="0" w:line="180" w:lineRule="exact"/>
        <w:rPr>
          <w:sz w:val="20"/>
          <w:szCs w:val="20"/>
          <w:color w:val="auto"/>
        </w:rPr>
      </w:pPr>
    </w:p>
    <w:p>
      <w:pPr>
        <w:ind w:left="583" w:hanging="583"/>
        <w:spacing w:after="0"/>
        <w:tabs>
          <w:tab w:leader="none" w:pos="58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that same </w:t>
      </w:r>
      <w:r>
        <w:rPr>
          <w:rFonts w:ascii="Times New Roman" w:cs="Times New Roman" w:eastAsia="Times New Roman" w:hAnsi="Times New Roman"/>
          <w:sz w:val="16"/>
          <w:szCs w:val="16"/>
          <w:b w:val="1"/>
          <w:bCs w:val="1"/>
          <w:color w:val="auto"/>
        </w:rPr>
        <w:t>December 7, 2021</w:t>
      </w:r>
      <w:r>
        <w:rPr>
          <w:rFonts w:ascii="Times New Roman" w:cs="Times New Roman" w:eastAsia="Times New Roman" w:hAnsi="Times New Roman"/>
          <w:sz w:val="16"/>
          <w:szCs w:val="16"/>
          <w:color w:val="auto"/>
        </w:rPr>
        <w:t>, CREDICORP disclosed, as a material event (File No. 2021046506), the following information</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6"/>
          <w:szCs w:val="16"/>
          <w:color w:val="auto"/>
        </w:rPr>
        <w:t>:</w:t>
      </w:r>
    </w:p>
    <w:p>
      <w:pPr>
        <w:spacing w:after="0" w:line="95" w:lineRule="exact"/>
        <w:rPr>
          <w:rFonts w:ascii="Times New Roman" w:cs="Times New Roman" w:eastAsia="Times New Roman" w:hAnsi="Times New Roman"/>
          <w:sz w:val="16"/>
          <w:szCs w:val="16"/>
          <w:color w:val="auto"/>
        </w:rPr>
      </w:pPr>
    </w:p>
    <w:p>
      <w:pPr>
        <w:ind w:left="5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IMAGE 1</w:t>
      </w:r>
    </w:p>
    <w:p>
      <w:pPr>
        <w:spacing w:after="0" w:line="206" w:lineRule="exact"/>
        <w:rPr>
          <w:sz w:val="20"/>
          <w:szCs w:val="20"/>
          <w:color w:val="auto"/>
        </w:rPr>
      </w:pPr>
    </w:p>
    <w:p>
      <w:pPr>
        <w:jc w:val="both"/>
        <w:ind w:left="583" w:right="20"/>
        <w:spacing w:after="0" w:line="261" w:lineRule="auto"/>
        <w:rPr>
          <w:sz w:val="20"/>
          <w:szCs w:val="20"/>
          <w:color w:val="auto"/>
        </w:rPr>
      </w:pPr>
      <w:r>
        <w:rPr>
          <w:rFonts w:ascii="Times New Roman" w:cs="Times New Roman" w:eastAsia="Times New Roman" w:hAnsi="Times New Roman"/>
          <w:sz w:val="16"/>
          <w:szCs w:val="16"/>
          <w:color w:val="auto"/>
        </w:rPr>
        <w:t>Today we have become aware that, on December 7, 2021, the Superintendency of the Securities Market was notified of the resolution issued by the Temporary Specialized Chamber for Administrative Litigation of the Superior Court of Justice of Lima, through which the administrative litigation claim filed by Credicorp Ltd. (“Credicorp”) was admitted, with the purpose of challenging the implied resolution — resulting from negative administrative silence — of the Superintendency of the Securities Market (hereinafter, the “</w:t>
      </w:r>
      <w:r>
        <w:rPr>
          <w:rFonts w:ascii="Times New Roman" w:cs="Times New Roman" w:eastAsia="Times New Roman" w:hAnsi="Times New Roman"/>
          <w:sz w:val="16"/>
          <w:szCs w:val="16"/>
          <w:u w:val="single" w:color="auto"/>
          <w:color w:val="auto"/>
        </w:rPr>
        <w:t>SMV</w:t>
      </w:r>
      <w:r>
        <w:rPr>
          <w:rFonts w:ascii="Times New Roman" w:cs="Times New Roman" w:eastAsia="Times New Roman" w:hAnsi="Times New Roman"/>
          <w:sz w:val="16"/>
          <w:szCs w:val="16"/>
          <w:color w:val="auto"/>
        </w:rPr>
        <w:t>”) related to the appeal filed by Credicorp against Deputy Superintendent’s Resolution N.° 012-2021-SMV/11 dated March 5, 2020.</w:t>
      </w:r>
    </w:p>
    <w:p>
      <w:pPr>
        <w:spacing w:after="0" w:line="165" w:lineRule="exact"/>
        <w:rPr>
          <w:sz w:val="20"/>
          <w:szCs w:val="20"/>
          <w:color w:val="auto"/>
        </w:rPr>
      </w:pPr>
    </w:p>
    <w:p>
      <w:pPr>
        <w:jc w:val="both"/>
        <w:ind w:left="583"/>
        <w:spacing w:after="0" w:line="258" w:lineRule="auto"/>
        <w:rPr>
          <w:sz w:val="20"/>
          <w:szCs w:val="20"/>
          <w:color w:val="auto"/>
        </w:rPr>
      </w:pPr>
      <w:r>
        <w:rPr>
          <w:rFonts w:ascii="Times New Roman" w:cs="Times New Roman" w:eastAsia="Times New Roman" w:hAnsi="Times New Roman"/>
          <w:sz w:val="16"/>
          <w:szCs w:val="16"/>
          <w:color w:val="auto"/>
        </w:rPr>
        <w:t>Through the aforementioned Deputy Superintendency Resolution, the SMV decided to sanction Credicorp (i) with a fine of 300 UIT for allegedly having committed a very serious infringement defined in item 1.6, numeral 1 of Annex 1 of the Regulation of Sanctions, approved by CONASEV Resolution N.° 055-2001-EF/94.10, in force since 2011; and (ii) with a fine of 210 UIT for allegedly having committed a very serious infringement defined in item 1.5, numeral 1 of Annex 1 of the Regulation of Sanctions, approved by CONASEV Resolution N°. 055-2001-EF/94.10 and amended by Resolution N°. 006-2012-SMV/01, in force since 2016. At the time, because we did not agree with the classification of events nor with the sanctions imposed, we filed an appeal against the aforementioned Deputy Superintendency Resolution. Subsequently, upon the expiration of the deadline for the second administrative instance to issue a decision, our company exercised its right to invoke negative administrative silence and filed a judicial complaint. Without prejudice to this, the company proceeded to pay the fines imposed by the Superintendency of the Securities Market, in accordance with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42621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6210" cy="15240"/>
                    </a:xfrm>
                    <a:prstGeom prst="rect">
                      <a:avLst/>
                    </a:prstGeom>
                    <a:noFill/>
                  </pic:spPr>
                </pic:pic>
              </a:graphicData>
            </a:graphic>
          </wp:anchor>
        </w:drawing>
      </w:r>
    </w:p>
    <w:p>
      <w:pPr>
        <w:spacing w:after="0" w:line="364" w:lineRule="exact"/>
        <w:rPr>
          <w:sz w:val="20"/>
          <w:szCs w:val="20"/>
          <w:color w:val="auto"/>
        </w:rPr>
      </w:pPr>
    </w:p>
    <w:p>
      <w:pPr>
        <w:ind w:left="3" w:right="480" w:hanging="3"/>
        <w:spacing w:after="0" w:line="196" w:lineRule="auto"/>
        <w:tabs>
          <w:tab w:leader="none" w:pos="111"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View link: </w:t>
      </w:r>
      <w:r>
        <w:rPr>
          <w:rFonts w:ascii="Times New Roman" w:cs="Times New Roman" w:eastAsia="Times New Roman" w:hAnsi="Times New Roman"/>
          <w:sz w:val="16"/>
          <w:szCs w:val="16"/>
          <w:u w:val="single" w:color="auto"/>
          <w:color w:val="auto"/>
        </w:rPr>
        <w:t>https://www.smv.gob.pe/ConsultasP8/documento.aspx?vidDoc=%7b8032987D-0000-CB19-8524-D054FB75231D%7d</w:t>
      </w:r>
      <w:r>
        <w:rPr>
          <w:rFonts w:ascii="Times New Roman" w:cs="Times New Roman" w:eastAsia="Times New Roman" w:hAnsi="Times New Roman"/>
          <w:sz w:val="16"/>
          <w:szCs w:val="16"/>
          <w:color w:val="auto"/>
        </w:rPr>
        <w:t>. Translator’s Note: The hyperlink included in the original document is no longer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14629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9" w:name="page10"/>
    <w:bookmarkEnd w:id="9"/>
    <w:p>
      <w:pPr>
        <w:jc w:val="both"/>
        <w:ind w:left="583"/>
        <w:spacing w:after="0" w:line="205" w:lineRule="exact"/>
        <w:rPr>
          <w:sz w:val="20"/>
          <w:szCs w:val="20"/>
          <w:color w:val="auto"/>
        </w:rPr>
      </w:pPr>
      <w:r>
        <w:rPr>
          <w:rFonts w:ascii="Times New Roman" w:cs="Times New Roman" w:eastAsia="Times New Roman" w:hAnsi="Times New Roman"/>
          <w:sz w:val="16"/>
          <w:szCs w:val="16"/>
          <w:color w:val="auto"/>
        </w:rPr>
        <w:t>In this regard, given that negative administrative silence had been applied and the administrative litigation claim filed had been admitted, in accordance with Articles 191.1 and 197.4 of the Consolidated Text of the General Administrative Procedure Law approved by Supreme Decree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JUS, the administrative proceeding is thereby concluded and the matter is now submitted to the decision of the Judicial Branch. Accordingly, we comply with reporting this event as a material event.</w:t>
      </w:r>
    </w:p>
    <w:p>
      <w:pPr>
        <w:spacing w:after="0" w:line="349" w:lineRule="exact"/>
        <w:rPr>
          <w:sz w:val="20"/>
          <w:szCs w:val="20"/>
          <w:color w:val="auto"/>
        </w:rPr>
      </w:pPr>
    </w:p>
    <w:p>
      <w:pPr>
        <w:ind w:left="583" w:hanging="583"/>
        <w:spacing w:after="0"/>
        <w:tabs>
          <w:tab w:leader="none" w:pos="5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29, 2021, CREDICORP disclosed, as a material event (File N.° 2021048911), the following information</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6"/>
          <w:szCs w:val="16"/>
          <w:color w:val="auto"/>
        </w:rPr>
        <w:t>:</w:t>
      </w:r>
    </w:p>
    <w:p>
      <w:pPr>
        <w:spacing w:after="0" w:line="95" w:lineRule="exact"/>
        <w:rPr>
          <w:rFonts w:ascii="Times New Roman" w:cs="Times New Roman" w:eastAsia="Times New Roman" w:hAnsi="Times New Roman"/>
          <w:sz w:val="16"/>
          <w:szCs w:val="16"/>
          <w:color w:val="auto"/>
        </w:rPr>
      </w:pPr>
    </w:p>
    <w:p>
      <w:pPr>
        <w:ind w:left="5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IMAGE 2</w:t>
      </w:r>
    </w:p>
    <w:p>
      <w:pPr>
        <w:spacing w:after="0" w:line="206"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w:t>
      </w:r>
    </w:p>
    <w:p>
      <w:pPr>
        <w:spacing w:after="0" w:line="204" w:lineRule="exact"/>
        <w:rPr>
          <w:sz w:val="20"/>
          <w:szCs w:val="20"/>
          <w:color w:val="auto"/>
        </w:rPr>
      </w:pPr>
    </w:p>
    <w:p>
      <w:pPr>
        <w:ind w:left="583" w:right="20"/>
        <w:spacing w:after="0" w:line="287" w:lineRule="auto"/>
        <w:tabs>
          <w:tab w:leader="none" w:pos="74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means of Official Letter N.° 5089-2021-SMV/11, dated December 28, 2021, the SMV requested that we disclose the Deputy Superintendency Resolution as a material event.</w:t>
      </w:r>
    </w:p>
    <w:p>
      <w:pPr>
        <w:spacing w:after="0" w:line="142" w:lineRule="exact"/>
        <w:rPr>
          <w:rFonts w:ascii="Times New Roman" w:cs="Times New Roman" w:eastAsia="Times New Roman" w:hAnsi="Times New Roman"/>
          <w:sz w:val="16"/>
          <w:szCs w:val="16"/>
          <w:color w:val="auto"/>
        </w:rPr>
      </w:pPr>
    </w:p>
    <w:p>
      <w:pPr>
        <w:ind w:left="743" w:hanging="160"/>
        <w:spacing w:after="0"/>
        <w:tabs>
          <w:tab w:leader="none" w:pos="74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compliance with the SMV’s requirement, through this communication we comply with disclosing the Deputy Superintendency Resolution as a material event.</w:t>
      </w:r>
    </w:p>
    <w:p>
      <w:pPr>
        <w:spacing w:after="0" w:line="204" w:lineRule="exact"/>
        <w:rPr>
          <w:rFonts w:ascii="Times New Roman" w:cs="Times New Roman" w:eastAsia="Times New Roman" w:hAnsi="Times New Roman"/>
          <w:sz w:val="16"/>
          <w:szCs w:val="16"/>
          <w:color w:val="auto"/>
        </w:rPr>
      </w:pPr>
    </w:p>
    <w:p>
      <w:pPr>
        <w:ind w:left="5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4" w:lineRule="exact"/>
        <w:rPr>
          <w:sz w:val="20"/>
          <w:szCs w:val="20"/>
          <w:color w:val="auto"/>
        </w:rPr>
      </w:pPr>
    </w:p>
    <w:p>
      <w:pPr>
        <w:ind w:left="583" w:right="20"/>
        <w:spacing w:after="0" w:line="287" w:lineRule="auto"/>
        <w:tabs>
          <w:tab w:leader="none" w:pos="74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text of the Deputy Superintendency Resolution is published on the SMV’s website at the following address: </w:t>
      </w:r>
      <w:r>
        <w:rPr>
          <w:rFonts w:ascii="Times New Roman" w:cs="Times New Roman" w:eastAsia="Times New Roman" w:hAnsi="Times New Roman"/>
          <w:sz w:val="16"/>
          <w:szCs w:val="16"/>
          <w:u w:val="single" w:color="auto"/>
          <w:color w:val="auto"/>
        </w:rPr>
        <w:t>https://www.smv.gob.pe/Bp_LisDatosGenerales?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data=297FE41EF698EB62CC15A532971F&amp;op=bq1</w:t>
      </w:r>
      <w:r>
        <w:rPr>
          <w:rFonts w:ascii="Times New Roman" w:cs="Times New Roman" w:eastAsia="Times New Roman" w:hAnsi="Times New Roman"/>
          <w:sz w:val="16"/>
          <w:szCs w:val="16"/>
          <w:color w:val="auto"/>
        </w:rPr>
        <w:t xml:space="preserve"> (select the “Sanctions” section).</w:t>
      </w:r>
    </w:p>
    <w:p>
      <w:pPr>
        <w:spacing w:after="0" w:line="142" w:lineRule="exact"/>
        <w:rPr>
          <w:rFonts w:ascii="Times New Roman" w:cs="Times New Roman" w:eastAsia="Times New Roman" w:hAnsi="Times New Roman"/>
          <w:sz w:val="16"/>
          <w:szCs w:val="16"/>
          <w:color w:val="auto"/>
        </w:rPr>
      </w:pPr>
    </w:p>
    <w:p>
      <w:pPr>
        <w:jc w:val="both"/>
        <w:ind w:left="583" w:right="20"/>
        <w:spacing w:after="0" w:line="270" w:lineRule="auto"/>
        <w:tabs>
          <w:tab w:leader="none" w:pos="74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reported in our material event communication dated December 7, 2021, at the time, because we did not agree with the classification of the events nor with the sanctions imposed, our company filed an appeal against the Deputy Superintendency Resolution. Subsequently, upon the expiration of the deadline for the second administrative instance to issue a decision, our company invoked negative administrative silence and filed a claim before the Judicial Branch.</w:t>
      </w:r>
    </w:p>
    <w:p>
      <w:pPr>
        <w:spacing w:after="0" w:line="15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 xml:space="preserve">The Deputy Superintendency Resolution SMV N.° 012-2021-SMV/11 dated March 5, 2021, is shown in </w:t>
      </w:r>
      <w:r>
        <w:rPr>
          <w:rFonts w:ascii="Times New Roman" w:cs="Times New Roman" w:eastAsia="Times New Roman" w:hAnsi="Times New Roman"/>
          <w:sz w:val="16"/>
          <w:szCs w:val="16"/>
          <w:b w:val="1"/>
          <w:bCs w:val="1"/>
          <w:color w:val="auto"/>
        </w:rPr>
        <w:t>ANNEX 1.</w:t>
      </w:r>
    </w:p>
    <w:p>
      <w:pPr>
        <w:spacing w:after="0" w:line="204" w:lineRule="exact"/>
        <w:rPr>
          <w:sz w:val="20"/>
          <w:szCs w:val="20"/>
          <w:color w:val="auto"/>
        </w:rPr>
      </w:pPr>
    </w:p>
    <w:p>
      <w:pPr>
        <w:ind w:left="583" w:right="460" w:hanging="583"/>
        <w:spacing w:after="0" w:line="290" w:lineRule="auto"/>
        <w:tabs>
          <w:tab w:leader="none" w:pos="5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w:t>
      </w:r>
      <w:r>
        <w:rPr>
          <w:rFonts w:ascii="Times New Roman" w:cs="Times New Roman" w:eastAsia="Times New Roman" w:hAnsi="Times New Roman"/>
          <w:sz w:val="16"/>
          <w:szCs w:val="16"/>
          <w:b w:val="1"/>
          <w:bCs w:val="1"/>
          <w:color w:val="auto"/>
        </w:rPr>
        <w:t>August 15, 2023</w:t>
      </w:r>
      <w:r>
        <w:rPr>
          <w:rFonts w:ascii="Times New Roman" w:cs="Times New Roman" w:eastAsia="Times New Roman" w:hAnsi="Times New Roman"/>
          <w:sz w:val="16"/>
          <w:szCs w:val="16"/>
          <w:color w:val="auto"/>
        </w:rPr>
        <w:t>, by means of Resolution N.° 9, a first-instance judgment was issued declaring unfounded the claim filed by CREDICORP. Subsequently, CREDICORP appealed this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142621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6210" cy="15240"/>
                    </a:xfrm>
                    <a:prstGeom prst="rect">
                      <a:avLst/>
                    </a:prstGeom>
                    <a:noFill/>
                  </pic:spPr>
                </pic:pic>
              </a:graphicData>
            </a:graphic>
          </wp:anchor>
        </w:drawing>
      </w:r>
    </w:p>
    <w:p>
      <w:pPr>
        <w:spacing w:after="0" w:line="238" w:lineRule="exact"/>
        <w:rPr>
          <w:sz w:val="20"/>
          <w:szCs w:val="20"/>
          <w:color w:val="auto"/>
        </w:rPr>
      </w:pPr>
    </w:p>
    <w:p>
      <w:pPr>
        <w:ind w:left="103" w:hanging="103"/>
        <w:spacing w:after="0"/>
        <w:tabs>
          <w:tab w:leader="none" w:pos="103"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View link: </w:t>
      </w:r>
      <w:r>
        <w:rPr>
          <w:rFonts w:ascii="Times New Roman" w:cs="Times New Roman" w:eastAsia="Times New Roman" w:hAnsi="Times New Roman"/>
          <w:sz w:val="16"/>
          <w:szCs w:val="16"/>
          <w:u w:val="single" w:color="auto"/>
          <w:color w:val="auto"/>
        </w:rPr>
        <w:t>https://www.smv.gob.pe/ConsultasP8/documento.aspx?vidDoc=%7b2030097E-0000-C930-B24C-17A3CE69CAE1%7d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14629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10" w:name="page11"/>
    <w:bookmarkEnd w:id="10"/>
    <w:p>
      <w:pPr>
        <w:jc w:val="both"/>
        <w:ind w:left="583" w:hanging="583"/>
        <w:spacing w:after="0" w:line="262" w:lineRule="auto"/>
        <w:tabs>
          <w:tab w:leader="none" w:pos="58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w:t>
      </w:r>
      <w:r>
        <w:rPr>
          <w:rFonts w:ascii="Times New Roman" w:cs="Times New Roman" w:eastAsia="Times New Roman" w:hAnsi="Times New Roman"/>
          <w:sz w:val="16"/>
          <w:szCs w:val="16"/>
          <w:b w:val="1"/>
          <w:bCs w:val="1"/>
          <w:color w:val="auto"/>
        </w:rPr>
        <w:t>January 27, 2026</w:t>
      </w:r>
      <w:r>
        <w:rPr>
          <w:rFonts w:ascii="Times New Roman" w:cs="Times New Roman" w:eastAsia="Times New Roman" w:hAnsi="Times New Roman"/>
          <w:sz w:val="16"/>
          <w:szCs w:val="16"/>
          <w:color w:val="auto"/>
        </w:rPr>
        <w:t xml:space="preserve">, the SMV received from the Judicial Branch NOTIFICATION N.° 2806-2026-SU-CI, which attaches the Resolution without number dated </w:t>
      </w:r>
      <w:r>
        <w:rPr>
          <w:rFonts w:ascii="Times New Roman" w:cs="Times New Roman" w:eastAsia="Times New Roman" w:hAnsi="Times New Roman"/>
          <w:sz w:val="16"/>
          <w:szCs w:val="16"/>
          <w:b w:val="1"/>
          <w:bCs w:val="1"/>
          <w:color w:val="auto"/>
        </w:rPr>
        <w:t>November 26, 2025</w:t>
      </w:r>
      <w:r>
        <w:rPr>
          <w:rFonts w:ascii="Times New Roman" w:cs="Times New Roman" w:eastAsia="Times New Roman" w:hAnsi="Times New Roman"/>
          <w:sz w:val="16"/>
          <w:szCs w:val="16"/>
          <w:color w:val="auto"/>
        </w:rPr>
        <w:t>, issued by the Permanent Civil Chamber of the Supreme Court of the Republic, acting as an appellate court (Appeal File No. 1692-2024),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which decided to </w:t>
      </w:r>
      <w:r>
        <w:rPr>
          <w:rFonts w:ascii="Times New Roman" w:cs="Times New Roman" w:eastAsia="Times New Roman" w:hAnsi="Times New Roman"/>
          <w:sz w:val="16"/>
          <w:szCs w:val="16"/>
          <w:b w:val="1"/>
          <w:bCs w:val="1"/>
          <w:color w:val="auto"/>
        </w:rPr>
        <w:t>CONFIRM</w:t>
      </w:r>
      <w:r>
        <w:rPr>
          <w:rFonts w:ascii="Times New Roman" w:cs="Times New Roman" w:eastAsia="Times New Roman" w:hAnsi="Times New Roman"/>
          <w:sz w:val="16"/>
          <w:szCs w:val="16"/>
          <w:color w:val="auto"/>
        </w:rPr>
        <w:t xml:space="preserve"> the judgment dated August 15, 2023, issued by the Temporary Specialized Chamber for Administrative Litigation of the Superior Court of Justice of Lima, who declared UNFOUNDED the claim filed by CREDICORP against the SMV (hereinafter, the “RESOLUTION”). The summary of the RESOLUTION states:</w:t>
      </w:r>
    </w:p>
    <w:p>
      <w:pPr>
        <w:spacing w:after="0" w:line="159" w:lineRule="exact"/>
        <w:rPr>
          <w:rFonts w:ascii="Times New Roman" w:cs="Times New Roman" w:eastAsia="Times New Roman" w:hAnsi="Times New Roman"/>
          <w:sz w:val="16"/>
          <w:szCs w:val="16"/>
          <w:color w:val="auto"/>
        </w:rPr>
      </w:pPr>
    </w:p>
    <w:p>
      <w:pPr>
        <w:jc w:val="both"/>
        <w:ind w:left="583"/>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“Summary. In the present case, the Superior Court, acting correctly as the court of first instance, has declared the claim unfounded, </w:t>
      </w:r>
      <w:r>
        <w:rPr>
          <w:rFonts w:ascii="Times New Roman" w:cs="Times New Roman" w:eastAsia="Times New Roman" w:hAnsi="Times New Roman"/>
          <w:sz w:val="16"/>
          <w:szCs w:val="16"/>
          <w:b w:val="1"/>
          <w:bCs w:val="1"/>
          <w:i w:val="1"/>
          <w:iCs w:val="1"/>
          <w:u w:val="single" w:color="auto"/>
          <w:color w:val="auto"/>
        </w:rPr>
        <w:t>assessing the evidence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u w:val="single" w:color="auto"/>
          <w:color w:val="auto"/>
        </w:rPr>
        <w:t>admitted and produced in the proceeding and applying the correct and pertinent legal framework</w:t>
      </w:r>
      <w:r>
        <w:rPr>
          <w:rFonts w:ascii="Times New Roman" w:cs="Times New Roman" w:eastAsia="Times New Roman" w:hAnsi="Times New Roman"/>
          <w:sz w:val="16"/>
          <w:szCs w:val="16"/>
          <w:i w:val="1"/>
          <w:iCs w:val="1"/>
          <w:color w:val="auto"/>
        </w:rPr>
        <w:t>, since in the administrative stage it was determined that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claimant incurred very serious infringements, given that its conduct of keeping the information regarding the financial contributions to political campaigns secret constitutes concealment.</w:t>
      </w:r>
    </w:p>
    <w:p>
      <w:pPr>
        <w:spacing w:after="0" w:line="155" w:lineRule="exact"/>
        <w:rPr>
          <w:rFonts w:ascii="Times New Roman" w:cs="Times New Roman" w:eastAsia="Times New Roman" w:hAnsi="Times New Roman"/>
          <w:sz w:val="16"/>
          <w:szCs w:val="16"/>
          <w:color w:val="auto"/>
        </w:rPr>
      </w:pPr>
    </w:p>
    <w:p>
      <w:pPr>
        <w:ind w:left="583" w:right="20"/>
        <w:spacing w:after="0" w:line="29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Consequently, </w:t>
      </w:r>
      <w:r>
        <w:rPr>
          <w:rFonts w:ascii="Times New Roman" w:cs="Times New Roman" w:eastAsia="Times New Roman" w:hAnsi="Times New Roman"/>
          <w:sz w:val="16"/>
          <w:szCs w:val="16"/>
          <w:b w:val="1"/>
          <w:bCs w:val="1"/>
          <w:i w:val="1"/>
          <w:iCs w:val="1"/>
          <w:u w:val="single" w:color="auto"/>
          <w:color w:val="auto"/>
        </w:rPr>
        <w:t>the appealed judgment must be confirmed</w:t>
      </w:r>
      <w:r>
        <w:rPr>
          <w:rFonts w:ascii="Times New Roman" w:cs="Times New Roman" w:eastAsia="Times New Roman" w:hAnsi="Times New Roman"/>
          <w:sz w:val="16"/>
          <w:szCs w:val="16"/>
          <w:i w:val="1"/>
          <w:iCs w:val="1"/>
          <w:color w:val="auto"/>
        </w:rPr>
        <w:t xml:space="preserve">, as the arguments </w:t>
      </w:r>
      <w:r>
        <w:rPr>
          <w:rFonts w:ascii="Times New Roman" w:cs="Times New Roman" w:eastAsia="Times New Roman" w:hAnsi="Times New Roman"/>
          <w:sz w:val="16"/>
          <w:szCs w:val="16"/>
          <w:b w:val="1"/>
          <w:bCs w:val="1"/>
          <w:i w:val="1"/>
          <w:iCs w:val="1"/>
          <w:u w:val="single" w:color="auto"/>
          <w:color w:val="auto"/>
        </w:rPr>
        <w:t>raised in the appeal do not overturn the decision issued in first instance</w:t>
      </w:r>
      <w:r>
        <w:rPr>
          <w:rFonts w:ascii="Times New Roman" w:cs="Times New Roman" w:eastAsia="Times New Roman" w:hAnsi="Times New Roman"/>
          <w:sz w:val="16"/>
          <w:szCs w:val="16"/>
          <w:i w:val="1"/>
          <w:iCs w:val="1"/>
          <w:color w:val="auto"/>
        </w:rPr>
        <w:t xml:space="preserve"> by the Superior Court.”</w:t>
      </w:r>
    </w:p>
    <w:p>
      <w:pPr>
        <w:spacing w:after="0" w:line="137" w:lineRule="exact"/>
        <w:rPr>
          <w:rFonts w:ascii="Times New Roman" w:cs="Times New Roman" w:eastAsia="Times New Roman" w:hAnsi="Times New Roman"/>
          <w:sz w:val="16"/>
          <w:szCs w:val="16"/>
          <w:color w:val="auto"/>
        </w:rPr>
      </w:pPr>
    </w:p>
    <w:p>
      <w:pPr>
        <w:ind w:left="5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NOTIFICATION and the RESOLUTION are shown in </w:t>
      </w:r>
      <w:r>
        <w:rPr>
          <w:rFonts w:ascii="Times New Roman" w:cs="Times New Roman" w:eastAsia="Times New Roman" w:hAnsi="Times New Roman"/>
          <w:sz w:val="16"/>
          <w:szCs w:val="16"/>
          <w:b w:val="1"/>
          <w:bCs w:val="1"/>
          <w:color w:val="auto"/>
        </w:rPr>
        <w:t>ANNEX 2.</w:t>
      </w:r>
    </w:p>
    <w:p>
      <w:pPr>
        <w:spacing w:after="0" w:line="204" w:lineRule="exact"/>
        <w:rPr>
          <w:rFonts w:ascii="Times New Roman" w:cs="Times New Roman" w:eastAsia="Times New Roman" w:hAnsi="Times New Roman"/>
          <w:sz w:val="16"/>
          <w:szCs w:val="16"/>
          <w:color w:val="auto"/>
        </w:rPr>
      </w:pPr>
    </w:p>
    <w:p>
      <w:pPr>
        <w:ind w:left="583" w:right="20" w:hanging="583"/>
        <w:spacing w:after="0" w:line="290" w:lineRule="auto"/>
        <w:tabs>
          <w:tab w:leader="none" w:pos="58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date, CREDICORP has </w:t>
      </w:r>
      <w:r>
        <w:rPr>
          <w:rFonts w:ascii="Times New Roman" w:cs="Times New Roman" w:eastAsia="Times New Roman" w:hAnsi="Times New Roman"/>
          <w:sz w:val="16"/>
          <w:szCs w:val="16"/>
          <w:b w:val="1"/>
          <w:bCs w:val="1"/>
          <w:color w:val="auto"/>
        </w:rPr>
        <w:t>not complied with its obligation</w:t>
      </w:r>
      <w:r>
        <w:rPr>
          <w:rFonts w:ascii="Times New Roman" w:cs="Times New Roman" w:eastAsia="Times New Roman" w:hAnsi="Times New Roman"/>
          <w:sz w:val="16"/>
          <w:szCs w:val="16"/>
          <w:color w:val="auto"/>
        </w:rPr>
        <w:t xml:space="preserve"> to disclose, as a material event, the information related to the judgment referred to in the preceding paragraph.</w:t>
      </w:r>
    </w:p>
    <w:p>
      <w:pPr>
        <w:spacing w:after="0" w:line="138" w:lineRule="exact"/>
        <w:rPr>
          <w:rFonts w:ascii="Times New Roman" w:cs="Times New Roman" w:eastAsia="Times New Roman" w:hAnsi="Times New Roman"/>
          <w:sz w:val="16"/>
          <w:szCs w:val="16"/>
          <w:color w:val="auto"/>
        </w:rPr>
      </w:pPr>
    </w:p>
    <w:p>
      <w:pPr>
        <w:ind w:left="5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INFORMATION REQUESTS</w:t>
      </w:r>
    </w:p>
    <w:p>
      <w:pPr>
        <w:spacing w:after="0" w:line="206" w:lineRule="exact"/>
        <w:rPr>
          <w:rFonts w:ascii="Times New Roman" w:cs="Times New Roman" w:eastAsia="Times New Roman" w:hAnsi="Times New Roman"/>
          <w:sz w:val="16"/>
          <w:szCs w:val="16"/>
          <w:color w:val="auto"/>
        </w:rPr>
      </w:pPr>
    </w:p>
    <w:p>
      <w:pPr>
        <w:ind w:left="583" w:right="20"/>
        <w:spacing w:after="0" w:line="28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this regard, considering all that has been stated, the applicable legal framework in force, as well as the supervisory powers of the SMV—particularly those set forth in Article 27 of the MI Regulation—your company is required to report the following:</w:t>
      </w:r>
    </w:p>
    <w:p>
      <w:pPr>
        <w:spacing w:after="0" w:line="142" w:lineRule="exact"/>
        <w:rPr>
          <w:rFonts w:ascii="Times New Roman" w:cs="Times New Roman" w:eastAsia="Times New Roman" w:hAnsi="Times New Roman"/>
          <w:sz w:val="16"/>
          <w:szCs w:val="16"/>
          <w:color w:val="auto"/>
        </w:rPr>
      </w:pPr>
    </w:p>
    <w:p>
      <w:pPr>
        <w:ind w:left="743" w:hanging="160"/>
        <w:spacing w:after="0"/>
        <w:tabs>
          <w:tab w:leader="none" w:pos="74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Specify the date on which the RESOLUTION was notified to CREDICORP.</w:t>
      </w:r>
    </w:p>
    <w:p>
      <w:pPr>
        <w:spacing w:after="0" w:line="204" w:lineRule="exact"/>
        <w:rPr>
          <w:rFonts w:ascii="Times New Roman" w:cs="Times New Roman" w:eastAsia="Times New Roman" w:hAnsi="Times New Roman"/>
          <w:sz w:val="16"/>
          <w:szCs w:val="16"/>
          <w:color w:val="auto"/>
        </w:rPr>
      </w:pPr>
    </w:p>
    <w:p>
      <w:pPr>
        <w:ind w:left="743" w:hanging="160"/>
        <w:spacing w:after="0"/>
        <w:tabs>
          <w:tab w:leader="none" w:pos="74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Explain the reasons why CREDICORP did not disclose the information regarding the RESOLUTION as a material event.</w:t>
      </w:r>
    </w:p>
    <w:p>
      <w:pPr>
        <w:spacing w:after="0" w:line="204" w:lineRule="exact"/>
        <w:rPr>
          <w:rFonts w:ascii="Times New Roman" w:cs="Times New Roman" w:eastAsia="Times New Roman" w:hAnsi="Times New Roman"/>
          <w:sz w:val="16"/>
          <w:szCs w:val="16"/>
          <w:color w:val="auto"/>
        </w:rPr>
      </w:pPr>
    </w:p>
    <w:p>
      <w:pPr>
        <w:ind w:left="583" w:right="20"/>
        <w:spacing w:after="0" w:line="287" w:lineRule="auto"/>
        <w:tabs>
          <w:tab w:leader="none" w:pos="769"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Considering that the aforementioned judicial proceeding has resulted in unfavorable decisions for CREDICORP in both first and second instance, indicate whether these decisions conclude the proceeding, or whether CREDICORP will file any further appeal, as applicable.</w:t>
      </w:r>
    </w:p>
    <w:p>
      <w:pPr>
        <w:spacing w:after="0" w:line="142" w:lineRule="exact"/>
        <w:rPr>
          <w:rFonts w:ascii="Times New Roman" w:cs="Times New Roman" w:eastAsia="Times New Roman" w:hAnsi="Times New Roman"/>
          <w:sz w:val="16"/>
          <w:szCs w:val="16"/>
          <w:color w:val="auto"/>
        </w:rPr>
      </w:pPr>
    </w:p>
    <w:p>
      <w:pPr>
        <w:ind w:left="583" w:right="20"/>
        <w:spacing w:after="0" w:line="287" w:lineRule="auto"/>
        <w:tabs>
          <w:tab w:leader="none" w:pos="787"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 in which line items and notes of CREDICORP’s financial statements the fine imposed by the SMV has been recognized, the effects of the RESOLUTION on such line items, and any other information related to the RESOLUTION and its impact on Credicorp or its financial statements.</w:t>
      </w:r>
    </w:p>
    <w:p>
      <w:pPr>
        <w:spacing w:after="0" w:line="142" w:lineRule="exact"/>
        <w:rPr>
          <w:rFonts w:ascii="Times New Roman" w:cs="Times New Roman" w:eastAsia="Times New Roman" w:hAnsi="Times New Roman"/>
          <w:sz w:val="16"/>
          <w:szCs w:val="16"/>
          <w:color w:val="auto"/>
        </w:rPr>
      </w:pPr>
    </w:p>
    <w:p>
      <w:pPr>
        <w:ind w:left="743" w:hanging="160"/>
        <w:spacing w:after="0"/>
        <w:tabs>
          <w:tab w:leader="none" w:pos="74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facts previously set forth are not accurate, provide detailed and duly documented clarifications.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714629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t>6. Any other additional information and/or supporting documentation related to the matters addressed in this request.</w:t>
      </w:r>
    </w:p>
    <w:p>
      <w:pPr>
        <w:spacing w:after="0" w:line="2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 xml:space="preserve">This request must be responded to within a maximum period of two (02) business days, counted from the business day following notification of this letter, through the “Material Events” channel of the MVNet System. CREDICORP must </w:t>
      </w:r>
      <w:r>
        <w:rPr>
          <w:rFonts w:ascii="Times New Roman" w:cs="Times New Roman" w:eastAsia="Times New Roman" w:hAnsi="Times New Roman"/>
          <w:sz w:val="16"/>
          <w:szCs w:val="16"/>
          <w:b w:val="1"/>
          <w:bCs w:val="1"/>
          <w:color w:val="auto"/>
        </w:rPr>
        <w:t>include in its communication a copy of this Official Letter and its annexes</w:t>
      </w:r>
      <w:r>
        <w:rPr>
          <w:rFonts w:ascii="Times New Roman" w:cs="Times New Roman" w:eastAsia="Times New Roman" w:hAnsi="Times New Roman"/>
          <w:sz w:val="16"/>
          <w:szCs w:val="16"/>
          <w:color w:val="auto"/>
        </w:rPr>
        <w:t>, under warning that the SMV may proceed with their disclosure, pursuant to Article 27, numeral 27.1, of the MI Regulation.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Finally, your company is reminded that, in compliance with the cited regulations, it must fulfill its obligation to keep the market informed with respect to any act, event, or set of circumstances capable of exerting significant influence, and must take the necessary measures to ensure full compliance with the obligations arising from the securities market regulations, as well as to respond to the requests made by the Superintendency of the Securities Market. Failure to comply with such requests constitutes conduct subject to sanction in accordance with the provisions of the Regulation of Sanctions, approved by SMV Resolution N.° 035-2018-SMV/01.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remain at your disposal.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Alix Godos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Intendent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Intendency of Conduct Supervision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307340</wp:posOffset>
            </wp:positionV>
            <wp:extent cx="714629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660"/>
          </w:cols>
          <w:pgMar w:left="900" w:top="123"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1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6290" cy="31115"/>
                    </a:xfrm>
                    <a:prstGeom prst="rect">
                      <a:avLst/>
                    </a:prstGeom>
                    <a:noFill/>
                  </pic:spPr>
                </pic:pic>
              </a:graphicData>
            </a:graphic>
          </wp:anchor>
        </w:drawing>
        <w:t>Annex 2</w:t>
      </w:r>
    </w:p>
    <w:p>
      <w:pPr>
        <w:spacing w:after="0" w:line="20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Resolution of the Peruvian Deputy Superintendency of the Securities Market (SMV)</w:t>
      </w:r>
    </w:p>
    <w:p>
      <w:pPr>
        <w:spacing w:after="0" w:line="20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No. 012-2021-SMV/11</w:t>
      </w:r>
    </w:p>
    <w:p>
      <w:pPr>
        <w:spacing w:after="0" w:line="20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Lima, March 5, 2021</w:t>
      </w:r>
    </w:p>
    <w:p>
      <w:pPr>
        <w:spacing w:after="0" w:line="202" w:lineRule="exact"/>
        <w:rPr>
          <w:sz w:val="20"/>
          <w:szCs w:val="20"/>
          <w:color w:val="auto"/>
        </w:rPr>
      </w:pPr>
    </w:p>
    <w:p>
      <w:pPr>
        <w:jc w:val="both"/>
        <w:ind w:left="2283"/>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Summary: </w:t>
      </w:r>
      <w:r>
        <w:rPr>
          <w:rFonts w:ascii="Times New Roman" w:cs="Times New Roman" w:eastAsia="Times New Roman" w:hAnsi="Times New Roman"/>
          <w:sz w:val="16"/>
          <w:szCs w:val="16"/>
          <w:i w:val="1"/>
          <w:iCs w:val="1"/>
          <w:color w:val="auto"/>
        </w:rPr>
        <w:t>Impose a fine of 300 UIT on Credicorp LTD. for committing a very serious infraction as defined in subsection 1.6, numeral 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of Annex I of the Sanctions Regulations approved by CONASEV Resolution No. 055-2001-EF/94.10; and impose a fine of 210 UIT on Credicorp LTD. for committing a very serious infraction as defined in subsection 1.5, numeral 1 of Annex I of the Sanctions Regulations approved by CONASEV Resolution No. 055-2001-EF/94.10, as amended by SMV Resolution No. 006-2012-SMV/01.</w:t>
      </w:r>
    </w:p>
    <w:p>
      <w:pPr>
        <w:spacing w:after="0" w:line="200" w:lineRule="exact"/>
        <w:rPr>
          <w:sz w:val="20"/>
          <w:szCs w:val="20"/>
          <w:color w:val="auto"/>
        </w:rPr>
      </w:pPr>
    </w:p>
    <w:p>
      <w:pPr>
        <w:spacing w:after="0" w:line="34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Administrative Party: Credicorp LTD.</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 xml:space="preserve">Subject: </w:t>
      </w:r>
      <w:r>
        <w:rPr>
          <w:rFonts w:ascii="Times New Roman" w:cs="Times New Roman" w:eastAsia="Times New Roman" w:hAnsi="Times New Roman"/>
          <w:sz w:val="16"/>
          <w:szCs w:val="16"/>
          <w:color w:val="auto"/>
        </w:rPr>
        <w:t>Administrative Sanctions Procedure</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 xml:space="preserve">File No.: </w:t>
      </w:r>
      <w:r>
        <w:rPr>
          <w:rFonts w:ascii="Times New Roman" w:cs="Times New Roman" w:eastAsia="Times New Roman" w:hAnsi="Times New Roman"/>
          <w:sz w:val="16"/>
          <w:szCs w:val="16"/>
          <w:color w:val="auto"/>
        </w:rPr>
        <w:t>2019048270</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The Deputy Superintendent of Market Conduct Supervision</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HAVING REVIEWED:</w:t>
      </w:r>
    </w:p>
    <w:p>
      <w:pPr>
        <w:spacing w:after="0" w:line="206" w:lineRule="exact"/>
        <w:rPr>
          <w:sz w:val="20"/>
          <w:szCs w:val="20"/>
          <w:color w:val="auto"/>
        </w:rPr>
      </w:pPr>
    </w:p>
    <w:p>
      <w:pPr>
        <w:ind w:left="3" w:right="20"/>
        <w:spacing w:after="0" w:line="287" w:lineRule="auto"/>
        <w:rPr>
          <w:sz w:val="20"/>
          <w:szCs w:val="20"/>
          <w:color w:val="auto"/>
        </w:rPr>
      </w:pPr>
      <w:r>
        <w:rPr>
          <w:rFonts w:ascii="Times New Roman" w:cs="Times New Roman" w:eastAsia="Times New Roman" w:hAnsi="Times New Roman"/>
          <w:sz w:val="16"/>
          <w:szCs w:val="16"/>
          <w:color w:val="auto"/>
        </w:rPr>
        <w:t>Administrative File No. 2019048270 and Report No. 17-2021-SMV/11.2 (hereinafter, “the Report”) issued by the General Directorate of Market Conduct Compliance (IGCC) of the Deputy Superintendency of Market Conduct Supervision (SASCM);</w:t>
      </w:r>
    </w:p>
    <w:p>
      <w:pPr>
        <w:spacing w:after="0" w:line="1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Considering:</w:t>
      </w:r>
    </w:p>
    <w:p>
      <w:pPr>
        <w:spacing w:after="0" w:line="202" w:lineRule="exact"/>
        <w:rPr>
          <w:sz w:val="20"/>
          <w:szCs w:val="20"/>
          <w:color w:val="auto"/>
        </w:rPr>
      </w:pPr>
    </w:p>
    <w:p>
      <w:pPr>
        <w:ind w:left="343" w:hanging="343"/>
        <w:spacing w:after="0"/>
        <w:tabs>
          <w:tab w:leader="none" w:pos="343"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Function and Competence of the SASCM</w:t>
      </w:r>
    </w:p>
    <w:p>
      <w:pPr>
        <w:spacing w:after="0" w:line="206" w:lineRule="exact"/>
        <w:rPr>
          <w:rFonts w:ascii="Times New Roman" w:cs="Times New Roman" w:eastAsia="Times New Roman" w:hAnsi="Times New Roman"/>
          <w:sz w:val="16"/>
          <w:szCs w:val="16"/>
          <w:b w:val="1"/>
          <w:bCs w:val="1"/>
          <w:color w:val="auto"/>
        </w:rPr>
      </w:pPr>
    </w:p>
    <w:p>
      <w:pPr>
        <w:jc w:val="both"/>
        <w:ind w:left="583" w:hanging="292"/>
        <w:spacing w:after="0" w:line="270" w:lineRule="auto"/>
        <w:tabs>
          <w:tab w:leader="none" w:pos="58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file No. 2019048270 contains the documentation and information related to an Administrative Sanctions Procedure (“ASP”), brought to the attention of the SASCM in accordance with its supervisory role and its sanctioning authority established in the Consolidated Single Text of its Organic Law, Decree Law No. 26126 (“LOSMV”), and in the Securities Market Law, Legislative Decree No. 861 (“LMV”).</w:t>
      </w:r>
    </w:p>
    <w:p>
      <w:pPr>
        <w:spacing w:after="0" w:line="120" w:lineRule="exact"/>
        <w:rPr>
          <w:rFonts w:ascii="Times New Roman" w:cs="Times New Roman" w:eastAsia="Times New Roman" w:hAnsi="Times New Roman"/>
          <w:sz w:val="16"/>
          <w:szCs w:val="16"/>
          <w:color w:val="auto"/>
        </w:rPr>
      </w:pPr>
    </w:p>
    <w:p>
      <w:pPr>
        <w:ind w:left="583" w:right="20"/>
        <w:spacing w:after="0" w:line="234"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Additionally, it is governed by the Sanctions Regulations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its amendments, in force at the time the events occurred, as well as Articles 42 and 43 of the SMV’s Organization and Functions Regulations (ROF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 approved by Supreme Decree No. 216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w:t>
      </w:r>
    </w:p>
    <w:p>
      <w:pPr>
        <w:spacing w:after="0" w:line="116" w:lineRule="exact"/>
        <w:rPr>
          <w:rFonts w:ascii="Times New Roman" w:cs="Times New Roman" w:eastAsia="Times New Roman" w:hAnsi="Times New Roman"/>
          <w:sz w:val="16"/>
          <w:szCs w:val="16"/>
          <w:color w:val="auto"/>
        </w:rPr>
      </w:pPr>
    </w:p>
    <w:p>
      <w:pPr>
        <w:jc w:val="both"/>
        <w:ind w:left="583" w:right="20"/>
        <w:spacing w:after="0" w:line="257"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Under this framework, the SASCM is the entity empowered </w:t>
      </w:r>
      <w:r>
        <w:rPr>
          <w:rFonts w:ascii="Times New Roman" w:cs="Times New Roman" w:eastAsia="Times New Roman" w:hAnsi="Times New Roman"/>
          <w:sz w:val="16"/>
          <w:szCs w:val="16"/>
          <w:b w:val="1"/>
          <w:bCs w:val="1"/>
          <w:u w:val="single" w:color="auto"/>
          <w:color w:val="auto"/>
        </w:rPr>
        <w:t>to impose first</w:t>
      </w:r>
      <w:r>
        <w:rPr>
          <w:rFonts w:ascii="MS PGothic" w:cs="MS PGothic" w:eastAsia="MS PGothic" w:hAnsi="MS PGothic"/>
          <w:sz w:val="16"/>
          <w:szCs w:val="16"/>
          <w:u w:val="single" w:color="auto"/>
          <w:color w:val="auto"/>
          <w:strike w:val="1"/>
        </w:rPr>
        <w:t>‑</w:t>
      </w:r>
      <w:r>
        <w:rPr>
          <w:rFonts w:ascii="Times New Roman" w:cs="Times New Roman" w:eastAsia="Times New Roman" w:hAnsi="Times New Roman"/>
          <w:sz w:val="16"/>
          <w:szCs w:val="16"/>
          <w:b w:val="1"/>
          <w:bCs w:val="1"/>
          <w:u w:val="single" w:color="auto"/>
          <w:color w:val="auto"/>
        </w:rPr>
        <w:t>instance administrative sanctions for infractions within its jurisdiction</w:t>
      </w:r>
      <w:r>
        <w:rPr>
          <w:rFonts w:ascii="Times New Roman" w:cs="Times New Roman" w:eastAsia="Times New Roman" w:hAnsi="Times New Roman"/>
          <w:sz w:val="16"/>
          <w:szCs w:val="16"/>
          <w:color w:val="auto"/>
        </w:rPr>
        <w:t xml:space="preserve"> and must therefore review and resolve the present ASP. It should also be noted that the SASCM has the authority to impose corrective measures aimed at reversing the situation caused by the commission of the infraction.</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178816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56" w:lineRule="exact"/>
        <w:rPr>
          <w:sz w:val="20"/>
          <w:szCs w:val="20"/>
          <w:color w:val="auto"/>
        </w:rPr>
      </w:pPr>
    </w:p>
    <w:p>
      <w:pPr>
        <w:ind w:left="103" w:hanging="103"/>
        <w:spacing w:after="0"/>
        <w:tabs>
          <w:tab w:leader="none" w:pos="103"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 this Resolution, emphasis, underlining, and boxed text have been added for the purpose of facilitating the reading of certain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14629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255" w:right="319" w:bottom="1440" w:gutter="0" w:footer="0" w:header="0"/>
        </w:sectPr>
      </w:pPr>
    </w:p>
    <w:bookmarkStart w:id="13" w:name="page14"/>
    <w:bookmarkEnd w:id="13"/>
    <w:p>
      <w:pPr>
        <w:jc w:val="both"/>
        <w:ind w:left="583" w:hanging="292"/>
        <w:spacing w:after="0" w:line="205" w:lineRule="exact"/>
        <w:tabs>
          <w:tab w:leader="none" w:pos="583"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regarding the nature of the charges formulated in the present PAS and the respective types of infractions, these must be evaluated by two (02) administrative instances, in accordance with Article 11 of the Sanctions Regulation, in force at the date the events occurred, and with the provisions of item 26 of Article 12 of the ROF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 which establish that the Superintendent of the Securities Market resolves the appeals against the resolutions issued in the first administrative instance by the Deputy Superintendent of Market Conducts of the SASCM, with the exception of single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instance proceedings;</w:t>
      </w:r>
    </w:p>
    <w:p>
      <w:pPr>
        <w:spacing w:after="0" w:line="150" w:lineRule="exact"/>
        <w:rPr>
          <w:rFonts w:ascii="Times New Roman" w:cs="Times New Roman" w:eastAsia="Times New Roman" w:hAnsi="Times New Roman"/>
          <w:sz w:val="16"/>
          <w:szCs w:val="16"/>
          <w:color w:val="auto"/>
        </w:rPr>
      </w:pPr>
    </w:p>
    <w:p>
      <w:pPr>
        <w:ind w:left="203" w:hanging="203"/>
        <w:spacing w:after="0"/>
        <w:tabs>
          <w:tab w:leader="none" w:pos="203"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Facts, charges and defenses of the Administered Party</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2.1 Facts</w:t>
      </w:r>
    </w:p>
    <w:p>
      <w:pPr>
        <w:spacing w:after="0" w:line="206" w:lineRule="exact"/>
        <w:rPr>
          <w:sz w:val="20"/>
          <w:szCs w:val="20"/>
          <w:color w:val="auto"/>
        </w:rPr>
      </w:pPr>
    </w:p>
    <w:p>
      <w:pPr>
        <w:jc w:val="both"/>
        <w:ind w:left="583" w:hanging="292"/>
        <w:spacing w:after="0" w:line="264" w:lineRule="auto"/>
        <w:tabs>
          <w:tab w:leader="none" w:pos="58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according to the charges formulated, it was determined that Credicorp LTD. (hereinafter, the Issuer) maintained a conduct of withholding information that affected market transparency, information regarding its decision to make cash contributions to the political party FUERZA 2011 and to the agreement of its Executive Committee by which it resolved to contribute to the political party PERUANOS POR EL KAMBIO, acts that occurred during the campaigns to elect the President of the Republic of Peru and the members of the Congress of the Republic in the years 2011 and 2016, respectively;</w:t>
      </w:r>
    </w:p>
    <w:p>
      <w:pPr>
        <w:spacing w:after="0" w:line="1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2.2 Charges</w:t>
      </w:r>
    </w:p>
    <w:p>
      <w:pPr>
        <w:spacing w:after="0" w:line="171" w:lineRule="exact"/>
        <w:rPr>
          <w:sz w:val="20"/>
          <w:szCs w:val="20"/>
          <w:color w:val="auto"/>
        </w:rPr>
      </w:pPr>
    </w:p>
    <w:p>
      <w:pPr>
        <w:ind w:left="583" w:hanging="292"/>
        <w:spacing w:after="0" w:line="221" w:lineRule="exact"/>
        <w:tabs>
          <w:tab w:leader="none" w:pos="58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as a result thereof, through Official Letter No. 6143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SMV/11.2 of November 27, 2019 (hereinafter, the Charges Letter), charges were brought against the Issuer for having engaged in conduct that would have affected the transparency of the securities market. The charges formulated were:</w:t>
      </w:r>
    </w:p>
    <w:p>
      <w:pPr>
        <w:spacing w:after="0" w:line="200" w:lineRule="exact"/>
        <w:rPr>
          <w:rFonts w:ascii="Times New Roman" w:cs="Times New Roman" w:eastAsia="Times New Roman" w:hAnsi="Times New Roman"/>
          <w:sz w:val="16"/>
          <w:szCs w:val="16"/>
          <w:color w:val="auto"/>
        </w:rPr>
      </w:pPr>
    </w:p>
    <w:p>
      <w:pPr>
        <w:jc w:val="both"/>
        <w:ind w:left="543" w:right="100"/>
        <w:spacing w:after="0" w:line="27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 FIRST CHARGE: THE ISSUER ENGAGED IN CONDUCT THAT WOULD HAVE AFFECTED THE TRANSPARENCY OF THE SECURITIES MARKET BY FAILING TO DISCLOSE RELEVANT INFORMATION TO THE MARKET REGARDING THE CASH CONTRIBUTIONS MADE BY THE ISSUER TO THE POLITICAL PARTY FUERZA 2011 DURING THE 2011 PRESIDENTIAL CAMPAIGN</w:t>
      </w:r>
      <w:r>
        <w:rPr>
          <w:rFonts w:ascii="Times New Roman" w:cs="Times New Roman" w:eastAsia="Times New Roman" w:hAnsi="Times New Roman"/>
          <w:sz w:val="26"/>
          <w:szCs w:val="26"/>
          <w:b w:val="1"/>
          <w:bCs w:val="1"/>
          <w:color w:val="auto"/>
          <w:vertAlign w:val="superscript"/>
        </w:rPr>
        <w:t>2</w:t>
      </w:r>
    </w:p>
    <w:p>
      <w:pPr>
        <w:spacing w:after="0" w:line="41" w:lineRule="exact"/>
        <w:rPr>
          <w:rFonts w:ascii="Times New Roman" w:cs="Times New Roman" w:eastAsia="Times New Roman" w:hAnsi="Times New Roman"/>
          <w:sz w:val="16"/>
          <w:szCs w:val="16"/>
          <w:color w:val="auto"/>
        </w:rPr>
      </w:pPr>
    </w:p>
    <w:p>
      <w:pPr>
        <w:ind w:left="583" w:hanging="292"/>
        <w:spacing w:after="0"/>
        <w:tabs>
          <w:tab w:leader="none" w:pos="58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in this regard, the charge is based on the following:</w:t>
      </w:r>
    </w:p>
    <w:p>
      <w:pPr>
        <w:spacing w:after="0" w:line="204" w:lineRule="exact"/>
        <w:rPr>
          <w:rFonts w:ascii="Times New Roman" w:cs="Times New Roman" w:eastAsia="Times New Roman" w:hAnsi="Times New Roman"/>
          <w:sz w:val="16"/>
          <w:szCs w:val="16"/>
          <w:color w:val="auto"/>
        </w:rPr>
      </w:pPr>
    </w:p>
    <w:p>
      <w:pPr>
        <w:ind w:left="1163" w:hanging="289"/>
        <w:spacing w:after="0" w:line="287" w:lineRule="auto"/>
        <w:tabs>
          <w:tab w:leader="none" w:pos="1163"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information released by the Issuer between November 18 and 21, 2019, it was made public for the first time that the Issuer had made cash contributions totaling US$ 3.65 million to the political party Fuerza 2011 for the 2011 presidential campaign (hereinafter, </w:t>
      </w:r>
      <w:r>
        <w:rPr>
          <w:rFonts w:ascii="Times New Roman" w:cs="Times New Roman" w:eastAsia="Times New Roman" w:hAnsi="Times New Roman"/>
          <w:sz w:val="16"/>
          <w:szCs w:val="16"/>
          <w:b w:val="1"/>
          <w:bCs w:val="1"/>
          <w:color w:val="auto"/>
        </w:rPr>
        <w:t>THE 2011 INFORMATION).</w:t>
      </w:r>
    </w:p>
    <w:p>
      <w:pPr>
        <w:spacing w:after="0" w:line="142" w:lineRule="exact"/>
        <w:rPr>
          <w:rFonts w:ascii="Times New Roman" w:cs="Times New Roman" w:eastAsia="Times New Roman" w:hAnsi="Times New Roman"/>
          <w:sz w:val="16"/>
          <w:szCs w:val="16"/>
          <w:color w:val="auto"/>
        </w:rPr>
      </w:pPr>
    </w:p>
    <w:p>
      <w:pPr>
        <w:jc w:val="both"/>
        <w:ind w:left="1163" w:hanging="289"/>
        <w:spacing w:after="0" w:line="273" w:lineRule="auto"/>
        <w:tabs>
          <w:tab w:leader="none" w:pos="1163"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2011 INFORMATION was disclosed by the Issuer as a result of its Chairman of the Board, Mr. Dionisio Romero Paoletti (hereinafter, Mr. Romero), being summoned to testify as a witness in a criminal investigation. Indeed, as the Issuer itself has disclosed, the Chairman of the Board appeared to testify before the Public Prosecutor’s Office on </w:t>
      </w:r>
      <w:r>
        <w:rPr>
          <w:rFonts w:ascii="Times New Roman" w:cs="Times New Roman" w:eastAsia="Times New Roman" w:hAnsi="Times New Roman"/>
          <w:sz w:val="16"/>
          <w:szCs w:val="16"/>
          <w:b w:val="1"/>
          <w:bCs w:val="1"/>
          <w:u w:val="single" w:color="auto"/>
          <w:color w:val="auto"/>
        </w:rPr>
        <w:t>November 18, 2019.</w:t>
      </w:r>
      <w:r>
        <w:rPr>
          <w:rFonts w:ascii="Times New Roman" w:cs="Times New Roman" w:eastAsia="Times New Roman" w:hAnsi="Times New Roman"/>
          <w:sz w:val="26"/>
          <w:szCs w:val="26"/>
          <w:b w:val="1"/>
          <w:bCs w:val="1"/>
          <w:u w:val="single" w:color="auto"/>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-1611630</wp:posOffset>
            </wp:positionV>
            <wp:extent cx="6868795" cy="400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68795" cy="4006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76200</wp:posOffset>
            </wp:positionV>
            <wp:extent cx="178816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80" w:lineRule="exact"/>
        <w:rPr>
          <w:sz w:val="20"/>
          <w:szCs w:val="20"/>
          <w:color w:val="auto"/>
        </w:rPr>
      </w:pPr>
    </w:p>
    <w:p>
      <w:pPr>
        <w:ind w:left="103" w:hanging="103"/>
        <w:spacing w:after="0"/>
        <w:tabs>
          <w:tab w:leader="none" w:pos="103"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underlining and boxed highlights are additions.</w:t>
      </w:r>
    </w:p>
    <w:p>
      <w:pPr>
        <w:spacing w:after="0" w:line="2" w:lineRule="exact"/>
        <w:rPr>
          <w:rFonts w:ascii="Times New Roman" w:cs="Times New Roman" w:eastAsia="Times New Roman" w:hAnsi="Times New Roman"/>
          <w:sz w:val="27"/>
          <w:szCs w:val="27"/>
          <w:color w:val="auto"/>
          <w:vertAlign w:val="superscript"/>
        </w:rPr>
      </w:pPr>
    </w:p>
    <w:p>
      <w:pPr>
        <w:ind w:left="3"/>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The underlining and boxed highlights are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4629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23" w:right="339" w:bottom="1440" w:gutter="0" w:footer="0" w:header="0"/>
        </w:sectPr>
      </w:pPr>
    </w:p>
    <w:bookmarkStart w:id="14" w:name="page15"/>
    <w:bookmarkEnd w:id="14"/>
    <w:p>
      <w:pPr>
        <w:jc w:val="both"/>
        <w:ind w:left="289" w:right="20" w:hanging="289"/>
        <w:spacing w:after="0" w:line="260" w:lineRule="auto"/>
        <w:tabs>
          <w:tab w:leader="none" w:pos="28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statements made before the Public Prosecutor’s Office were ratified that same November 18, 2019 through a communication made by Mr. Romero, in his capacity as Chairman of the Board, to his employees. This communication was published on the Issuer’s official Twitter account (@CredicorpGroup). Likewise, the Issuer reported on the matter through a Press Release entitled “Credicorp Ltd. Chairman Testifies in Government Investigation,” on its</w:t>
      </w:r>
    </w:p>
    <w:p>
      <w:pPr>
        <w:ind w:left="289"/>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website (</w:t>
      </w:r>
      <w:r>
        <w:rPr>
          <w:rFonts w:ascii="Times New Roman" w:cs="Times New Roman" w:eastAsia="Times New Roman" w:hAnsi="Times New Roman"/>
          <w:sz w:val="16"/>
          <w:szCs w:val="16"/>
          <w:u w:val="single" w:color="auto"/>
          <w:color w:val="auto"/>
        </w:rPr>
        <w:t>http://www.credicorpnet.com</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https://credicorp.gcs-web.com/newsreleases/news-release-details/credicorp-ltd-chairman-testifies-governmentinvestigation</w:t>
      </w:r>
      <w:r>
        <w:rPr>
          <w:rFonts w:ascii="Times New Roman" w:cs="Times New Roman" w:eastAsia="Times New Roman" w:hAnsi="Times New Roman"/>
          <w:sz w:val="16"/>
          <w:szCs w:val="16"/>
          <w:color w:val="auto"/>
        </w:rPr>
        <w:t>) Translator’s Note: The hyperlink included in the original document is no longer available.</w:t>
      </w:r>
    </w:p>
    <w:p>
      <w:pPr>
        <w:spacing w:after="0" w:line="158" w:lineRule="exact"/>
        <w:rPr>
          <w:rFonts w:ascii="Times New Roman" w:cs="Times New Roman" w:eastAsia="Times New Roman" w:hAnsi="Times New Roman"/>
          <w:sz w:val="16"/>
          <w:szCs w:val="16"/>
          <w:color w:val="auto"/>
        </w:rPr>
      </w:pPr>
    </w:p>
    <w:p>
      <w:pPr>
        <w:ind w:left="289" w:right="20" w:hanging="289"/>
        <w:spacing w:after="0" w:line="263" w:lineRule="auto"/>
        <w:tabs>
          <w:tab w:leader="none" w:pos="28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foregoing, Mr. Romero’s statement before the Public Prosecutor’s Office on November 18, 2019 was also made known through publication in the newspaper El Comercio, in its November 19, 2019 edition. See the following links:</w:t>
      </w:r>
    </w:p>
    <w:p>
      <w:pPr>
        <w:spacing w:after="0" w:line="1" w:lineRule="exact"/>
        <w:rPr>
          <w:rFonts w:ascii="Times New Roman" w:cs="Times New Roman" w:eastAsia="Times New Roman" w:hAnsi="Times New Roman"/>
          <w:sz w:val="16"/>
          <w:szCs w:val="16"/>
          <w:color w:val="auto"/>
        </w:rPr>
      </w:pPr>
    </w:p>
    <w:p>
      <w:pPr>
        <w:ind w:left="289" w:right="2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https://elcomercio.pe/politica/justicia/lea-el-testimonio-completo-de-dionisio-romero-paoletti-sobre-aportes-a-keiko-fujimori-noticia/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https://es.scribd.com/document/435717148/Declaracion-de-Dionisio-Romero-Paoletti#download&amp;from embed</w:t>
      </w:r>
      <w:r>
        <w:rPr>
          <w:rFonts w:ascii="Times New Roman" w:cs="Times New Roman" w:eastAsia="Times New Roman" w:hAnsi="Times New Roman"/>
          <w:sz w:val="16"/>
          <w:szCs w:val="16"/>
          <w:color w:val="auto"/>
        </w:rPr>
        <w:t>.</w:t>
      </w:r>
    </w:p>
    <w:p>
      <w:pPr>
        <w:spacing w:after="0" w:line="158" w:lineRule="exact"/>
        <w:rPr>
          <w:rFonts w:ascii="Times New Roman" w:cs="Times New Roman" w:eastAsia="Times New Roman" w:hAnsi="Times New Roman"/>
          <w:sz w:val="16"/>
          <w:szCs w:val="16"/>
          <w:color w:val="auto"/>
        </w:rPr>
      </w:pPr>
    </w:p>
    <w:p>
      <w:pPr>
        <w:jc w:val="both"/>
        <w:ind w:left="289" w:hanging="289"/>
        <w:spacing w:after="0" w:line="200" w:lineRule="exact"/>
        <w:tabs>
          <w:tab w:leader="none" w:pos="28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should be noted that the Issuer only disclosed THE 2011 INFORMATION as a result of the summons to render testimony before the Public Prosecutor’s Office; that is, the information was provided in an interrogation to which Mr. Romero had been summoned, making evident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disclosure or concealment of THE 2011 INFORMATION to the market.</w:t>
      </w:r>
    </w:p>
    <w:p>
      <w:pPr>
        <w:spacing w:after="0" w:line="179" w:lineRule="exact"/>
        <w:rPr>
          <w:rFonts w:ascii="Times New Roman" w:cs="Times New Roman" w:eastAsia="Times New Roman" w:hAnsi="Times New Roman"/>
          <w:sz w:val="16"/>
          <w:szCs w:val="16"/>
          <w:color w:val="auto"/>
        </w:rPr>
      </w:pPr>
    </w:p>
    <w:p>
      <w:pPr>
        <w:ind w:left="289" w:hanging="289"/>
        <w:spacing w:after="0" w:line="287" w:lineRule="auto"/>
        <w:tabs>
          <w:tab w:leader="none" w:pos="28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2011 INFORMATION, by its nature, had the capacity to significantly influence investors’ decisions regarding the Issuer’s securities and therefore should have been disclosed, since it could have generated an impact on the market for such securities.</w:t>
      </w:r>
    </w:p>
    <w:p>
      <w:pPr>
        <w:spacing w:after="0" w:line="142" w:lineRule="exact"/>
        <w:rPr>
          <w:rFonts w:ascii="Times New Roman" w:cs="Times New Roman" w:eastAsia="Times New Roman" w:hAnsi="Times New Roman"/>
          <w:sz w:val="16"/>
          <w:szCs w:val="16"/>
          <w:color w:val="auto"/>
        </w:rPr>
      </w:pPr>
    </w:p>
    <w:p>
      <w:pPr>
        <w:jc w:val="both"/>
        <w:ind w:left="26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should be noted that, although it does not correspond to the time when the information should have been disclosed, indicators have been observed showing that THE 2011 INFORMATION, even when disclosed belatedly, years later, has still had the capacity to significantly influence the market for the Issuer’s common shares, despite the fact that in the days following the disclosure the price recovered, but not to the same levels prior to the disclosure of THE 2011 INFORMATION.</w:t>
      </w:r>
    </w:p>
    <w:p>
      <w:pPr>
        <w:spacing w:after="0" w:line="161" w:lineRule="exact"/>
        <w:rPr>
          <w:rFonts w:ascii="Times New Roman" w:cs="Times New Roman" w:eastAsia="Times New Roman" w:hAnsi="Times New Roman"/>
          <w:sz w:val="16"/>
          <w:szCs w:val="16"/>
          <w:color w:val="auto"/>
        </w:rPr>
      </w:pPr>
    </w:p>
    <w:p>
      <w:pPr>
        <w:ind w:left="26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this regard, the following graph is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240665</wp:posOffset>
            </wp:positionV>
            <wp:extent cx="714629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389"/>
          </w:cols>
          <w:pgMar w:left="1191" w:top="123" w:right="31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1781810</wp:posOffset>
            </wp:positionH>
            <wp:positionV relativeFrom="page">
              <wp:posOffset>88900</wp:posOffset>
            </wp:positionV>
            <wp:extent cx="4347845" cy="2359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4347845" cy="235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43"/>
        <w:spacing w:after="0"/>
        <w:rPr>
          <w:sz w:val="20"/>
          <w:szCs w:val="20"/>
          <w:color w:val="auto"/>
        </w:rPr>
      </w:pPr>
      <w:r>
        <w:rPr>
          <w:rFonts w:ascii="Times New Roman" w:cs="Times New Roman" w:eastAsia="Times New Roman" w:hAnsi="Times New Roman"/>
          <w:sz w:val="16"/>
          <w:szCs w:val="16"/>
          <w:color w:val="auto"/>
        </w:rPr>
        <w:t>Elaboration IGCC. Source: Bloomberg</w:t>
      </w:r>
    </w:p>
    <w:p>
      <w:pPr>
        <w:spacing w:after="0" w:line="204" w:lineRule="exact"/>
        <w:rPr>
          <w:sz w:val="20"/>
          <w:szCs w:val="20"/>
          <w:color w:val="auto"/>
        </w:rPr>
      </w:pPr>
    </w:p>
    <w:p>
      <w:pPr>
        <w:jc w:val="both"/>
        <w:ind w:left="923"/>
        <w:spacing w:after="0" w:line="264" w:lineRule="auto"/>
        <w:rPr>
          <w:sz w:val="20"/>
          <w:szCs w:val="20"/>
          <w:color w:val="auto"/>
        </w:rPr>
      </w:pPr>
      <w:r>
        <w:rPr>
          <w:rFonts w:ascii="Times New Roman" w:cs="Times New Roman" w:eastAsia="Times New Roman" w:hAnsi="Times New Roman"/>
          <w:sz w:val="16"/>
          <w:szCs w:val="16"/>
          <w:color w:val="auto"/>
        </w:rPr>
        <w:t>On November 19, 2019 (the day after Mr. Romero’s letter was disseminated via Twitter on November 18, 2019, and the publication of the Press Release on the Issuer’s website on November 18, 2019), it was observed that during the first hour of trading on the New York Stock Exchange (NYSE), the Issuer’s common stock (BAP) experienced a drop of up to 2.46%, while on the Lima Stock Exchange (BVL) it registered a 2.0% decline compared to the previous day’s closing price, reaching a minimum price of US$ 205.6 and US$ 205.9, respectively.</w:t>
      </w:r>
    </w:p>
    <w:p>
      <w:pPr>
        <w:spacing w:after="0" w:line="162" w:lineRule="exact"/>
        <w:rPr>
          <w:sz w:val="20"/>
          <w:szCs w:val="20"/>
          <w:color w:val="auto"/>
        </w:rPr>
      </w:pPr>
    </w:p>
    <w:p>
      <w:pPr>
        <w:jc w:val="both"/>
        <w:ind w:left="923"/>
        <w:spacing w:after="0" w:line="287" w:lineRule="auto"/>
        <w:rPr>
          <w:sz w:val="20"/>
          <w:szCs w:val="20"/>
          <w:color w:val="auto"/>
        </w:rPr>
      </w:pPr>
      <w:r>
        <w:rPr>
          <w:rFonts w:ascii="Times New Roman" w:cs="Times New Roman" w:eastAsia="Times New Roman" w:hAnsi="Times New Roman"/>
          <w:sz w:val="16"/>
          <w:szCs w:val="16"/>
          <w:color w:val="auto"/>
        </w:rPr>
        <w:t>Although the stock price recovered in the following hours, the BAP share closed that day lower, at US$ 208.19 on the NYSE and US$ 206.62 on the BVL, representing a decline of -1.25% and -1.61%, respectively.</w:t>
      </w:r>
    </w:p>
    <w:p>
      <w:pPr>
        <w:spacing w:after="0" w:line="143" w:lineRule="exact"/>
        <w:rPr>
          <w:sz w:val="20"/>
          <w:szCs w:val="20"/>
          <w:color w:val="auto"/>
        </w:rPr>
      </w:pPr>
    </w:p>
    <w:p>
      <w:pPr>
        <w:jc w:val="both"/>
        <w:ind w:left="863" w:hanging="292"/>
        <w:spacing w:after="0" w:line="232" w:lineRule="auto"/>
        <w:tabs>
          <w:tab w:leader="none" w:pos="86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another note, it should be indicated that the Issuer is a specialized issuer that is familiar with the securities market regulations to which it is subject, which are of mandatory compliance, particularly those directly related to information transparency. This is even more relevant considering the size of the corporation, the business lines or companies within the economic group it controls, and the number of its shareholders.</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Likewise, it should be noted that the Issuer is listed not only on the local exchange but also on the NYSE, one of the most important stock exchanges worldwide. Therefore, it is aware that it is obligated to communicate its information to the SMV and to the securities market in a truthful, sufficient, and timely manner. Additionally, the Issuer has the capacity to assess which information is relevant to an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178816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342" w:lineRule="exact"/>
        <w:rPr>
          <w:sz w:val="20"/>
          <w:szCs w:val="20"/>
          <w:color w:val="auto"/>
        </w:rPr>
      </w:pPr>
    </w:p>
    <w:p>
      <w:pPr>
        <w:ind w:left="3" w:right="140" w:hanging="3"/>
        <w:spacing w:after="0" w:line="212" w:lineRule="auto"/>
        <w:tabs>
          <w:tab w:leader="none" w:pos="111"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The minority shareholders of the Issuer total approximately </w:t>
      </w:r>
      <w:r>
        <w:rPr>
          <w:rFonts w:ascii="Times New Roman" w:cs="Times New Roman" w:eastAsia="Times New Roman" w:hAnsi="Times New Roman"/>
          <w:sz w:val="16"/>
          <w:szCs w:val="16"/>
          <w:b w:val="1"/>
          <w:bCs w:val="1"/>
          <w:color w:val="auto"/>
        </w:rPr>
        <w:t>4,939</w:t>
      </w:r>
      <w:r>
        <w:rPr>
          <w:rFonts w:ascii="Times New Roman" w:cs="Times New Roman" w:eastAsia="Times New Roman" w:hAnsi="Times New Roman"/>
          <w:sz w:val="16"/>
          <w:szCs w:val="16"/>
          <w:color w:val="auto"/>
        </w:rPr>
        <w:t xml:space="preserve">, each with an individual ownership of less than </w:t>
      </w:r>
      <w:r>
        <w:rPr>
          <w:rFonts w:ascii="Times New Roman" w:cs="Times New Roman" w:eastAsia="Times New Roman" w:hAnsi="Times New Roman"/>
          <w:sz w:val="16"/>
          <w:szCs w:val="16"/>
          <w:b w:val="1"/>
          <w:bCs w:val="1"/>
          <w:color w:val="auto"/>
        </w:rPr>
        <w:t>1.00%</w:t>
      </w:r>
      <w:r>
        <w:rPr>
          <w:rFonts w:ascii="Times New Roman" w:cs="Times New Roman" w:eastAsia="Times New Roman" w:hAnsi="Times New Roman"/>
          <w:sz w:val="16"/>
          <w:szCs w:val="16"/>
          <w:color w:val="auto"/>
        </w:rPr>
        <w:t xml:space="preserve"> and a combined ownership of </w:t>
      </w:r>
      <w:r>
        <w:rPr>
          <w:rFonts w:ascii="Times New Roman" w:cs="Times New Roman" w:eastAsia="Times New Roman" w:hAnsi="Times New Roman"/>
          <w:sz w:val="16"/>
          <w:szCs w:val="16"/>
          <w:b w:val="1"/>
          <w:bCs w:val="1"/>
          <w:color w:val="auto"/>
        </w:rPr>
        <w:t>8.36%</w:t>
      </w:r>
      <w:r>
        <w:rPr>
          <w:rFonts w:ascii="Times New Roman" w:cs="Times New Roman" w:eastAsia="Times New Roman" w:hAnsi="Times New Roman"/>
          <w:sz w:val="16"/>
          <w:szCs w:val="16"/>
          <w:color w:val="auto"/>
        </w:rPr>
        <w:t xml:space="preserve">, according to its </w:t>
      </w:r>
      <w:r>
        <w:rPr>
          <w:rFonts w:ascii="Times New Roman" w:cs="Times New Roman" w:eastAsia="Times New Roman" w:hAnsi="Times New Roman"/>
          <w:sz w:val="16"/>
          <w:szCs w:val="16"/>
          <w:b w:val="1"/>
          <w:bCs w:val="1"/>
          <w:color w:val="auto"/>
        </w:rPr>
        <w:t>2018 Annual Report</w:t>
      </w:r>
      <w:r>
        <w:rPr>
          <w:rFonts w:ascii="Times New Roman" w:cs="Times New Roman" w:eastAsia="Times New Roman" w:hAnsi="Times New Roman"/>
          <w:sz w:val="16"/>
          <w:szCs w:val="16"/>
          <w:color w:val="auto"/>
        </w:rPr>
        <w:t>. https:</w:t>
      </w:r>
      <w:r>
        <w:rPr>
          <w:rFonts w:ascii="Times New Roman" w:cs="Times New Roman" w:eastAsia="Times New Roman" w:hAnsi="Times New Roman"/>
          <w:sz w:val="16"/>
          <w:szCs w:val="16"/>
          <w:u w:val="single" w:color="auto"/>
          <w:color w:val="auto"/>
        </w:rPr>
        <w:t>//www.smv.gob.pe/ConsultasP8/temp/Memoria%20Anual%202018%20Credicorp.pdf</w:t>
      </w:r>
      <w:r>
        <w:rPr>
          <w:rFonts w:ascii="Times New Roman" w:cs="Times New Roman" w:eastAsia="Times New Roman" w:hAnsi="Times New Roman"/>
          <w:sz w:val="16"/>
          <w:szCs w:val="16"/>
          <w:color w:val="auto"/>
        </w:rPr>
        <w:t>. Translator’s Note: The hyperlink included in the original document is no longer available.</w:t>
      </w:r>
    </w:p>
    <w:p>
      <w:pPr>
        <w:spacing w:after="0" w:line="1" w:lineRule="exact"/>
        <w:rPr>
          <w:rFonts w:ascii="Times New Roman" w:cs="Times New Roman" w:eastAsia="Times New Roman" w:hAnsi="Times New Roman"/>
          <w:sz w:val="27"/>
          <w:szCs w:val="27"/>
          <w:color w:val="auto"/>
          <w:vertAlign w:val="superscript"/>
        </w:rPr>
      </w:pPr>
    </w:p>
    <w:p>
      <w:pPr>
        <w:ind w:left="3" w:right="320"/>
        <w:spacing w:after="0" w:line="260"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The pension funds — which comprise </w:t>
      </w:r>
      <w:r>
        <w:rPr>
          <w:rFonts w:ascii="Times New Roman" w:cs="Times New Roman" w:eastAsia="Times New Roman" w:hAnsi="Times New Roman"/>
          <w:sz w:val="16"/>
          <w:szCs w:val="16"/>
          <w:b w:val="1"/>
          <w:bCs w:val="1"/>
          <w:color w:val="auto"/>
        </w:rPr>
        <w:t>7,194,639 affiliates</w:t>
      </w:r>
      <w:r>
        <w:rPr>
          <w:rFonts w:ascii="Times New Roman" w:cs="Times New Roman" w:eastAsia="Times New Roman" w:hAnsi="Times New Roman"/>
          <w:sz w:val="16"/>
          <w:szCs w:val="16"/>
          <w:color w:val="auto"/>
        </w:rPr>
        <w:t xml:space="preserve"> and are administered by the Pension Fund Administrators (AFPs) — jointly hold approximately </w:t>
      </w:r>
      <w:r>
        <w:rPr>
          <w:rFonts w:ascii="Times New Roman" w:cs="Times New Roman" w:eastAsia="Times New Roman" w:hAnsi="Times New Roman"/>
          <w:sz w:val="16"/>
          <w:szCs w:val="16"/>
          <w:b w:val="1"/>
          <w:bCs w:val="1"/>
          <w:color w:val="auto"/>
        </w:rPr>
        <w:t>3.05%</w:t>
      </w:r>
      <w:r>
        <w:rPr>
          <w:rFonts w:ascii="Times New Roman" w:cs="Times New Roman" w:eastAsia="Times New Roman" w:hAnsi="Times New Roman"/>
          <w:sz w:val="16"/>
          <w:szCs w:val="16"/>
          <w:color w:val="auto"/>
        </w:rPr>
        <w:t xml:space="preserve"> of the shares issued by Credicorp as of </w:t>
      </w:r>
      <w:r>
        <w:rPr>
          <w:rFonts w:ascii="Times New Roman" w:cs="Times New Roman" w:eastAsia="Times New Roman" w:hAnsi="Times New Roman"/>
          <w:sz w:val="16"/>
          <w:szCs w:val="16"/>
          <w:b w:val="1"/>
          <w:bCs w:val="1"/>
          <w:color w:val="auto"/>
        </w:rPr>
        <w:t>May 30, 2019</w:t>
      </w:r>
      <w:r>
        <w:rPr>
          <w:rFonts w:ascii="Times New Roman" w:cs="Times New Roman" w:eastAsia="Times New Roman" w:hAnsi="Times New Roman"/>
          <w:sz w:val="16"/>
          <w:szCs w:val="16"/>
          <w:color w:val="auto"/>
        </w:rPr>
        <w:t xml:space="preserve">, according to a report from the </w:t>
      </w:r>
      <w:r>
        <w:rPr>
          <w:rFonts w:ascii="Times New Roman" w:cs="Times New Roman" w:eastAsia="Times New Roman" w:hAnsi="Times New Roman"/>
          <w:sz w:val="16"/>
          <w:szCs w:val="16"/>
          <w:b w:val="1"/>
          <w:bCs w:val="1"/>
          <w:color w:val="auto"/>
        </w:rPr>
        <w:t>Superintendency of Banking, Insurance and AFPs (SBS)</w:t>
      </w:r>
      <w:r>
        <w:rPr>
          <w:rFonts w:ascii="Times New Roman" w:cs="Times New Roman" w:eastAsia="Times New Roman" w:hAnsi="Times New Roman"/>
          <w:sz w:val="16"/>
          <w:szCs w:val="16"/>
          <w:color w:val="auto"/>
        </w:rPr>
        <w:t xml:space="preserve"> for that date. </w:t>
      </w:r>
      <w:r>
        <w:rPr>
          <w:rFonts w:ascii="Times New Roman" w:cs="Times New Roman" w:eastAsia="Times New Roman" w:hAnsi="Times New Roman"/>
          <w:sz w:val="16"/>
          <w:szCs w:val="16"/>
          <w:u w:val="single" w:color="auto"/>
          <w:color w:val="auto"/>
        </w:rPr>
        <w:t>http://www.sbs.gob.pe/app/stats_net/stats/EstadisticaBoletinEstadistico.aspx?p=54#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222250</wp:posOffset>
            </wp:positionV>
            <wp:extent cx="714629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440" w:right="339" w:bottom="1440" w:gutter="0" w:footer="0" w:header="0"/>
        </w:sectPr>
      </w:pPr>
    </w:p>
    <w:bookmarkStart w:id="16" w:name="page17"/>
    <w:bookmarkEnd w:id="16"/>
    <w:p>
      <w:pPr>
        <w:jc w:val="both"/>
        <w:ind w:left="863" w:hanging="292"/>
        <w:spacing w:after="0" w:line="261" w:lineRule="auto"/>
        <w:tabs>
          <w:tab w:leader="none" w:pos="863"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cash contributions totaling US$ 3.65 million to the political party Fuerza 2011 constitute relevant information that should have been made known to the securities market, especially considering the significant amount of the contribution, which was material not only due to the amount but also due to Mr. Romero’s own statement, when, via Twitter on November 18, 2019, he expressed: </w:t>
      </w:r>
      <w:r>
        <w:rPr>
          <w:rFonts w:ascii="Times New Roman" w:cs="Times New Roman" w:eastAsia="Times New Roman" w:hAnsi="Times New Roman"/>
          <w:sz w:val="16"/>
          <w:szCs w:val="16"/>
          <w:i w:val="1"/>
          <w:iCs w:val="1"/>
          <w:color w:val="auto"/>
        </w:rPr>
        <w:t>“Thus, between late 2010 and 2011, at different moments of both rounds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the electoral process, Credicorp Ltd. made several contributions to Fuerza 2011 totaling US$ 3.65 million. It was, without a doubt, </w:t>
      </w:r>
      <w:r>
        <w:rPr>
          <w:rFonts w:ascii="Times New Roman" w:cs="Times New Roman" w:eastAsia="Times New Roman" w:hAnsi="Times New Roman"/>
          <w:sz w:val="16"/>
          <w:szCs w:val="16"/>
          <w:i w:val="1"/>
          <w:iCs w:val="1"/>
          <w:u w:val="single" w:color="auto"/>
          <w:color w:val="auto"/>
        </w:rPr>
        <w:t>an exceptional figure</w:t>
      </w:r>
      <w:r>
        <w:rPr>
          <w:rFonts w:ascii="Times New Roman" w:cs="Times New Roman" w:eastAsia="Times New Roman" w:hAnsi="Times New Roman"/>
          <w:sz w:val="16"/>
          <w:szCs w:val="16"/>
          <w:i w:val="1"/>
          <w:iCs w:val="1"/>
          <w:color w:val="auto"/>
        </w:rPr>
        <w:t xml:space="preserve"> that is explained in the context of the equally exceptional threat of chavismo.” </w:t>
      </w:r>
      <w:r>
        <w:rPr>
          <w:rFonts w:ascii="Times New Roman" w:cs="Times New Roman" w:eastAsia="Times New Roman" w:hAnsi="Times New Roman"/>
          <w:sz w:val="16"/>
          <w:szCs w:val="16"/>
          <w:color w:val="auto"/>
        </w:rPr>
        <w:t>(Emphasis added)</w:t>
      </w:r>
    </w:p>
    <w:p>
      <w:pPr>
        <w:spacing w:after="0" w:line="165" w:lineRule="exact"/>
        <w:rPr>
          <w:rFonts w:ascii="Times New Roman" w:cs="Times New Roman" w:eastAsia="Times New Roman" w:hAnsi="Times New Roman"/>
          <w:sz w:val="16"/>
          <w:szCs w:val="16"/>
          <w:color w:val="auto"/>
        </w:rPr>
      </w:pPr>
    </w:p>
    <w:p>
      <w:pPr>
        <w:ind w:left="863" w:right="20" w:hanging="292"/>
        <w:spacing w:after="0" w:line="287" w:lineRule="auto"/>
        <w:tabs>
          <w:tab w:leader="none" w:pos="863"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lack of disclosure became evident when THE 2011 INFORMATION was disseminated to the market as a result of Mr. Romero, the Issuer’s Chairman of the Board, appearing before the Public Prosecutor’s Office to testify in the corresponding criminal investigation.</w:t>
      </w:r>
    </w:p>
    <w:p>
      <w:pPr>
        <w:spacing w:after="0" w:line="140" w:lineRule="exact"/>
        <w:rPr>
          <w:rFonts w:ascii="Times New Roman" w:cs="Times New Roman" w:eastAsia="Times New Roman" w:hAnsi="Times New Roman"/>
          <w:sz w:val="16"/>
          <w:szCs w:val="16"/>
          <w:color w:val="auto"/>
        </w:rPr>
      </w:pPr>
    </w:p>
    <w:p>
      <w:pPr>
        <w:jc w:val="both"/>
        <w:ind w:left="863" w:hanging="292"/>
        <w:spacing w:after="0" w:line="268" w:lineRule="auto"/>
        <w:tabs>
          <w:tab w:leader="none" w:pos="863"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Accordingly, the foregoing would </w:t>
      </w:r>
      <w:r>
        <w:rPr>
          <w:rFonts w:ascii="Times New Roman" w:cs="Times New Roman" w:eastAsia="Times New Roman" w:hAnsi="Times New Roman"/>
          <w:sz w:val="16"/>
          <w:szCs w:val="16"/>
          <w:b w:val="1"/>
          <w:bCs w:val="1"/>
          <w:u w:val="single" w:color="auto"/>
          <w:color w:val="auto"/>
        </w:rPr>
        <w:t>demonstrate a clear intent not to disclose and to conceal THE 2011 INFORMATION</w:t>
      </w:r>
      <w:r>
        <w:rPr>
          <w:rFonts w:ascii="Times New Roman" w:cs="Times New Roman" w:eastAsia="Times New Roman" w:hAnsi="Times New Roman"/>
          <w:sz w:val="16"/>
          <w:szCs w:val="16"/>
          <w:color w:val="auto"/>
        </w:rPr>
        <w:t xml:space="preserve">, and that such conduct </w:t>
      </w:r>
      <w:r>
        <w:rPr>
          <w:rFonts w:ascii="Times New Roman" w:cs="Times New Roman" w:eastAsia="Times New Roman" w:hAnsi="Times New Roman"/>
          <w:sz w:val="16"/>
          <w:szCs w:val="16"/>
          <w:b w:val="1"/>
          <w:bCs w:val="1"/>
          <w:u w:val="single" w:color="auto"/>
          <w:color w:val="auto"/>
        </w:rPr>
        <w:t>only ceased</w:t>
      </w:r>
      <w:r>
        <w:rPr>
          <w:rFonts w:ascii="Times New Roman" w:cs="Times New Roman" w:eastAsia="Times New Roman" w:hAnsi="Times New Roman"/>
          <w:sz w:val="16"/>
          <w:szCs w:val="16"/>
          <w:color w:val="auto"/>
        </w:rPr>
        <w:t xml:space="preserve"> with the communication of the material event on November 21, 2019, following a request from the SMV. Consequently, </w:t>
      </w:r>
      <w:r>
        <w:rPr>
          <w:rFonts w:ascii="Times New Roman" w:cs="Times New Roman" w:eastAsia="Times New Roman" w:hAnsi="Times New Roman"/>
          <w:sz w:val="16"/>
          <w:szCs w:val="16"/>
          <w:b w:val="1"/>
          <w:bCs w:val="1"/>
          <w:u w:val="single" w:color="auto"/>
          <w:color w:val="auto"/>
        </w:rPr>
        <w:t>a permanent infraction appears</w:t>
      </w:r>
      <w:r>
        <w:rPr>
          <w:rFonts w:ascii="Times New Roman" w:cs="Times New Roman" w:eastAsia="Times New Roman" w:hAnsi="Times New Roman"/>
          <w:sz w:val="16"/>
          <w:szCs w:val="16"/>
          <w:color w:val="auto"/>
        </w:rPr>
        <w:t xml:space="preserve"> to have been committed, related to the concealment of relevant information, thereby affecting the transparency of the securities market—a legal interest protected by securities market regulations.</w:t>
      </w:r>
      <w:r>
        <w:rPr>
          <w:rFonts w:ascii="Times New Roman" w:cs="Times New Roman" w:eastAsia="Times New Roman" w:hAnsi="Times New Roman"/>
          <w:sz w:val="26"/>
          <w:szCs w:val="26"/>
          <w:color w:val="auto"/>
          <w:vertAlign w:val="superscript"/>
        </w:rPr>
        <w:t>5</w:t>
      </w:r>
    </w:p>
    <w:p>
      <w:pPr>
        <w:spacing w:after="0" w:line="22" w:lineRule="exact"/>
        <w:rPr>
          <w:rFonts w:ascii="Times New Roman" w:cs="Times New Roman" w:eastAsia="Times New Roman" w:hAnsi="Times New Roman"/>
          <w:sz w:val="16"/>
          <w:szCs w:val="16"/>
          <w:color w:val="auto"/>
        </w:rPr>
      </w:pPr>
    </w:p>
    <w:p>
      <w:pPr>
        <w:jc w:val="both"/>
        <w:ind w:left="863" w:right="20" w:hanging="292"/>
        <w:spacing w:after="0" w:line="270" w:lineRule="auto"/>
        <w:tabs>
          <w:tab w:leader="none" w:pos="863"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prejudice to the foregoing, it is necessary to note that when an issuer fails to comply with its information obligations and affects transparency, a series of consequences are generated, such as harm to investors, reflected in their inability to access relevant information that could have influenced their investment decisions.</w:t>
      </w:r>
    </w:p>
    <w:p>
      <w:pPr>
        <w:spacing w:after="0" w:line="180" w:lineRule="exact"/>
        <w:rPr>
          <w:rFonts w:ascii="Times New Roman" w:cs="Times New Roman" w:eastAsia="Times New Roman" w:hAnsi="Times New Roman"/>
          <w:sz w:val="16"/>
          <w:szCs w:val="16"/>
          <w:color w:val="auto"/>
        </w:rPr>
      </w:pPr>
    </w:p>
    <w:p>
      <w:pPr>
        <w:ind w:left="883" w:right="860" w:hanging="337"/>
        <w:spacing w:after="0" w:line="273" w:lineRule="auto"/>
        <w:tabs>
          <w:tab w:leader="none" w:pos="88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sum, the Issuer has demonstrated conduct that would have undermined the transparency of the securities market by failing to disclose THE 2011 INFORMATION. This conduct of concealing such information, which constitutes a permanent infraction, only ceased with the disclosure of the corresponding material event.</w:t>
      </w:r>
      <w:r>
        <w:rPr>
          <w:rFonts w:ascii="Times New Roman" w:cs="Times New Roman" w:eastAsia="Times New Roman" w:hAnsi="Times New Roman"/>
          <w:sz w:val="26"/>
          <w:szCs w:val="26"/>
          <w:color w:val="auto"/>
          <w:vertAlign w:val="superscript"/>
        </w:rPr>
        <w:t>6</w:t>
      </w:r>
    </w:p>
    <w:p>
      <w:pPr>
        <w:spacing w:after="0" w:line="42" w:lineRule="exact"/>
        <w:rPr>
          <w:rFonts w:ascii="Times New Roman" w:cs="Times New Roman" w:eastAsia="Times New Roman" w:hAnsi="Times New Roman"/>
          <w:sz w:val="16"/>
          <w:szCs w:val="16"/>
          <w:color w:val="auto"/>
        </w:rPr>
      </w:pPr>
    </w:p>
    <w:p>
      <w:pPr>
        <w:ind w:left="863" w:right="20" w:hanging="292"/>
        <w:spacing w:after="0" w:line="215" w:lineRule="exact"/>
        <w:tabs>
          <w:tab w:leader="none" w:pos="863"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Furthermore, independent of the facts forming the basis of the charges, it is appropriate to mention that the Issuer has corporate policies—disseminated to the market—reflecting self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regulatory principles that are inconsistent with the facts that were not disclosed in a timely manner.</w:t>
      </w:r>
    </w:p>
    <w:p>
      <w:pPr>
        <w:spacing w:after="0" w:line="153" w:lineRule="exact"/>
        <w:rPr>
          <w:rFonts w:ascii="Times New Roman" w:cs="Times New Roman" w:eastAsia="Times New Roman" w:hAnsi="Times New Roman"/>
          <w:sz w:val="16"/>
          <w:szCs w:val="16"/>
          <w:color w:val="auto"/>
        </w:rPr>
      </w:pPr>
    </w:p>
    <w:p>
      <w:pPr>
        <w:ind w:left="86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way of illustration, the following is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-1000125</wp:posOffset>
            </wp:positionV>
            <wp:extent cx="6868795" cy="400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68795" cy="400685"/>
                    </a:xfrm>
                    <a:prstGeom prst="rect">
                      <a:avLst/>
                    </a:prstGeom>
                    <a:noFill/>
                  </pic:spPr>
                </pic:pic>
              </a:graphicData>
            </a:graphic>
          </wp:anchor>
        </w:drawing>
      </w:r>
    </w:p>
    <w:p>
      <w:pPr>
        <w:spacing w:after="0" w:line="184" w:lineRule="exact"/>
        <w:rPr>
          <w:sz w:val="20"/>
          <w:szCs w:val="20"/>
          <w:color w:val="auto"/>
        </w:rPr>
      </w:pPr>
    </w:p>
    <w:p>
      <w:pPr>
        <w:ind w:left="1143"/>
        <w:spacing w:after="0"/>
        <w:rPr>
          <w:sz w:val="20"/>
          <w:szCs w:val="20"/>
          <w:color w:val="auto"/>
        </w:rPr>
      </w:pPr>
      <w:r>
        <w:rPr>
          <w:rFonts w:ascii="Times New Roman" w:cs="Times New Roman" w:eastAsia="Times New Roman" w:hAnsi="Times New Roman"/>
          <w:sz w:val="16"/>
          <w:szCs w:val="16"/>
          <w:color w:val="auto"/>
        </w:rPr>
        <w:t>A. The 2009 Code of Ethics, in section 4.5 — Improper Payments — under Section 4 — Conflicts of Interest — stated:</w:t>
      </w:r>
    </w:p>
    <w:p>
      <w:pPr>
        <w:spacing w:after="0" w:line="26" w:lineRule="exact"/>
        <w:rPr>
          <w:sz w:val="20"/>
          <w:szCs w:val="20"/>
          <w:color w:val="auto"/>
        </w:rPr>
      </w:pPr>
    </w:p>
    <w:p>
      <w:pPr>
        <w:ind w:left="1143" w:right="20"/>
        <w:spacing w:after="0" w:line="266" w:lineRule="auto"/>
        <w:rPr>
          <w:sz w:val="20"/>
          <w:szCs w:val="20"/>
          <w:color w:val="auto"/>
        </w:rPr>
      </w:pPr>
      <w:r>
        <w:rPr>
          <w:rFonts w:ascii="Times New Roman" w:cs="Times New Roman" w:eastAsia="Times New Roman" w:hAnsi="Times New Roman"/>
          <w:sz w:val="16"/>
          <w:szCs w:val="16"/>
          <w:i w:val="1"/>
          <w:iCs w:val="1"/>
          <w:color w:val="auto"/>
        </w:rPr>
        <w:t>“It is strictly prohibited to offer or pay any remuneration or compensation of this kind to domestic or foreign public officials, political parties, or candidates for political office on behalf or representation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178816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21" w:lineRule="exact"/>
        <w:rPr>
          <w:sz w:val="20"/>
          <w:szCs w:val="20"/>
          <w:color w:val="auto"/>
        </w:rPr>
      </w:pPr>
    </w:p>
    <w:p>
      <w:pPr>
        <w:ind w:left="103" w:hanging="103"/>
        <w:spacing w:after="0"/>
        <w:tabs>
          <w:tab w:leader="none" w:pos="103"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highlights and underlining are additions.</w:t>
      </w:r>
    </w:p>
    <w:p>
      <w:pPr>
        <w:spacing w:after="0" w:line="78" w:lineRule="exact"/>
        <w:rPr>
          <w:sz w:val="20"/>
          <w:szCs w:val="20"/>
          <w:color w:val="auto"/>
        </w:rPr>
      </w:pPr>
    </w:p>
    <w:p>
      <w:pPr>
        <w:ind w:left="103" w:hanging="103"/>
        <w:spacing w:after="0"/>
        <w:tabs>
          <w:tab w:leader="none" w:pos="103"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boxed highlight is an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17" w:name="page18"/>
    <w:bookmarkEnd w:id="17"/>
    <w:p>
      <w:pPr>
        <w:jc w:val="both"/>
        <w:ind w:left="20"/>
        <w:spacing w:after="0" w:line="270" w:lineRule="auto"/>
        <w:rPr>
          <w:sz w:val="20"/>
          <w:szCs w:val="20"/>
          <w:color w:val="auto"/>
        </w:rPr>
      </w:pPr>
      <w:r>
        <w:rPr>
          <w:rFonts w:ascii="Times New Roman" w:cs="Times New Roman" w:eastAsia="Times New Roman" w:hAnsi="Times New Roman"/>
          <w:sz w:val="16"/>
          <w:szCs w:val="16"/>
          <w:color w:val="auto"/>
        </w:rPr>
        <w:t xml:space="preserve">B. The 2011 Code of Ethics (Registry 4205.010.08) in its numeral 17 of Section I — Act with integrity, respect and transparency — (Title B – Principles) stated: </w:t>
      </w:r>
      <w:r>
        <w:rPr>
          <w:rFonts w:ascii="Times New Roman" w:cs="Times New Roman" w:eastAsia="Times New Roman" w:hAnsi="Times New Roman"/>
          <w:sz w:val="16"/>
          <w:szCs w:val="16"/>
          <w:i w:val="1"/>
          <w:iCs w:val="1"/>
          <w:color w:val="auto"/>
        </w:rPr>
        <w:t>“All our members respect the appropriate use of the tangible and intangible assets of our organization and are responsible for using them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efficiently.”</w:t>
      </w:r>
    </w:p>
    <w:p>
      <w:pPr>
        <w:spacing w:after="0" w:line="154"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6"/>
          <w:szCs w:val="16"/>
          <w:color w:val="auto"/>
        </w:rPr>
        <w:t>C. The 2011 Code of Ethics in numeral 16 of Section I — Act with integrity, respect and transparency — (Title B – Principles) stated:</w:t>
      </w:r>
      <w:r>
        <w:rPr>
          <w:rFonts w:ascii="Times New Roman" w:cs="Times New Roman" w:eastAsia="Times New Roman" w:hAnsi="Times New Roman"/>
          <w:sz w:val="16"/>
          <w:szCs w:val="16"/>
          <w:i w:val="1"/>
          <w:iCs w:val="1"/>
          <w:color w:val="auto"/>
        </w:rPr>
        <w:t>“Every employee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member of the Board of Directors is a representative of our organization; therefore, they are committed to conduct themselves within the limits established by the laws, regulations, bylaws, codes, policies, and procedures pertinent to our corporation, and to reflect an image of respect toward others both inside and outside the organization.”</w:t>
      </w:r>
    </w:p>
    <w:p>
      <w:pPr>
        <w:spacing w:after="0" w:line="159" w:lineRule="exact"/>
        <w:rPr>
          <w:sz w:val="20"/>
          <w:szCs w:val="20"/>
          <w:color w:val="auto"/>
        </w:rPr>
      </w:pPr>
    </w:p>
    <w:p>
      <w:pPr>
        <w:jc w:val="both"/>
        <w:ind w:left="20"/>
        <w:spacing w:after="0" w:line="290" w:lineRule="auto"/>
        <w:rPr>
          <w:sz w:val="20"/>
          <w:szCs w:val="20"/>
          <w:color w:val="auto"/>
        </w:rPr>
      </w:pPr>
      <w:r>
        <w:rPr>
          <w:rFonts w:ascii="Times New Roman" w:cs="Times New Roman" w:eastAsia="Times New Roman" w:hAnsi="Times New Roman"/>
          <w:sz w:val="16"/>
          <w:szCs w:val="16"/>
          <w:color w:val="auto"/>
        </w:rPr>
        <w:t>D. The 2014 Code of Ethics in numeral 17 of Section I — Act with integrity, respect and transparency — (Title B – Principles) stated:</w:t>
      </w:r>
      <w:r>
        <w:rPr>
          <w:rFonts w:ascii="Times New Roman" w:cs="Times New Roman" w:eastAsia="Times New Roman" w:hAnsi="Times New Roman"/>
          <w:sz w:val="16"/>
          <w:szCs w:val="16"/>
          <w:i w:val="1"/>
          <w:iCs w:val="1"/>
          <w:color w:val="auto"/>
        </w:rPr>
        <w:t>“All our members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respect the appropriate use of the tangible and intangible assets of our organization and are responsible for using them efficiently.”</w:t>
      </w:r>
    </w:p>
    <w:p>
      <w:pPr>
        <w:spacing w:after="0" w:line="138"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6"/>
          <w:szCs w:val="16"/>
          <w:color w:val="auto"/>
        </w:rPr>
        <w:t>E. The 2014 Code of Ethics in numeral 16 of Section I — Act with integrity, respect and transparency — (Title B – Principles) stated:</w:t>
      </w:r>
      <w:r>
        <w:rPr>
          <w:rFonts w:ascii="Times New Roman" w:cs="Times New Roman" w:eastAsia="Times New Roman" w:hAnsi="Times New Roman"/>
          <w:sz w:val="16"/>
          <w:szCs w:val="16"/>
          <w:i w:val="1"/>
          <w:iCs w:val="1"/>
          <w:color w:val="auto"/>
        </w:rPr>
        <w:t>“Every employee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member of the Board of Directors is a representative of our organization; therefore, they are committed to conduct themselves within the limits established by the laws, regulations, bylaws, codes, policies, and procedures pertinent to our corporation, and to reflect an image of respect toward others both inside and outside the organization.”</w:t>
      </w:r>
    </w:p>
    <w:p>
      <w:pPr>
        <w:spacing w:after="0" w:line="161"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6"/>
          <w:szCs w:val="16"/>
          <w:color w:val="auto"/>
        </w:rPr>
        <w:t>F. The Report on Compliance with the Principles of Good Corporate Governance for Peruvian Companies corresponding to fiscal year 2012 states that the Issuer’s Corporate Governance Committee was created on June 23, 2010, and was chaired by Mr. Romero. One of the functions of this Committee was to propose Good Corporate Governance Practices to the Board of Directors as well as their implementation.</w:t>
      </w:r>
    </w:p>
    <w:p>
      <w:pPr>
        <w:spacing w:after="0" w:line="156" w:lineRule="exact"/>
        <w:rPr>
          <w:sz w:val="20"/>
          <w:szCs w:val="20"/>
          <w:color w:val="auto"/>
        </w:rPr>
      </w:pPr>
    </w:p>
    <w:p>
      <w:pPr>
        <w:jc w:val="both"/>
        <w:ind w:left="20"/>
        <w:spacing w:after="0" w:line="208" w:lineRule="exact"/>
        <w:rPr>
          <w:sz w:val="20"/>
          <w:szCs w:val="20"/>
          <w:color w:val="auto"/>
        </w:rPr>
      </w:pPr>
      <w:r>
        <w:rPr>
          <w:rFonts w:ascii="Times New Roman" w:cs="Times New Roman" w:eastAsia="Times New Roman" w:hAnsi="Times New Roman"/>
          <w:sz w:val="16"/>
          <w:szCs w:val="16"/>
          <w:color w:val="auto"/>
        </w:rPr>
        <w:t xml:space="preserve">G. In the Report on Compliance with the Principles of Good Corporate Governance for Peruvian Companies corresponding to fiscal year 2011 — Board Responsibilities — Principle 14 (V.D.4), the Issuer declares that its Board fully complies (rating of 4) with: </w:t>
      </w:r>
      <w:r>
        <w:rPr>
          <w:rFonts w:ascii="Times New Roman" w:cs="Times New Roman" w:eastAsia="Times New Roman" w:hAnsi="Times New Roman"/>
          <w:sz w:val="16"/>
          <w:szCs w:val="16"/>
          <w:i w:val="1"/>
          <w:iCs w:val="1"/>
          <w:color w:val="auto"/>
        </w:rPr>
        <w:t>“Monitoring and controlling possible conflicts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interest between management, board members, and shareholders, including fraudulent use of corporate assets and abusive related</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party transactions.”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subsequent Reports for 2012 and 2013, an identical statement is made regarding the Board’s responsibility.</w:t>
      </w:r>
    </w:p>
    <w:p>
      <w:pPr>
        <w:spacing w:after="0" w:line="204"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6"/>
          <w:szCs w:val="16"/>
          <w:color w:val="auto"/>
        </w:rPr>
        <w:t>H. In the Reports on Compliance with the Corporate Governance Code for Peruvian Companies corresponding to fiscal years 2014, 2015, 2016, 2017 and 2018, regarding Board Functions (Principle 16: Functions of the Board — Question III.4(d)), the Issuer declares that its Board does have the function:</w:t>
      </w:r>
      <w:r>
        <w:rPr>
          <w:rFonts w:ascii="Times New Roman" w:cs="Times New Roman" w:eastAsia="Times New Roman" w:hAnsi="Times New Roman"/>
          <w:sz w:val="16"/>
          <w:szCs w:val="16"/>
          <w:i w:val="1"/>
          <w:iCs w:val="1"/>
          <w:color w:val="auto"/>
        </w:rPr>
        <w:t>“To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oversee corporate governance practices and establish the policies and measures necessary for their improved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209550</wp:posOffset>
            </wp:positionV>
            <wp:extent cx="714629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18" w:name="page19"/>
    <w:bookmarkEnd w:id="18"/>
    <w:p>
      <w:pPr>
        <w:ind w:left="583" w:hanging="292"/>
        <w:spacing w:after="0"/>
        <w:tabs>
          <w:tab w:leader="none" w:pos="58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within this framework, Article 1 of the LMV provides that:</w:t>
      </w:r>
    </w:p>
    <w:p>
      <w:pPr>
        <w:spacing w:after="0" w:line="26" w:lineRule="exact"/>
        <w:rPr>
          <w:rFonts w:ascii="Times New Roman" w:cs="Times New Roman" w:eastAsia="Times New Roman" w:hAnsi="Times New Roman"/>
          <w:sz w:val="16"/>
          <w:szCs w:val="16"/>
          <w:color w:val="auto"/>
        </w:rPr>
      </w:pPr>
    </w:p>
    <w:p>
      <w:pPr>
        <w:ind w:left="583"/>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“The purpose of this law is to promote the orderly development and transparency of the securities market, as well as the adequate protection of the investor (…)”. </w:t>
      </w:r>
      <w:r>
        <w:rPr>
          <w:rFonts w:ascii="Times New Roman" w:cs="Times New Roman" w:eastAsia="Times New Roman" w:hAnsi="Times New Roman"/>
          <w:sz w:val="16"/>
          <w:szCs w:val="16"/>
          <w:color w:val="auto"/>
        </w:rPr>
        <w:t>In accordance with the second paragraph of this article, the LMV applies to issuers;</w:t>
      </w:r>
    </w:p>
    <w:p>
      <w:pPr>
        <w:spacing w:after="0" w:line="156" w:lineRule="exact"/>
        <w:rPr>
          <w:rFonts w:ascii="Times New Roman" w:cs="Times New Roman" w:eastAsia="Times New Roman" w:hAnsi="Times New Roman"/>
          <w:sz w:val="16"/>
          <w:szCs w:val="16"/>
          <w:color w:val="auto"/>
        </w:rPr>
      </w:pPr>
    </w:p>
    <w:p>
      <w:pPr>
        <w:jc w:val="both"/>
        <w:ind w:left="583" w:hanging="292"/>
        <w:spacing w:after="0" w:line="274" w:lineRule="auto"/>
        <w:tabs>
          <w:tab w:leader="none" w:pos="58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furthermore, </w:t>
      </w:r>
      <w:r>
        <w:rPr>
          <w:rFonts w:ascii="Times New Roman" w:cs="Times New Roman" w:eastAsia="Times New Roman" w:hAnsi="Times New Roman"/>
          <w:sz w:val="16"/>
          <w:szCs w:val="16"/>
          <w:b w:val="1"/>
          <w:bCs w:val="1"/>
          <w:u w:val="single" w:color="auto"/>
          <w:color w:val="auto"/>
        </w:rPr>
        <w:t>Article 10</w:t>
      </w:r>
      <w:r>
        <w:rPr>
          <w:rFonts w:ascii="Times New Roman" w:cs="Times New Roman" w:eastAsia="Times New Roman" w:hAnsi="Times New Roman"/>
          <w:sz w:val="16"/>
          <w:szCs w:val="16"/>
          <w:color w:val="auto"/>
        </w:rPr>
        <w:t xml:space="preserve"> of the LMV establishes that: </w:t>
      </w:r>
      <w:r>
        <w:rPr>
          <w:rFonts w:ascii="Times New Roman" w:cs="Times New Roman" w:eastAsia="Times New Roman" w:hAnsi="Times New Roman"/>
          <w:sz w:val="16"/>
          <w:szCs w:val="16"/>
          <w:i w:val="1"/>
          <w:iCs w:val="1"/>
          <w:color w:val="auto"/>
        </w:rPr>
        <w:t>“All information that, pursuant to this law, must be submitted to CONASEV, to the exchange,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entities responsible for centralized mechanisms, or to investors, shall be truthful, sufficient, and timely. Once the information is received by these institutions, it must be immediately made available to the public”;</w:t>
      </w:r>
      <w:r>
        <w:rPr>
          <w:rFonts w:ascii="Times New Roman" w:cs="Times New Roman" w:eastAsia="Times New Roman" w:hAnsi="Times New Roman"/>
          <w:sz w:val="26"/>
          <w:szCs w:val="26"/>
          <w:i w:val="1"/>
          <w:iCs w:val="1"/>
          <w:color w:val="auto"/>
          <w:vertAlign w:val="superscript"/>
        </w:rPr>
        <w:t>7</w:t>
      </w:r>
    </w:p>
    <w:p>
      <w:pPr>
        <w:spacing w:after="0" w:line="6" w:lineRule="exact"/>
        <w:rPr>
          <w:sz w:val="20"/>
          <w:szCs w:val="20"/>
          <w:color w:val="auto"/>
        </w:rPr>
      </w:pPr>
    </w:p>
    <w:p>
      <w:pPr>
        <w:jc w:val="both"/>
        <w:ind w:left="743" w:right="100" w:hanging="330"/>
        <w:spacing w:after="0" w:line="212" w:lineRule="exact"/>
        <w:tabs>
          <w:tab w:leader="none" w:pos="743" w:val="left"/>
        </w:tabs>
        <w:numPr>
          <w:ilvl w:val="2"/>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failure to comply with or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observance of the aforementioned provision is classified in item 1.6, numeral 1 of Annex I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6"/>
          <w:szCs w:val="16"/>
          <w:color w:val="auto"/>
        </w:rPr>
        <w:t xml:space="preserve"> in force at the beginning of the commission of the infraction, which establishes that a very serious infraction is constituted by:</w:t>
      </w:r>
    </w:p>
    <w:p>
      <w:pPr>
        <w:spacing w:after="0" w:line="1" w:lineRule="exact"/>
        <w:rPr>
          <w:rFonts w:ascii="Times New Roman" w:cs="Times New Roman" w:eastAsia="Times New Roman" w:hAnsi="Times New Roman"/>
          <w:sz w:val="16"/>
          <w:szCs w:val="16"/>
          <w:color w:val="auto"/>
        </w:rPr>
      </w:pPr>
    </w:p>
    <w:p>
      <w:pPr>
        <w:ind w:left="74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Engaging in any act, omission, practice or conduct that undermines the integrity or transparency of the market.</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9</w:t>
      </w:r>
    </w:p>
    <w:p>
      <w:pPr>
        <w:spacing w:after="0" w:line="61" w:lineRule="exact"/>
        <w:rPr>
          <w:rFonts w:ascii="Times New Roman" w:cs="Times New Roman" w:eastAsia="Times New Roman" w:hAnsi="Times New Roman"/>
          <w:sz w:val="16"/>
          <w:szCs w:val="16"/>
          <w:color w:val="auto"/>
        </w:rPr>
      </w:pPr>
    </w:p>
    <w:p>
      <w:pPr>
        <w:ind w:left="583" w:hanging="292"/>
        <w:spacing w:after="0" w:line="288" w:lineRule="exact"/>
        <w:tabs>
          <w:tab w:leader="none" w:pos="58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in accordance with Article 20 of the Sanctions Regulation, approved by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in force at the beginning of the commission of the infraction, such infraction is sanctioned with a fine of no less than fifty (50) UIT and up to three hundred (300) UIT;</w:t>
      </w:r>
      <w:r>
        <w:rPr>
          <w:rFonts w:ascii="Times New Roman" w:cs="Times New Roman" w:eastAsia="Times New Roman" w:hAnsi="Times New Roman"/>
          <w:sz w:val="26"/>
          <w:szCs w:val="26"/>
          <w:color w:val="auto"/>
          <w:vertAlign w:val="superscript"/>
        </w:rPr>
        <w:t>10</w:t>
      </w:r>
    </w:p>
    <w:p>
      <w:pPr>
        <w:spacing w:after="0" w:line="65" w:lineRule="exact"/>
        <w:rPr>
          <w:rFonts w:ascii="Times New Roman" w:cs="Times New Roman" w:eastAsia="Times New Roman" w:hAnsi="Times New Roman"/>
          <w:sz w:val="16"/>
          <w:szCs w:val="16"/>
          <w:color w:val="auto"/>
        </w:rPr>
      </w:pPr>
    </w:p>
    <w:p>
      <w:pPr>
        <w:jc w:val="both"/>
        <w:ind w:left="323" w:right="100"/>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 SECOND CHARGE: THE ISSUER </w:t>
      </w:r>
      <w:r>
        <w:rPr>
          <w:rFonts w:ascii="Times New Roman" w:cs="Times New Roman" w:eastAsia="Times New Roman" w:hAnsi="Times New Roman"/>
          <w:sz w:val="16"/>
          <w:szCs w:val="16"/>
          <w:b w:val="1"/>
          <w:bCs w:val="1"/>
          <w:u w:val="single" w:color="auto"/>
          <w:color w:val="auto"/>
        </w:rPr>
        <w:t>ENGAGED IN CONDUCT</w:t>
      </w:r>
      <w:r>
        <w:rPr>
          <w:rFonts w:ascii="Times New Roman" w:cs="Times New Roman" w:eastAsia="Times New Roman" w:hAnsi="Times New Roman"/>
          <w:sz w:val="16"/>
          <w:szCs w:val="16"/>
          <w:b w:val="1"/>
          <w:bCs w:val="1"/>
          <w:color w:val="auto"/>
        </w:rPr>
        <w:t xml:space="preserve"> THAT WOULD HAVE AFFECTED THE TRANSPARENCY OF THE SECURITIES MARKET BY </w:t>
      </w:r>
      <w:r>
        <w:rPr>
          <w:rFonts w:ascii="Times New Roman" w:cs="Times New Roman" w:eastAsia="Times New Roman" w:hAnsi="Times New Roman"/>
          <w:sz w:val="16"/>
          <w:szCs w:val="16"/>
          <w:b w:val="1"/>
          <w:bCs w:val="1"/>
          <w:u w:val="single" w:color="auto"/>
          <w:color w:val="auto"/>
        </w:rPr>
        <w:t>FAILING TO DISCLOSE RELEVANT INFORMATION</w:t>
      </w:r>
      <w:r>
        <w:rPr>
          <w:rFonts w:ascii="Times New Roman" w:cs="Times New Roman" w:eastAsia="Times New Roman" w:hAnsi="Times New Roman"/>
          <w:sz w:val="16"/>
          <w:szCs w:val="16"/>
          <w:b w:val="1"/>
          <w:bCs w:val="1"/>
          <w:color w:val="auto"/>
        </w:rPr>
        <w:t xml:space="preserve"> TO THE MARKET REGARDING THE </w:t>
      </w:r>
      <w:r>
        <w:rPr>
          <w:rFonts w:ascii="Times New Roman" w:cs="Times New Roman" w:eastAsia="Times New Roman" w:hAnsi="Times New Roman"/>
          <w:sz w:val="16"/>
          <w:szCs w:val="16"/>
          <w:b w:val="1"/>
          <w:bCs w:val="1"/>
          <w:u w:val="single" w:color="auto"/>
          <w:color w:val="auto"/>
        </w:rPr>
        <w:t>ISSUER’S AGREEMENT TO MAKE,</w:t>
      </w:r>
      <w:r>
        <w:rPr>
          <w:rFonts w:ascii="Times New Roman" w:cs="Times New Roman" w:eastAsia="Times New Roman" w:hAnsi="Times New Roman"/>
          <w:sz w:val="16"/>
          <w:szCs w:val="16"/>
          <w:b w:val="1"/>
          <w:bCs w:val="1"/>
          <w:color w:val="auto"/>
        </w:rPr>
        <w:t xml:space="preserve"> THROUGH ITS SUBSIDIARIES, CONTRIBUTIONS TO THE POLITICAL PARTY PERUANOS POR EL KAMBIO DURING THE 2016 PRESIDENTIAL CAMPAIGN</w:t>
      </w:r>
    </w:p>
    <w:p>
      <w:pPr>
        <w:spacing w:after="0" w:line="184" w:lineRule="exact"/>
        <w:rPr>
          <w:rFonts w:ascii="Times New Roman" w:cs="Times New Roman" w:eastAsia="Times New Roman" w:hAnsi="Times New Roman"/>
          <w:sz w:val="16"/>
          <w:szCs w:val="16"/>
          <w:color w:val="auto"/>
        </w:rPr>
      </w:pPr>
    </w:p>
    <w:p>
      <w:pPr>
        <w:ind w:left="583" w:hanging="292"/>
        <w:spacing w:after="0"/>
        <w:tabs>
          <w:tab w:leader="none" w:pos="58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in this regard, the charge is based on the following:</w:t>
      </w:r>
    </w:p>
    <w:p>
      <w:pPr>
        <w:spacing w:after="0" w:line="204" w:lineRule="exact"/>
        <w:rPr>
          <w:rFonts w:ascii="Times New Roman" w:cs="Times New Roman" w:eastAsia="Times New Roman" w:hAnsi="Times New Roman"/>
          <w:sz w:val="16"/>
          <w:szCs w:val="16"/>
          <w:color w:val="auto"/>
        </w:rPr>
      </w:pPr>
    </w:p>
    <w:p>
      <w:pPr>
        <w:jc w:val="both"/>
        <w:ind w:left="883" w:hanging="300"/>
        <w:spacing w:after="0" w:line="260" w:lineRule="auto"/>
        <w:tabs>
          <w:tab w:leader="none" w:pos="883" w:val="left"/>
        </w:tabs>
        <w:numPr>
          <w:ilvl w:val="3"/>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information disseminated by the Issuer between November 18 and 21, 2019, it was made public for the first time that the Issuer, through its Executive Committee, had agreed to make contributions in 2016 totaling one hundred eighty (180) UIT to the political party Peruanos por el Kambio, which were channeled through its subsidiaries — Banco de Crédito del Perú (hereinafter, BCP), Mibanco Banco de la Microempresa S.A. (hereinafter, MIBANCO), and Pacífico Compañía de Seguros y Reaseguros (hereinafter, PACÍFICO) — each of which contributed sixty (60) UIT (hereinafter, THE 2016 AGREEMENT). According to indications submitted by the General Directorate of Market Conduct Supervision (hereinafter, IGSC), it has been determined that THE 2016 AGREEMENT was adopted at the meeting held on March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-2660015</wp:posOffset>
            </wp:positionV>
            <wp:extent cx="6960870" cy="524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524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178816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8160" cy="1524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-1642745</wp:posOffset>
            </wp:positionV>
            <wp:extent cx="6960870" cy="524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0870" cy="524510"/>
                    </a:xfrm>
                    <a:prstGeom prst="rect">
                      <a:avLst/>
                    </a:prstGeom>
                    <a:noFill/>
                  </pic:spPr>
                </pic:pic>
              </a:graphicData>
            </a:graphic>
          </wp:anchor>
        </w:drawing>
      </w:r>
    </w:p>
    <w:p>
      <w:pPr>
        <w:spacing w:after="0" w:line="215" w:lineRule="exact"/>
        <w:rPr>
          <w:sz w:val="20"/>
          <w:szCs w:val="20"/>
          <w:color w:val="auto"/>
        </w:rPr>
      </w:pPr>
    </w:p>
    <w:p>
      <w:pPr>
        <w:ind w:left="103" w:hanging="103"/>
        <w:spacing w:after="0"/>
        <w:tabs>
          <w:tab w:leader="none" w:pos="103" w:val="left"/>
        </w:tabs>
        <w:numPr>
          <w:ilvl w:val="0"/>
          <w:numId w:val="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highlight and underlining are additions</w:t>
      </w:r>
    </w:p>
    <w:p>
      <w:pPr>
        <w:jc w:val="both"/>
        <w:ind w:left="3" w:right="20" w:hanging="3"/>
        <w:spacing w:after="0" w:line="197" w:lineRule="exact"/>
        <w:tabs>
          <w:tab w:leader="none" w:pos="111" w:val="left"/>
        </w:tabs>
        <w:numPr>
          <w:ilvl w:val="0"/>
          <w:numId w:val="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By means of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in force since April 17, 2012, subsection 1.6 of numeral 1 of Annex I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was amended, replacing this subsection with subsection 1.5 while maintaining the same wording of the infraction type. Likewise, through SMV Resolution No. 028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the aforementioned subsection 1.5 was amended, keeping the same wording of the infraction type and adding an additional scenario.</w:t>
      </w:r>
    </w:p>
    <w:p>
      <w:pPr>
        <w:ind w:left="3"/>
        <w:spacing w:after="0" w:line="186"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2"/>
          <w:szCs w:val="22"/>
          <w:color w:val="auto"/>
          <w:vertAlign w:val="superscript"/>
        </w:rPr>
        <w:t>9</w:t>
      </w:r>
      <w:r>
        <w:rPr>
          <w:rFonts w:ascii="Times New Roman" w:cs="Times New Roman" w:eastAsia="Times New Roman" w:hAnsi="Times New Roman"/>
          <w:sz w:val="14"/>
          <w:szCs w:val="14"/>
          <w:color w:val="auto"/>
        </w:rPr>
        <w:t xml:space="preserve"> The underlining and boxed text are additions.</w:t>
      </w:r>
    </w:p>
    <w:p>
      <w:pPr>
        <w:ind w:left="3" w:right="480"/>
        <w:spacing w:after="0" w:line="192"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6"/>
          <w:szCs w:val="16"/>
          <w:color w:val="auto"/>
        </w:rPr>
        <w:t xml:space="preserve"> Through Law No. 30050, in force since June 26, 2013, Article 343 of the Securities Market Law (LMV) was amended, establishing that the maximum fine for very serious infractions is increased from 300 to 700 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23" w:right="339" w:bottom="1440" w:gutter="0" w:footer="0" w:header="0"/>
        </w:sectPr>
      </w:pPr>
    </w:p>
    <w:bookmarkStart w:id="19" w:name="page20"/>
    <w:bookmarkEnd w:id="19"/>
    <w:p>
      <w:pPr>
        <w:ind w:left="883" w:right="20" w:hanging="300"/>
        <w:spacing w:after="0" w:line="286" w:lineRule="auto"/>
        <w:tabs>
          <w:tab w:leader="none" w:pos="88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2016 AGREEMENT was disseminated by the Issuer itself as a result of its Chairman of the Board being summoned to testify as a witness in a criminal investigation. Indeed, as disclosed by the Issuer, the Chairman of the Board appeared before the Public Prosecutor’s Office on </w:t>
      </w:r>
      <w:r>
        <w:rPr>
          <w:rFonts w:ascii="Times New Roman" w:cs="Times New Roman" w:eastAsia="Times New Roman" w:hAnsi="Times New Roman"/>
          <w:sz w:val="16"/>
          <w:szCs w:val="16"/>
          <w:b w:val="1"/>
          <w:bCs w:val="1"/>
          <w:u w:val="single" w:color="auto"/>
          <w:color w:val="auto"/>
        </w:rPr>
        <w:t>November 18, 2019.</w:t>
      </w:r>
      <w:r>
        <w:rPr>
          <w:rFonts w:ascii="Times New Roman" w:cs="Times New Roman" w:eastAsia="Times New Roman" w:hAnsi="Times New Roman"/>
          <w:sz w:val="26"/>
          <w:szCs w:val="26"/>
          <w:b w:val="1"/>
          <w:bCs w:val="1"/>
          <w:u w:val="single" w:color="auto"/>
          <w:color w:val="auto"/>
          <w:vertAlign w:val="superscript"/>
        </w:rPr>
        <w:t>11</w:t>
      </w:r>
    </w:p>
    <w:p>
      <w:pPr>
        <w:spacing w:after="0" w:line="7" w:lineRule="exact"/>
        <w:rPr>
          <w:rFonts w:ascii="Times New Roman" w:cs="Times New Roman" w:eastAsia="Times New Roman" w:hAnsi="Times New Roman"/>
          <w:sz w:val="16"/>
          <w:szCs w:val="16"/>
          <w:color w:val="auto"/>
        </w:rPr>
      </w:pPr>
    </w:p>
    <w:p>
      <w:pPr>
        <w:jc w:val="both"/>
        <w:ind w:left="883" w:right="20" w:hanging="300"/>
        <w:spacing w:after="0" w:line="270" w:lineRule="auto"/>
        <w:tabs>
          <w:tab w:leader="none" w:pos="88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statements made before the Public Prosecutor’s Office were ratified that same November 18, 2019, through a communication made by Mr. Romero, Chairman of the Board, to his employees, reporting the contributions made by the Issuer’s subsidiaries. This communication was disseminated through the Issuer’s official Twitter account (@CredicorpGroup).</w:t>
      </w:r>
    </w:p>
    <w:p>
      <w:pPr>
        <w:spacing w:after="0" w:line="154" w:lineRule="exact"/>
        <w:rPr>
          <w:rFonts w:ascii="Times New Roman" w:cs="Times New Roman" w:eastAsia="Times New Roman" w:hAnsi="Times New Roman"/>
          <w:sz w:val="16"/>
          <w:szCs w:val="16"/>
          <w:color w:val="auto"/>
        </w:rPr>
      </w:pPr>
    </w:p>
    <w:p>
      <w:pPr>
        <w:ind w:left="883" w:hanging="300"/>
        <w:spacing w:after="0"/>
        <w:tabs>
          <w:tab w:leader="none" w:pos="88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statement to the Prosecutor’s Office also became known through publication in the newspaper </w:t>
      </w:r>
      <w:r>
        <w:rPr>
          <w:rFonts w:ascii="Times New Roman" w:cs="Times New Roman" w:eastAsia="Times New Roman" w:hAnsi="Times New Roman"/>
          <w:sz w:val="16"/>
          <w:szCs w:val="16"/>
          <w:i w:val="1"/>
          <w:iCs w:val="1"/>
          <w:color w:val="auto"/>
        </w:rPr>
        <w:t>El Comercio</w:t>
      </w:r>
      <w:r>
        <w:rPr>
          <w:rFonts w:ascii="Times New Roman" w:cs="Times New Roman" w:eastAsia="Times New Roman" w:hAnsi="Times New Roman"/>
          <w:sz w:val="16"/>
          <w:szCs w:val="16"/>
          <w:color w:val="auto"/>
        </w:rPr>
        <w:t>, in its November 19, 2019 edition.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141605</wp:posOffset>
            </wp:positionV>
            <wp:extent cx="6868795" cy="400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68795" cy="400685"/>
                    </a:xfrm>
                    <a:prstGeom prst="rect">
                      <a:avLst/>
                    </a:prstGeom>
                    <a:noFill/>
                  </pic:spPr>
                </pic:pic>
              </a:graphicData>
            </a:graphic>
          </wp:anchor>
        </w:drawing>
      </w:r>
    </w:p>
    <w:p>
      <w:pPr>
        <w:spacing w:after="0" w:line="211" w:lineRule="exact"/>
        <w:rPr>
          <w:sz w:val="20"/>
          <w:szCs w:val="20"/>
          <w:color w:val="auto"/>
        </w:rPr>
      </w:pPr>
    </w:p>
    <w:p>
      <w:pPr>
        <w:ind w:left="543" w:right="120"/>
        <w:spacing w:after="0" w:line="263" w:lineRule="auto"/>
        <w:rPr>
          <w:sz w:val="20"/>
          <w:szCs w:val="20"/>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u w:val="single" w:color="auto"/>
          <w:color w:val="auto"/>
        </w:rPr>
        <w:t>https://elcomercio.pe/politica/justicia/lea-el-testimoniocompleto-de-dionisio-romero-paoletti-sobre-aportes-a-keiko-fujimori-noticia/</w:t>
      </w:r>
      <w:r>
        <w:rPr>
          <w:rFonts w:ascii="Times New Roman" w:cs="Times New Roman" w:eastAsia="Times New Roman" w:hAnsi="Times New Roman"/>
          <w:sz w:val="16"/>
          <w:szCs w:val="16"/>
          <w:color w:val="auto"/>
        </w:rPr>
        <w:t>. Translator’s Note: The hyperlink included in the original document is no longer available.</w:t>
      </w:r>
    </w:p>
    <w:p>
      <w:pPr>
        <w:spacing w:after="0" w:line="1"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6"/>
          <w:szCs w:val="16"/>
          <w:color w:val="auto"/>
        </w:rPr>
        <w:t xml:space="preserve">and </w:t>
      </w:r>
      <w:r>
        <w:rPr>
          <w:rFonts w:ascii="Times New Roman" w:cs="Times New Roman" w:eastAsia="Times New Roman" w:hAnsi="Times New Roman"/>
          <w:sz w:val="16"/>
          <w:szCs w:val="16"/>
          <w:u w:val="single" w:color="auto"/>
          <w:color w:val="auto"/>
        </w:rPr>
        <w:t>https://es.scribd.com/document/435717148/Declaracion-de-Dionisio-Romero-Paoletti#download&amp;from embed</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883" w:right="20" w:hanging="300"/>
        <w:spacing w:after="0" w:line="290" w:lineRule="auto"/>
        <w:tabs>
          <w:tab w:leader="none" w:pos="88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the above, in an interview to </w:t>
      </w:r>
      <w:r>
        <w:rPr>
          <w:rFonts w:ascii="Times New Roman" w:cs="Times New Roman" w:eastAsia="Times New Roman" w:hAnsi="Times New Roman"/>
          <w:sz w:val="16"/>
          <w:szCs w:val="16"/>
          <w:i w:val="1"/>
          <w:iCs w:val="1"/>
          <w:color w:val="auto"/>
        </w:rPr>
        <w:t>El Comercio</w:t>
      </w:r>
      <w:r>
        <w:rPr>
          <w:rFonts w:ascii="Times New Roman" w:cs="Times New Roman" w:eastAsia="Times New Roman" w:hAnsi="Times New Roman"/>
          <w:sz w:val="16"/>
          <w:szCs w:val="16"/>
          <w:color w:val="auto"/>
        </w:rPr>
        <w:t xml:space="preserve"> on November 19, 2019, Mr. Romero confirmed the contributions made to the political campaign of the Peruanos por el Kambio Party by the Issuer’s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99695</wp:posOffset>
            </wp:positionV>
            <wp:extent cx="686879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68795" cy="154305"/>
                    </a:xfrm>
                    <a:prstGeom prst="rect">
                      <a:avLst/>
                    </a:prstGeom>
                    <a:noFill/>
                  </pic:spPr>
                </pic:pic>
              </a:graphicData>
            </a:graphic>
          </wp:anchor>
        </w:drawing>
      </w:r>
    </w:p>
    <w:p>
      <w:pPr>
        <w:spacing w:after="0" w:line="144"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u w:val="single" w:color="auto"/>
          <w:color w:val="auto"/>
        </w:rPr>
        <w:t>https://elcomercio.pe/politica/justicia/dionisio-romero-paoletti-que-el-chavismo-no-tomara-el-control-del-pais-era-suficiente-para-nosotros-noticia/</w:t>
      </w:r>
    </w:p>
    <w:p>
      <w:pPr>
        <w:spacing w:after="0" w:line="229" w:lineRule="exact"/>
        <w:rPr>
          <w:sz w:val="20"/>
          <w:szCs w:val="20"/>
          <w:color w:val="auto"/>
        </w:rPr>
      </w:pPr>
    </w:p>
    <w:p>
      <w:pPr>
        <w:jc w:val="both"/>
        <w:ind w:left="883" w:hanging="300"/>
        <w:spacing w:after="0" w:line="200" w:lineRule="exact"/>
        <w:tabs>
          <w:tab w:leader="none" w:pos="883"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should be noted that the Issuer only revealed THE 2016 AGREEMENT as a consequence of testimony given before the Public Prosecutor’s Office, that is, during an interrogation to which Mr. Romero was summoned, thereby implicating the Issuer through such declaration and making evident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disclosure or concealment of THE 2016 AGREEMENT from the market.</w:t>
      </w:r>
    </w:p>
    <w:p>
      <w:pPr>
        <w:spacing w:after="0" w:line="179" w:lineRule="exact"/>
        <w:rPr>
          <w:rFonts w:ascii="Times New Roman" w:cs="Times New Roman" w:eastAsia="Times New Roman" w:hAnsi="Times New Roman"/>
          <w:sz w:val="16"/>
          <w:szCs w:val="16"/>
          <w:color w:val="auto"/>
        </w:rPr>
      </w:pPr>
    </w:p>
    <w:p>
      <w:pPr>
        <w:ind w:left="883" w:right="20" w:hanging="300"/>
        <w:spacing w:after="0" w:line="287" w:lineRule="auto"/>
        <w:tabs>
          <w:tab w:leader="none" w:pos="883"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2016 AGREEMENT, by its nature, had the capacity to significantly influence investors’ decisions regarding the Issuer’s securities and those of its subsidiaries, and therefore should have been disclosed, since it could have generated an impact on the market for the Issuer’s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178816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39" w:lineRule="exact"/>
        <w:rPr>
          <w:sz w:val="20"/>
          <w:szCs w:val="20"/>
          <w:color w:val="auto"/>
        </w:rPr>
      </w:pPr>
    </w:p>
    <w:p>
      <w:pPr>
        <w:ind w:left="163" w:hanging="163"/>
        <w:spacing w:after="0"/>
        <w:tabs>
          <w:tab w:leader="none" w:pos="163"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highlights and underlining are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20" w:name="page21"/>
    <w:bookmarkEnd w:id="20"/>
    <w:p>
      <w:pPr>
        <w:jc w:val="both"/>
        <w:ind w:left="883" w:right="20" w:hanging="300"/>
        <w:spacing w:after="0" w:line="270" w:lineRule="auto"/>
        <w:tabs>
          <w:tab w:leader="none" w:pos="883"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Moreover, it must be indicated that this refers to a specialized issuer that is familiar with the securities market regulations to which it is subject, which are mandatory, particularly those directly related to information transparency, even more so considering the size of the corporation, the business lines or entities within the economic group it controls, and the number of its shareholders.</w:t>
      </w:r>
    </w:p>
    <w:p>
      <w:pPr>
        <w:spacing w:after="0" w:line="156" w:lineRule="exact"/>
        <w:rPr>
          <w:rFonts w:ascii="Times New Roman" w:cs="Times New Roman" w:eastAsia="Times New Roman" w:hAnsi="Times New Roman"/>
          <w:sz w:val="16"/>
          <w:szCs w:val="16"/>
          <w:color w:val="auto"/>
        </w:rPr>
      </w:pPr>
    </w:p>
    <w:p>
      <w:pPr>
        <w:jc w:val="both"/>
        <w:ind w:left="883"/>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Likewise, it should be noted that the Issuer is listed not only on the local exchange but also on the NYSE, one of the most important stock exchanges internationally; therefore, it is aware that it must communicate its information to the SMV and to the securities market in a truthful, sufficient, and timely manner. Moreover, the Issuer has the capacity to determine which information is relevant for investors.</w:t>
      </w:r>
    </w:p>
    <w:p>
      <w:pPr>
        <w:spacing w:after="0" w:line="156" w:lineRule="exact"/>
        <w:rPr>
          <w:rFonts w:ascii="Times New Roman" w:cs="Times New Roman" w:eastAsia="Times New Roman" w:hAnsi="Times New Roman"/>
          <w:sz w:val="16"/>
          <w:szCs w:val="16"/>
          <w:color w:val="auto"/>
        </w:rPr>
      </w:pPr>
    </w:p>
    <w:p>
      <w:pPr>
        <w:jc w:val="both"/>
        <w:ind w:left="583" w:right="20" w:hanging="292"/>
        <w:spacing w:after="0" w:line="263" w:lineRule="auto"/>
        <w:tabs>
          <w:tab w:leader="none" w:pos="58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2016 AGREEMENT constitutes relevant information that should have been disclosed to the securities market, particularly considering that the agreement was material insofar as it involved corporate decisions by the parent company affecting its subsidiaries, which were obligated to make contributions to the political party</w:t>
      </w:r>
    </w:p>
    <w:p>
      <w:pPr>
        <w:spacing w:after="0" w:line="1" w:lineRule="exact"/>
        <w:rPr>
          <w:rFonts w:ascii="Times New Roman" w:cs="Times New Roman" w:eastAsia="Times New Roman" w:hAnsi="Times New Roman"/>
          <w:sz w:val="16"/>
          <w:szCs w:val="16"/>
          <w:color w:val="auto"/>
        </w:rPr>
      </w:pPr>
    </w:p>
    <w:p>
      <w:pPr>
        <w:ind w:left="5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PERUANOS POR EL KAMBIO.</w:t>
      </w:r>
    </w:p>
    <w:p>
      <w:pPr>
        <w:spacing w:after="0" w:line="188" w:lineRule="exact"/>
        <w:rPr>
          <w:rFonts w:ascii="Times New Roman" w:cs="Times New Roman" w:eastAsia="Times New Roman" w:hAnsi="Times New Roman"/>
          <w:sz w:val="16"/>
          <w:szCs w:val="16"/>
          <w:color w:val="auto"/>
        </w:rPr>
      </w:pPr>
    </w:p>
    <w:p>
      <w:pPr>
        <w:ind w:left="583" w:right="20"/>
        <w:spacing w:after="0" w:line="28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lack of disclosure became evident when THE 2016 AGREEMENT was disseminated to the market as a result of Mr. Romero, Chairman of the Board, appearing before the Public Prosecutor’s Office to testify in the corresponding criminal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100965</wp:posOffset>
            </wp:positionV>
            <wp:extent cx="7053580" cy="524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53580" cy="524510"/>
                    </a:xfrm>
                    <a:prstGeom prst="rect">
                      <a:avLst/>
                    </a:prstGeom>
                    <a:noFill/>
                  </pic:spPr>
                </pic:pic>
              </a:graphicData>
            </a:graphic>
          </wp:anchor>
        </w:drawing>
      </w:r>
    </w:p>
    <w:p>
      <w:pPr>
        <w:spacing w:after="0" w:line="145" w:lineRule="exact"/>
        <w:rPr>
          <w:sz w:val="20"/>
          <w:szCs w:val="20"/>
          <w:color w:val="auto"/>
        </w:rPr>
      </w:pPr>
    </w:p>
    <w:p>
      <w:pPr>
        <w:jc w:val="both"/>
        <w:ind w:left="603" w:right="120" w:hanging="336"/>
        <w:spacing w:after="0" w:line="268" w:lineRule="auto"/>
        <w:tabs>
          <w:tab w:leader="none" w:pos="60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Accordingly, the foregoing would demonstrate a clear </w:t>
      </w:r>
      <w:r>
        <w:rPr>
          <w:rFonts w:ascii="Times New Roman" w:cs="Times New Roman" w:eastAsia="Times New Roman" w:hAnsi="Times New Roman"/>
          <w:sz w:val="16"/>
          <w:szCs w:val="16"/>
          <w:b w:val="1"/>
          <w:bCs w:val="1"/>
          <w:u w:val="single" w:color="auto"/>
          <w:color w:val="auto"/>
        </w:rPr>
        <w:t>intent not to disclose</w:t>
      </w:r>
      <w:r>
        <w:rPr>
          <w:rFonts w:ascii="Times New Roman" w:cs="Times New Roman" w:eastAsia="Times New Roman" w:hAnsi="Times New Roman"/>
          <w:sz w:val="16"/>
          <w:szCs w:val="16"/>
          <w:color w:val="auto"/>
        </w:rPr>
        <w:t xml:space="preserve"> THE 2016 AGREEMENT </w:t>
      </w:r>
      <w:r>
        <w:rPr>
          <w:rFonts w:ascii="Times New Roman" w:cs="Times New Roman" w:eastAsia="Times New Roman" w:hAnsi="Times New Roman"/>
          <w:sz w:val="16"/>
          <w:szCs w:val="16"/>
          <w:b w:val="1"/>
          <w:bCs w:val="1"/>
          <w:u w:val="single" w:color="auto"/>
          <w:color w:val="auto"/>
        </w:rPr>
        <w:t>to the securities market, and that such conduct only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ceased with the communication of the material event on November 21, 2019</w:t>
      </w:r>
      <w:r>
        <w:rPr>
          <w:rFonts w:ascii="Times New Roman" w:cs="Times New Roman" w:eastAsia="Times New Roman" w:hAnsi="Times New Roman"/>
          <w:sz w:val="16"/>
          <w:szCs w:val="16"/>
          <w:color w:val="auto"/>
        </w:rPr>
        <w:t>, following a request. Consequently, a permanent infraction appears to have been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committed, </w:t>
      </w:r>
      <w:r>
        <w:rPr>
          <w:rFonts w:ascii="Times New Roman" w:cs="Times New Roman" w:eastAsia="Times New Roman" w:hAnsi="Times New Roman"/>
          <w:sz w:val="16"/>
          <w:szCs w:val="16"/>
          <w:b w:val="1"/>
          <w:bCs w:val="1"/>
          <w:u w:val="single" w:color="auto"/>
          <w:color w:val="auto"/>
        </w:rPr>
        <w:t>related to the concealment of relevant information, thereby affecting the transparency of the securities market</w:t>
      </w:r>
      <w:r>
        <w:rPr>
          <w:rFonts w:ascii="Times New Roman" w:cs="Times New Roman" w:eastAsia="Times New Roman" w:hAnsi="Times New Roman"/>
          <w:sz w:val="16"/>
          <w:szCs w:val="16"/>
          <w:color w:val="auto"/>
        </w:rPr>
        <w:t>—a legal interest protected by securities market regulations.</w:t>
      </w:r>
      <w:r>
        <w:rPr>
          <w:rFonts w:ascii="Times New Roman" w:cs="Times New Roman" w:eastAsia="Times New Roman" w:hAnsi="Times New Roman"/>
          <w:sz w:val="26"/>
          <w:szCs w:val="26"/>
          <w:color w:val="auto"/>
          <w:vertAlign w:val="superscript"/>
        </w:rPr>
        <w:t>12</w:t>
      </w:r>
    </w:p>
    <w:p>
      <w:pPr>
        <w:spacing w:after="0" w:line="47" w:lineRule="exact"/>
        <w:rPr>
          <w:rFonts w:ascii="Times New Roman" w:cs="Times New Roman" w:eastAsia="Times New Roman" w:hAnsi="Times New Roman"/>
          <w:sz w:val="16"/>
          <w:szCs w:val="16"/>
          <w:color w:val="auto"/>
        </w:rPr>
      </w:pPr>
    </w:p>
    <w:p>
      <w:pPr>
        <w:jc w:val="both"/>
        <w:ind w:left="583" w:hanging="292"/>
        <w:spacing w:after="0" w:line="270" w:lineRule="auto"/>
        <w:tabs>
          <w:tab w:leader="none" w:pos="583"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prejudice to the foregoing, it is necessary to point out that the issuer’s failure to comply with its information obligations and the resulting impact on transparency generate various consequences, including harm to investors, who are prevented from accessing relevant information that could have influenced their investment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109855</wp:posOffset>
            </wp:positionV>
            <wp:extent cx="7053580" cy="400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53580" cy="400685"/>
                    </a:xfrm>
                    <a:prstGeom prst="rect">
                      <a:avLst/>
                    </a:prstGeom>
                    <a:noFill/>
                  </pic:spPr>
                </pic:pic>
              </a:graphicData>
            </a:graphic>
          </wp:anchor>
        </w:drawing>
      </w:r>
    </w:p>
    <w:p>
      <w:pPr>
        <w:spacing w:after="0" w:line="160" w:lineRule="exact"/>
        <w:rPr>
          <w:sz w:val="20"/>
          <w:szCs w:val="20"/>
          <w:color w:val="auto"/>
        </w:rPr>
      </w:pPr>
    </w:p>
    <w:p>
      <w:pPr>
        <w:ind w:left="603" w:hanging="336"/>
        <w:spacing w:after="0"/>
        <w:tabs>
          <w:tab w:leader="none" w:pos="603"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sum, the Issuer has demonstrated conduct that would have affected the transparency of the securities market by failing to disclose THE 2016 AGREEMENT.</w:t>
      </w:r>
    </w:p>
    <w:p>
      <w:pPr>
        <w:spacing w:after="0" w:line="26" w:lineRule="exact"/>
        <w:rPr>
          <w:rFonts w:ascii="Times New Roman" w:cs="Times New Roman" w:eastAsia="Times New Roman" w:hAnsi="Times New Roman"/>
          <w:sz w:val="16"/>
          <w:szCs w:val="16"/>
          <w:color w:val="auto"/>
        </w:rPr>
      </w:pPr>
    </w:p>
    <w:p>
      <w:pPr>
        <w:ind w:left="603" w:right="120"/>
        <w:spacing w:after="0" w:line="27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This conduct of concealing such information, which constitutes a permanent infraction, only ceased with its disclosure through the corresponding material event.</w:t>
      </w:r>
      <w:r>
        <w:rPr>
          <w:rFonts w:ascii="Times New Roman" w:cs="Times New Roman" w:eastAsia="Times New Roman" w:hAnsi="Times New Roman"/>
          <w:sz w:val="26"/>
          <w:szCs w:val="26"/>
          <w:color w:val="auto"/>
          <w:vertAlign w:val="superscript"/>
        </w:rPr>
        <w:t>13</w:t>
      </w:r>
    </w:p>
    <w:p>
      <w:pPr>
        <w:spacing w:after="0" w:line="41" w:lineRule="exact"/>
        <w:rPr>
          <w:rFonts w:ascii="Times New Roman" w:cs="Times New Roman" w:eastAsia="Times New Roman" w:hAnsi="Times New Roman"/>
          <w:sz w:val="16"/>
          <w:szCs w:val="16"/>
          <w:color w:val="auto"/>
        </w:rPr>
      </w:pPr>
    </w:p>
    <w:p>
      <w:pPr>
        <w:jc w:val="both"/>
        <w:ind w:left="583" w:right="20" w:hanging="292"/>
        <w:spacing w:after="0" w:line="200" w:lineRule="exact"/>
        <w:tabs>
          <w:tab w:leader="none" w:pos="583"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Furthermore, independent of the facts forming the basis of the charges, it is pertinent to note that the Issuer disseminates to the market certain documents containing corporate policies adopted under its self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regulation framework, which are inconsistent with the Issuer’s conduct of concealing and maintaining concealed the information underlying the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178816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75" w:lineRule="exact"/>
        <w:rPr>
          <w:sz w:val="20"/>
          <w:szCs w:val="20"/>
          <w:color w:val="auto"/>
        </w:rPr>
      </w:pPr>
    </w:p>
    <w:p>
      <w:pPr>
        <w:ind w:left="163" w:hanging="163"/>
        <w:spacing w:after="0"/>
        <w:tabs>
          <w:tab w:leader="none" w:pos="163"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emphasis, underlining and boxed highlights are additions</w:t>
      </w:r>
    </w:p>
    <w:p>
      <w:pPr>
        <w:spacing w:after="0" w:line="2" w:lineRule="exact"/>
        <w:rPr>
          <w:rFonts w:ascii="Times New Roman" w:cs="Times New Roman" w:eastAsia="Times New Roman" w:hAnsi="Times New Roman"/>
          <w:sz w:val="24"/>
          <w:szCs w:val="24"/>
          <w:color w:val="auto"/>
          <w:vertAlign w:val="superscript"/>
        </w:rPr>
      </w:pPr>
    </w:p>
    <w:p>
      <w:pPr>
        <w:ind w:left="163" w:hanging="163"/>
        <w:spacing w:after="0" w:line="182" w:lineRule="auto"/>
        <w:tabs>
          <w:tab w:leader="none" w:pos="163"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emphasis, underlining and boxed highlights are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21" w:name="page22"/>
    <w:bookmarkEnd w:id="21"/>
    <w:p>
      <w:pPr>
        <w:ind w:left="583"/>
        <w:spacing w:after="0"/>
        <w:rPr>
          <w:sz w:val="20"/>
          <w:szCs w:val="20"/>
          <w:color w:val="auto"/>
        </w:rPr>
      </w:pPr>
      <w:r>
        <w:rPr>
          <w:rFonts w:ascii="Times New Roman" w:cs="Times New Roman" w:eastAsia="Times New Roman" w:hAnsi="Times New Roman"/>
          <w:sz w:val="16"/>
          <w:szCs w:val="16"/>
          <w:color w:val="auto"/>
        </w:rPr>
        <w:t>By way of illustration, the following is noted:</w:t>
      </w:r>
    </w:p>
    <w:p>
      <w:pPr>
        <w:spacing w:after="0" w:line="204" w:lineRule="exact"/>
        <w:rPr>
          <w:sz w:val="20"/>
          <w:szCs w:val="20"/>
          <w:color w:val="auto"/>
        </w:rPr>
      </w:pPr>
    </w:p>
    <w:p>
      <w:pPr>
        <w:jc w:val="both"/>
        <w:ind w:left="583"/>
        <w:spacing w:after="0" w:line="270" w:lineRule="auto"/>
        <w:rPr>
          <w:sz w:val="20"/>
          <w:szCs w:val="20"/>
          <w:color w:val="auto"/>
        </w:rPr>
      </w:pPr>
      <w:r>
        <w:rPr>
          <w:rFonts w:ascii="Times New Roman" w:cs="Times New Roman" w:eastAsia="Times New Roman" w:hAnsi="Times New Roman"/>
          <w:sz w:val="16"/>
          <w:szCs w:val="16"/>
          <w:color w:val="auto"/>
        </w:rPr>
        <w:t>A. In the Report on Compliance with the Principles of Good Corporate Governance for Peruvian Companies corresponding to fiscal year 2012, it is mentioned that the Issuer’s Corporate Governance Committee was created on June 23, 2010, and was chaired by Mr. Romero. One of the functions of this Committee was to propose Good Corporate Governance Practices to the Board of Directors as well as their implementation.</w:t>
      </w:r>
    </w:p>
    <w:p>
      <w:pPr>
        <w:spacing w:after="0" w:line="154" w:lineRule="exact"/>
        <w:rPr>
          <w:sz w:val="20"/>
          <w:szCs w:val="20"/>
          <w:color w:val="auto"/>
        </w:rPr>
      </w:pPr>
    </w:p>
    <w:p>
      <w:pPr>
        <w:jc w:val="both"/>
        <w:ind w:left="583"/>
        <w:spacing w:after="0" w:line="290" w:lineRule="auto"/>
        <w:rPr>
          <w:sz w:val="20"/>
          <w:szCs w:val="20"/>
          <w:color w:val="auto"/>
        </w:rPr>
      </w:pPr>
      <w:r>
        <w:rPr>
          <w:rFonts w:ascii="Times New Roman" w:cs="Times New Roman" w:eastAsia="Times New Roman" w:hAnsi="Times New Roman"/>
          <w:sz w:val="16"/>
          <w:szCs w:val="16"/>
          <w:color w:val="auto"/>
        </w:rPr>
        <w:t xml:space="preserve">B. The 2014 Code of Ethics, in numeral 17 of Section I — Act with integrity, respect and transparency — (Title B, Principles), stated that: </w:t>
      </w:r>
      <w:r>
        <w:rPr>
          <w:rFonts w:ascii="Times New Roman" w:cs="Times New Roman" w:eastAsia="Times New Roman" w:hAnsi="Times New Roman"/>
          <w:sz w:val="16"/>
          <w:szCs w:val="16"/>
          <w:i w:val="1"/>
          <w:iCs w:val="1"/>
          <w:color w:val="auto"/>
        </w:rPr>
        <w:t>“All our members respect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appropriate use of the tangible and intangible assets of our organization and are responsible for using them efficiently.”</w:t>
      </w:r>
    </w:p>
    <w:p>
      <w:pPr>
        <w:spacing w:after="0" w:line="138" w:lineRule="exact"/>
        <w:rPr>
          <w:sz w:val="20"/>
          <w:szCs w:val="20"/>
          <w:color w:val="auto"/>
        </w:rPr>
      </w:pPr>
    </w:p>
    <w:p>
      <w:pPr>
        <w:jc w:val="both"/>
        <w:ind w:left="583" w:right="20"/>
        <w:spacing w:after="0" w:line="265" w:lineRule="auto"/>
        <w:rPr>
          <w:sz w:val="20"/>
          <w:szCs w:val="20"/>
          <w:color w:val="auto"/>
        </w:rPr>
      </w:pPr>
      <w:r>
        <w:rPr>
          <w:rFonts w:ascii="Times New Roman" w:cs="Times New Roman" w:eastAsia="Times New Roman" w:hAnsi="Times New Roman"/>
          <w:sz w:val="16"/>
          <w:szCs w:val="16"/>
          <w:color w:val="auto"/>
        </w:rPr>
        <w:t xml:space="preserve">C. The 2014 Code of Ethics, in numeral 16 of Section I — Act with integrity, respect and transparency — (Title B, Principles), stated that: </w:t>
      </w:r>
      <w:r>
        <w:rPr>
          <w:rFonts w:ascii="Times New Roman" w:cs="Times New Roman" w:eastAsia="Times New Roman" w:hAnsi="Times New Roman"/>
          <w:sz w:val="16"/>
          <w:szCs w:val="16"/>
          <w:i w:val="1"/>
          <w:iCs w:val="1"/>
          <w:color w:val="auto"/>
        </w:rPr>
        <w:t>“Every employee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member of the Board of Directors is a representative of our organization; therefore, they are committed to conducting themselves within the limits established by the laws, regulations, bylaws, codes, policies and procedures of our corporation, and to reflecting an image of respect toward others both inside and outside the organization.”</w:t>
      </w:r>
    </w:p>
    <w:p>
      <w:pPr>
        <w:spacing w:after="0" w:line="161" w:lineRule="exact"/>
        <w:rPr>
          <w:sz w:val="20"/>
          <w:szCs w:val="20"/>
          <w:color w:val="auto"/>
        </w:rPr>
      </w:pPr>
    </w:p>
    <w:p>
      <w:pPr>
        <w:jc w:val="both"/>
        <w:ind w:left="583" w:right="20"/>
        <w:spacing w:after="0" w:line="270" w:lineRule="auto"/>
        <w:rPr>
          <w:sz w:val="20"/>
          <w:szCs w:val="20"/>
          <w:color w:val="auto"/>
        </w:rPr>
      </w:pPr>
      <w:r>
        <w:rPr>
          <w:rFonts w:ascii="Times New Roman" w:cs="Times New Roman" w:eastAsia="Times New Roman" w:hAnsi="Times New Roman"/>
          <w:sz w:val="16"/>
          <w:szCs w:val="16"/>
          <w:color w:val="auto"/>
        </w:rPr>
        <w:t>D. In the Reports on Compliance with the Corporate Governance Code for Peruvian Companies corresponding to fiscal years 2014, 2015, 2016, 2017 and 2018, regarding Board Functions (Principle 16: Functions of the Board — Question III.4(d)), the Issuer declares that its Board indeed has the function of: “Supervising corporate governance practices and establishing the policies and measures necessary for their improved application.”</w:t>
      </w:r>
    </w:p>
    <w:p>
      <w:pPr>
        <w:spacing w:after="0" w:line="154" w:lineRule="exact"/>
        <w:rPr>
          <w:sz w:val="20"/>
          <w:szCs w:val="20"/>
          <w:color w:val="auto"/>
        </w:rPr>
      </w:pPr>
    </w:p>
    <w:p>
      <w:pPr>
        <w:ind w:left="583" w:right="20" w:hanging="292"/>
        <w:spacing w:after="0" w:line="290" w:lineRule="auto"/>
        <w:tabs>
          <w:tab w:leader="none" w:pos="58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within this framework, Article 1 of the LMV provides that: </w:t>
      </w:r>
      <w:r>
        <w:rPr>
          <w:rFonts w:ascii="Times New Roman" w:cs="Times New Roman" w:eastAsia="Times New Roman" w:hAnsi="Times New Roman"/>
          <w:sz w:val="16"/>
          <w:szCs w:val="16"/>
          <w:i w:val="1"/>
          <w:iCs w:val="1"/>
          <w:color w:val="auto"/>
        </w:rPr>
        <w:t>“The purpose of this law is to promote the orderly development and transparency of the securities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market, as well as the adequate protection of the investor (…).” </w:t>
      </w:r>
      <w:r>
        <w:rPr>
          <w:rFonts w:ascii="Times New Roman" w:cs="Times New Roman" w:eastAsia="Times New Roman" w:hAnsi="Times New Roman"/>
          <w:sz w:val="16"/>
          <w:szCs w:val="16"/>
          <w:color w:val="auto"/>
        </w:rPr>
        <w:t>In accordance with the second paragraph of this article, the LMV applies to issuers;</w:t>
      </w:r>
    </w:p>
    <w:p>
      <w:pPr>
        <w:spacing w:after="0" w:line="138" w:lineRule="exact"/>
        <w:rPr>
          <w:rFonts w:ascii="Times New Roman" w:cs="Times New Roman" w:eastAsia="Times New Roman" w:hAnsi="Times New Roman"/>
          <w:sz w:val="16"/>
          <w:szCs w:val="16"/>
          <w:color w:val="auto"/>
        </w:rPr>
      </w:pPr>
    </w:p>
    <w:p>
      <w:pPr>
        <w:jc w:val="both"/>
        <w:ind w:left="583" w:right="20" w:hanging="292"/>
        <w:spacing w:after="0" w:line="271" w:lineRule="auto"/>
        <w:tabs>
          <w:tab w:leader="none" w:pos="58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furthermore, </w:t>
      </w:r>
      <w:r>
        <w:rPr>
          <w:rFonts w:ascii="Times New Roman" w:cs="Times New Roman" w:eastAsia="Times New Roman" w:hAnsi="Times New Roman"/>
          <w:sz w:val="16"/>
          <w:szCs w:val="16"/>
          <w:b w:val="1"/>
          <w:bCs w:val="1"/>
          <w:u w:val="single" w:color="auto"/>
          <w:color w:val="auto"/>
        </w:rPr>
        <w:t>Article 10</w:t>
      </w:r>
      <w:r>
        <w:rPr>
          <w:rFonts w:ascii="Times New Roman" w:cs="Times New Roman" w:eastAsia="Times New Roman" w:hAnsi="Times New Roman"/>
          <w:sz w:val="16"/>
          <w:szCs w:val="16"/>
          <w:color w:val="auto"/>
        </w:rPr>
        <w:t xml:space="preserve"> of the LMV establishes that: </w:t>
      </w:r>
      <w:r>
        <w:rPr>
          <w:rFonts w:ascii="Times New Roman" w:cs="Times New Roman" w:eastAsia="Times New Roman" w:hAnsi="Times New Roman"/>
          <w:sz w:val="16"/>
          <w:szCs w:val="16"/>
          <w:i w:val="1"/>
          <w:iCs w:val="1"/>
          <w:color w:val="auto"/>
        </w:rPr>
        <w:t>“All information that, pursuant to this law, must be submitted to CONASEV, to the exchange,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entities responsible for centralized mechanisms or to investors, shall be truthful, sufficient and timely. Once the information is received by these institutions, it must be immediately made available to the public”;</w:t>
      </w:r>
    </w:p>
    <w:p>
      <w:pPr>
        <w:spacing w:after="0" w:line="144" w:lineRule="exact"/>
        <w:rPr>
          <w:rFonts w:ascii="Times New Roman" w:cs="Times New Roman" w:eastAsia="Times New Roman" w:hAnsi="Times New Roman"/>
          <w:sz w:val="16"/>
          <w:szCs w:val="16"/>
          <w:color w:val="auto"/>
        </w:rPr>
      </w:pPr>
    </w:p>
    <w:p>
      <w:pPr>
        <w:jc w:val="both"/>
        <w:ind w:left="603" w:right="120" w:hanging="295"/>
        <w:spacing w:after="0" w:line="211" w:lineRule="exact"/>
        <w:tabs>
          <w:tab w:leader="none" w:pos="603"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w:t>
      </w:r>
      <w:r>
        <w:rPr>
          <w:rFonts w:ascii="Times New Roman" w:cs="Times New Roman" w:eastAsia="Times New Roman" w:hAnsi="Times New Roman"/>
          <w:sz w:val="16"/>
          <w:szCs w:val="16"/>
          <w:b w:val="1"/>
          <w:bCs w:val="1"/>
          <w:u w:val="single" w:color="auto"/>
          <w:color w:val="auto"/>
        </w:rPr>
        <w:t>the failure to comply with or the non</w:t>
      </w:r>
      <w:r>
        <w:rPr>
          <w:rFonts w:ascii="MS PGothic" w:cs="MS PGothic" w:eastAsia="MS PGothic" w:hAnsi="MS PGothic"/>
          <w:sz w:val="16"/>
          <w:szCs w:val="16"/>
          <w:u w:val="single" w:color="auto"/>
          <w:color w:val="auto"/>
          <w:strike w:val="1"/>
        </w:rPr>
        <w:t>‑</w:t>
      </w:r>
      <w:r>
        <w:rPr>
          <w:rFonts w:ascii="Times New Roman" w:cs="Times New Roman" w:eastAsia="Times New Roman" w:hAnsi="Times New Roman"/>
          <w:sz w:val="16"/>
          <w:szCs w:val="16"/>
          <w:b w:val="1"/>
          <w:bCs w:val="1"/>
          <w:u w:val="single" w:color="auto"/>
          <w:color w:val="auto"/>
        </w:rPr>
        <w:t>observance of the aforementioned provision is classified in item 1.5, numeral 1 of Annex I of the Sanctions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Regulation</w:t>
      </w:r>
      <w:r>
        <w:rPr>
          <w:rFonts w:ascii="Times New Roman" w:cs="Times New Roman" w:eastAsia="Times New Roman" w:hAnsi="Times New Roman"/>
          <w:sz w:val="16"/>
          <w:szCs w:val="16"/>
          <w:color w:val="auto"/>
        </w:rPr>
        <w:t>,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in force at the beginning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commission of the infraction, which establishes that a very serious infraction is constituted by:</w:t>
      </w:r>
    </w:p>
    <w:p>
      <w:pPr>
        <w:spacing w:after="0" w:line="2" w:lineRule="exact"/>
        <w:rPr>
          <w:rFonts w:ascii="Times New Roman" w:cs="Times New Roman" w:eastAsia="Times New Roman" w:hAnsi="Times New Roman"/>
          <w:sz w:val="16"/>
          <w:szCs w:val="16"/>
          <w:color w:val="auto"/>
        </w:rPr>
      </w:pPr>
    </w:p>
    <w:p>
      <w:pPr>
        <w:ind w:left="60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“Engaging in any act, omission, practice or conduct that undermines the integrity or transparency of the market”;</w:t>
      </w:r>
      <w:r>
        <w:rPr>
          <w:rFonts w:ascii="Times New Roman" w:cs="Times New Roman" w:eastAsia="Times New Roman" w:hAnsi="Times New Roman"/>
          <w:sz w:val="26"/>
          <w:szCs w:val="26"/>
          <w:i w:val="1"/>
          <w:iCs w:val="1"/>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-574040</wp:posOffset>
            </wp:positionV>
            <wp:extent cx="7053580" cy="524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53580" cy="524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178816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194" w:lineRule="exact"/>
        <w:rPr>
          <w:sz w:val="20"/>
          <w:szCs w:val="20"/>
          <w:color w:val="auto"/>
        </w:rPr>
      </w:pPr>
    </w:p>
    <w:p>
      <w:pPr>
        <w:ind w:left="163" w:hanging="163"/>
        <w:spacing w:after="0"/>
        <w:tabs>
          <w:tab w:leader="none" w:pos="163"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emphasis, underlining and boxed highlights are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22" w:name="page23"/>
    <w:bookmarkEnd w:id="22"/>
    <w:p>
      <w:pPr>
        <w:jc w:val="both"/>
        <w:ind w:left="583" w:hanging="292"/>
        <w:spacing w:after="0" w:line="211" w:lineRule="exact"/>
        <w:tabs>
          <w:tab w:leader="none" w:pos="583"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in accordance with Article 20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amended by Superintendent Resolution No. 101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SMV/02, in force at the beginning of the commission of the infraction, such infraction is sanctioned with a fine of no less than fifty (50) UIT and up to seven hundred (700) UIT, or exclusion of the security from the RPMV;</w:t>
      </w:r>
    </w:p>
    <w:p>
      <w:pPr>
        <w:spacing w:after="0" w:line="177" w:lineRule="exact"/>
        <w:rPr>
          <w:rFonts w:ascii="Times New Roman" w:cs="Times New Roman" w:eastAsia="Times New Roman" w:hAnsi="Times New Roman"/>
          <w:sz w:val="16"/>
          <w:szCs w:val="16"/>
          <w:color w:val="auto"/>
        </w:rPr>
      </w:pPr>
    </w:p>
    <w:p>
      <w:pPr>
        <w:ind w:left="5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2.3 Defenses</w:t>
      </w:r>
    </w:p>
    <w:p>
      <w:pPr>
        <w:spacing w:after="0" w:line="206" w:lineRule="exact"/>
        <w:rPr>
          <w:rFonts w:ascii="Times New Roman" w:cs="Times New Roman" w:eastAsia="Times New Roman" w:hAnsi="Times New Roman"/>
          <w:sz w:val="16"/>
          <w:szCs w:val="16"/>
          <w:color w:val="auto"/>
        </w:rPr>
      </w:pPr>
    </w:p>
    <w:p>
      <w:pPr>
        <w:ind w:left="583" w:right="20" w:hanging="292"/>
        <w:spacing w:after="0" w:line="215" w:lineRule="exact"/>
        <w:tabs>
          <w:tab w:leader="none" w:pos="583"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before submitting its defenses, the Issuer, through a communication dated January 6, 2020, requested an extension of the deadline to submit them. This extension was granted by the IGCC through Official Letter No. 64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SMV/11.2;</w:t>
      </w:r>
    </w:p>
    <w:p>
      <w:pPr>
        <w:spacing w:after="0" w:line="153" w:lineRule="exact"/>
        <w:rPr>
          <w:rFonts w:ascii="Times New Roman" w:cs="Times New Roman" w:eastAsia="Times New Roman" w:hAnsi="Times New Roman"/>
          <w:sz w:val="16"/>
          <w:szCs w:val="16"/>
          <w:color w:val="auto"/>
        </w:rPr>
      </w:pPr>
    </w:p>
    <w:p>
      <w:pPr>
        <w:jc w:val="both"/>
        <w:ind w:left="583" w:hanging="292"/>
        <w:spacing w:after="0" w:line="261" w:lineRule="auto"/>
        <w:tabs>
          <w:tab w:leader="none" w:pos="583"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on January 20, 2020, the Issuer submitted its defenses, consisting of an introductory section (pages 1 to 9 of its defenses), where it states that it was not obligated to disclose the cash contributions totaling US$ 3.65 million to the political party FUERZA 2011 during the 2011 presidential campaign (THE 2011 INFORMATION), nor the Executive Committee’s agreement to make contributions totaling one hundred eighty (180) UIT through its subsidiaries BCP, MIBANCO, and PACÍFICO to the political party PERUANOS POR EL KAMBIO during the 2016 presidential campaign (THE 2016 AGREEMENT) (numeral 1.2); that there was no intention to conceal material information (numeral 1.3); improper classification — violation of principles of administrative sanctioning law (numeral 1.4); </w:t>
      </w:r>
      <w:r>
        <w:rPr>
          <w:rFonts w:ascii="Times New Roman" w:cs="Times New Roman" w:eastAsia="Times New Roman" w:hAnsi="Times New Roman"/>
          <w:sz w:val="16"/>
          <w:szCs w:val="16"/>
          <w:b w:val="1"/>
          <w:bCs w:val="1"/>
          <w:u w:val="single" w:color="auto"/>
          <w:color w:val="auto"/>
        </w:rPr>
        <w:t>prescription of the first charge</w:t>
      </w:r>
      <w:r>
        <w:rPr>
          <w:rFonts w:ascii="Times New Roman" w:cs="Times New Roman" w:eastAsia="Times New Roman" w:hAnsi="Times New Roman"/>
          <w:sz w:val="16"/>
          <w:szCs w:val="16"/>
          <w:color w:val="auto"/>
        </w:rPr>
        <w:t xml:space="preserve"> (numeral 1.5); and a final reflection (numeral 1.6); arguments which it further develops based on the alleged improper classification;</w:t>
      </w:r>
      <w:r>
        <w:rPr>
          <w:rFonts w:ascii="Times New Roman" w:cs="Times New Roman" w:eastAsia="Times New Roman" w:hAnsi="Times New Roman"/>
          <w:sz w:val="26"/>
          <w:szCs w:val="26"/>
          <w:color w:val="auto"/>
          <w:vertAlign w:val="superscript"/>
        </w:rPr>
        <w:t>15</w:t>
      </w:r>
    </w:p>
    <w:p>
      <w:pPr>
        <w:spacing w:after="0" w:line="28" w:lineRule="exact"/>
        <w:rPr>
          <w:rFonts w:ascii="Times New Roman" w:cs="Times New Roman" w:eastAsia="Times New Roman" w:hAnsi="Times New Roman"/>
          <w:sz w:val="16"/>
          <w:szCs w:val="16"/>
          <w:color w:val="auto"/>
        </w:rPr>
      </w:pPr>
    </w:p>
    <w:p>
      <w:pPr>
        <w:ind w:left="583" w:right="20" w:hanging="292"/>
        <w:spacing w:after="0" w:line="287" w:lineRule="auto"/>
        <w:tabs>
          <w:tab w:leader="none" w:pos="583"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in the last paragraph of page 9 of its defenses, the Issuer states that it will develop the common grounds of its defense regarding both the first and second charges, as well as the specific grounds for each charge. Consequently, the order of the defenses presented will be followed;</w:t>
      </w:r>
    </w:p>
    <w:p>
      <w:pPr>
        <w:spacing w:after="0" w:line="142" w:lineRule="exact"/>
        <w:rPr>
          <w:rFonts w:ascii="Times New Roman" w:cs="Times New Roman" w:eastAsia="Times New Roman" w:hAnsi="Times New Roman"/>
          <w:sz w:val="16"/>
          <w:szCs w:val="16"/>
          <w:color w:val="auto"/>
        </w:rPr>
      </w:pPr>
    </w:p>
    <w:p>
      <w:pPr>
        <w:ind w:left="583" w:right="20" w:hanging="292"/>
        <w:spacing w:after="0" w:line="287" w:lineRule="auto"/>
        <w:tabs>
          <w:tab w:leader="none" w:pos="583"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analysis and evaluation of each of the arguments presented by the Issuer is undertaken, and the defenses and documentary evidence submitted are fully included in the case file;</w:t>
      </w:r>
    </w:p>
    <w:p>
      <w:pPr>
        <w:spacing w:after="0" w:line="140" w:lineRule="exact"/>
        <w:rPr>
          <w:rFonts w:ascii="Times New Roman" w:cs="Times New Roman" w:eastAsia="Times New Roman" w:hAnsi="Times New Roman"/>
          <w:sz w:val="16"/>
          <w:szCs w:val="16"/>
          <w:color w:val="auto"/>
        </w:rPr>
      </w:pPr>
    </w:p>
    <w:p>
      <w:pPr>
        <w:ind w:left="5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 COMMON DEFENSES REGARDING THE 2011 INFORMATION AND THE 2016 AGREEMENT</w:t>
      </w:r>
    </w:p>
    <w:p>
      <w:pPr>
        <w:spacing w:after="0" w:line="204"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b w:val="1"/>
          <w:bCs w:val="1"/>
          <w:color w:val="auto"/>
        </w:rPr>
        <w:t>1. IMPROPER CLASSIFICATION</w:t>
      </w:r>
    </w:p>
    <w:p>
      <w:pPr>
        <w:spacing w:after="0" w:line="202" w:lineRule="exact"/>
        <w:rPr>
          <w:sz w:val="20"/>
          <w:szCs w:val="20"/>
          <w:color w:val="auto"/>
        </w:rPr>
      </w:pPr>
    </w:p>
    <w:p>
      <w:pPr>
        <w:jc w:val="both"/>
        <w:ind w:left="583"/>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Regarding this challenge, the Issuer argues that: “The conduct attributed to Credicorp is </w:t>
      </w:r>
      <w:r>
        <w:rPr>
          <w:rFonts w:ascii="Times New Roman" w:cs="Times New Roman" w:eastAsia="Times New Roman" w:hAnsi="Times New Roman"/>
          <w:sz w:val="16"/>
          <w:szCs w:val="16"/>
          <w:b w:val="1"/>
          <w:bCs w:val="1"/>
          <w:i w:val="1"/>
          <w:iCs w:val="1"/>
          <w:u w:val="single" w:color="auto"/>
          <w:color w:val="auto"/>
        </w:rPr>
        <w:t>the failure to timely disclose to the market the 2011 Information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u w:val="single" w:color="auto"/>
          <w:color w:val="auto"/>
        </w:rPr>
        <w:t>2016 Agreement</w:t>
      </w:r>
      <w:r>
        <w:rPr>
          <w:rFonts w:ascii="Times New Roman" w:cs="Times New Roman" w:eastAsia="Times New Roman" w:hAnsi="Times New Roman"/>
          <w:sz w:val="16"/>
          <w:szCs w:val="16"/>
          <w:i w:val="1"/>
          <w:iCs w:val="1"/>
          <w:color w:val="auto"/>
        </w:rPr>
        <w:t>, information considered material by the administration and, consequently, required to be disclosed as a material event. As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u w:val="single" w:color="auto"/>
          <w:color w:val="auto"/>
        </w:rPr>
        <w:t>the specific</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u w:val="single" w:color="auto"/>
          <w:color w:val="auto"/>
        </w:rPr>
        <w:t>infraction applicable to this conduct is that established in numerals 2.14 of Annex 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of the Sanctions Regulation in force in 2011, and of the Sanctions Regulation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 xml:space="preserve">in force in 2016, which classify as a </w:t>
      </w:r>
      <w:r>
        <w:rPr>
          <w:rFonts w:ascii="Times New Roman" w:cs="Times New Roman" w:eastAsia="Times New Roman" w:hAnsi="Times New Roman"/>
          <w:sz w:val="16"/>
          <w:szCs w:val="16"/>
          <w:b w:val="1"/>
          <w:bCs w:val="1"/>
          <w:i w:val="1"/>
          <w:iCs w:val="1"/>
          <w:u w:val="single" w:color="auto"/>
          <w:color w:val="auto"/>
        </w:rPr>
        <w:t>‘serious’ infraction</w:t>
      </w:r>
      <w:r>
        <w:rPr>
          <w:rFonts w:ascii="Times New Roman" w:cs="Times New Roman" w:eastAsia="Times New Roman" w:hAnsi="Times New Roman"/>
          <w:sz w:val="16"/>
          <w:szCs w:val="16"/>
          <w:i w:val="1"/>
          <w:iCs w:val="1"/>
          <w:color w:val="auto"/>
        </w:rPr>
        <w:t xml:space="preserve"> the ‘failure to disclose material events that have significant impact on the market.’However, the SMV seeks to classify Credicorp under the infraction typified in numeral 1.6 of Annex 1 of the Sanctions Regulation in force in 2011 and the infraction typified in numeral 1.5 of numeral 1 of Annex I of the Sanctions Regulation in force in 2016, consisting of ‘engaging in any act, omission, practice or conduct that undermines the integrity or transparency of the market, or that qualifies as market abuse under the applicable regulation,’ which are classified as </w:t>
      </w:r>
      <w:r>
        <w:rPr>
          <w:rFonts w:ascii="Times New Roman" w:cs="Times New Roman" w:eastAsia="Times New Roman" w:hAnsi="Times New Roman"/>
          <w:sz w:val="16"/>
          <w:szCs w:val="16"/>
          <w:b w:val="1"/>
          <w:bCs w:val="1"/>
          <w:i w:val="1"/>
          <w:iCs w:val="1"/>
          <w:u w:val="single" w:color="auto"/>
          <w:color w:val="auto"/>
        </w:rPr>
        <w:t>‘very serious.’</w:t>
      </w:r>
      <w:r>
        <w:rPr>
          <w:rFonts w:ascii="Times New Roman" w:cs="Times New Roman" w:eastAsia="Times New Roman" w:hAnsi="Times New Roman"/>
          <w:sz w:val="16"/>
          <w:szCs w:val="16"/>
          <w:i w:val="1"/>
          <w:iCs w:val="1"/>
          <w:color w:val="auto"/>
        </w:rPr>
        <w:t xml:space="preserve"> Under such classification, the First Charge would be sanctioned with a fine greater than fifty (50) UIT and up to three hundred (300) UIT, and the Second Charge with a fine greater than fifty (50) UIT and up to seven hundred (700) UIT or exclusion of the security from the RPMV.”</w:t>
      </w:r>
      <w:r>
        <w:rPr>
          <w:rFonts w:ascii="Times New Roman" w:cs="Times New Roman" w:eastAsia="Times New Roman" w:hAnsi="Times New Roman"/>
          <w:sz w:val="26"/>
          <w:szCs w:val="26"/>
          <w:i w:val="1"/>
          <w:iCs w:val="1"/>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178816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90" w:lineRule="exact"/>
        <w:rPr>
          <w:sz w:val="20"/>
          <w:szCs w:val="20"/>
          <w:color w:val="auto"/>
        </w:rPr>
      </w:pPr>
    </w:p>
    <w:p>
      <w:pPr>
        <w:ind w:left="183" w:hanging="183"/>
        <w:spacing w:after="0"/>
        <w:tabs>
          <w:tab w:leader="none" w:pos="183"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highlight and underlining are additions.</w:t>
      </w:r>
    </w:p>
    <w:p>
      <w:pPr>
        <w:spacing w:after="0" w:line="2" w:lineRule="exact"/>
        <w:rPr>
          <w:rFonts w:ascii="Times New Roman" w:cs="Times New Roman" w:eastAsia="Times New Roman" w:hAnsi="Times New Roman"/>
          <w:sz w:val="27"/>
          <w:szCs w:val="27"/>
          <w:color w:val="auto"/>
          <w:vertAlign w:val="superscript"/>
        </w:rPr>
      </w:pPr>
    </w:p>
    <w:p>
      <w:pPr>
        <w:ind w:left="183" w:hanging="183"/>
        <w:spacing w:after="0" w:line="182" w:lineRule="auto"/>
        <w:tabs>
          <w:tab w:leader="none" w:pos="183"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highlight and underlining are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88" w:right="319" w:bottom="1440" w:gutter="0" w:footer="0" w:header="0"/>
        </w:sectPr>
      </w:pPr>
    </w:p>
    <w:bookmarkStart w:id="23" w:name="page24"/>
    <w:bookmarkEnd w:id="23"/>
    <w:p>
      <w:pPr>
        <w:jc w:val="both"/>
        <w:ind w:left="583"/>
        <w:spacing w:after="0" w:line="275" w:lineRule="auto"/>
        <w:rPr>
          <w:sz w:val="20"/>
          <w:szCs w:val="20"/>
          <w:color w:val="auto"/>
        </w:rPr>
      </w:pPr>
      <w:r>
        <w:rPr>
          <w:rFonts w:ascii="Times New Roman" w:cs="Times New Roman" w:eastAsia="Times New Roman" w:hAnsi="Times New Roman"/>
          <w:sz w:val="16"/>
          <w:szCs w:val="16"/>
          <w:color w:val="auto"/>
        </w:rPr>
        <w:t xml:space="preserve">The Issuer adds that: </w:t>
      </w:r>
      <w:r>
        <w:rPr>
          <w:rFonts w:ascii="Times New Roman" w:cs="Times New Roman" w:eastAsia="Times New Roman" w:hAnsi="Times New Roman"/>
          <w:sz w:val="16"/>
          <w:szCs w:val="16"/>
          <w:b w:val="1"/>
          <w:bCs w:val="1"/>
          <w:i w:val="1"/>
          <w:iCs w:val="1"/>
          <w:u w:val="single" w:color="auto"/>
          <w:color w:val="auto"/>
        </w:rPr>
        <w:t>“Given the existence of a specific type that precisely describes the conduct in question</w:t>
      </w:r>
      <w:r>
        <w:rPr>
          <w:rFonts w:ascii="Times New Roman" w:cs="Times New Roman" w:eastAsia="Times New Roman" w:hAnsi="Times New Roman"/>
          <w:sz w:val="16"/>
          <w:szCs w:val="16"/>
          <w:i w:val="1"/>
          <w:iCs w:val="1"/>
          <w:color w:val="auto"/>
        </w:rPr>
        <w:t>, it is not legally permissible to apply a generic type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associated with a higher sanction. This is legally inadmissible and constitutes a violation of the Principle of Legality, the Principle of Specificity, and the Principle of Due Administrative Procedure.”</w:t>
      </w:r>
      <w:r>
        <w:rPr>
          <w:rFonts w:ascii="Times New Roman" w:cs="Times New Roman" w:eastAsia="Times New Roman" w:hAnsi="Times New Roman"/>
          <w:sz w:val="26"/>
          <w:szCs w:val="26"/>
          <w:i w:val="1"/>
          <w:iCs w:val="1"/>
          <w:color w:val="auto"/>
          <w:vertAlign w:val="superscript"/>
        </w:rPr>
        <w:t>17</w:t>
      </w:r>
    </w:p>
    <w:p>
      <w:pPr>
        <w:spacing w:after="0" w:line="15"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b w:val="1"/>
          <w:bCs w:val="1"/>
          <w:color w:val="auto"/>
        </w:rPr>
        <w:t>2. THE CONDUCT ATTRIBUTED</w:t>
      </w:r>
    </w:p>
    <w:p>
      <w:pPr>
        <w:spacing w:after="0" w:line="204" w:lineRule="exact"/>
        <w:rPr>
          <w:sz w:val="20"/>
          <w:szCs w:val="20"/>
          <w:color w:val="auto"/>
        </w:rPr>
      </w:pPr>
    </w:p>
    <w:p>
      <w:pPr>
        <w:jc w:val="both"/>
        <w:ind w:left="583" w:right="20"/>
        <w:spacing w:after="0" w:line="271" w:lineRule="auto"/>
        <w:rPr>
          <w:sz w:val="20"/>
          <w:szCs w:val="20"/>
          <w:color w:val="auto"/>
        </w:rPr>
      </w:pPr>
      <w:r>
        <w:rPr>
          <w:rFonts w:ascii="Times New Roman" w:cs="Times New Roman" w:eastAsia="Times New Roman" w:hAnsi="Times New Roman"/>
          <w:sz w:val="16"/>
          <w:szCs w:val="16"/>
          <w:color w:val="auto"/>
        </w:rPr>
        <w:t xml:space="preserve">The Issuer argues that: </w:t>
      </w:r>
      <w:r>
        <w:rPr>
          <w:rFonts w:ascii="Times New Roman" w:cs="Times New Roman" w:eastAsia="Times New Roman" w:hAnsi="Times New Roman"/>
          <w:sz w:val="16"/>
          <w:szCs w:val="16"/>
          <w:i w:val="1"/>
          <w:iCs w:val="1"/>
          <w:color w:val="auto"/>
        </w:rPr>
        <w:t>“According to the Charges Letter, the conduct attributed to us is the failure to disclose such information at the time the contributions were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made to the political party Fuerza 2011: ‘The 2011 Information by its nature had the capacity to significantly influence investors’ decisions regarding Credicorp’s securities, and therefore should have been disclosed, since it could have generated an impact on the market for said securities.”</w:t>
      </w:r>
    </w:p>
    <w:p>
      <w:pPr>
        <w:spacing w:after="0" w:line="154" w:lineRule="exact"/>
        <w:rPr>
          <w:sz w:val="20"/>
          <w:szCs w:val="20"/>
          <w:color w:val="auto"/>
        </w:rPr>
      </w:pPr>
    </w:p>
    <w:p>
      <w:pPr>
        <w:jc w:val="both"/>
        <w:ind w:left="583"/>
        <w:spacing w:after="0" w:line="271" w:lineRule="auto"/>
        <w:rPr>
          <w:sz w:val="20"/>
          <w:szCs w:val="20"/>
          <w:color w:val="auto"/>
        </w:rPr>
      </w:pPr>
      <w:r>
        <w:rPr>
          <w:rFonts w:ascii="Times New Roman" w:cs="Times New Roman" w:eastAsia="Times New Roman" w:hAnsi="Times New Roman"/>
          <w:sz w:val="16"/>
          <w:szCs w:val="16"/>
          <w:color w:val="auto"/>
        </w:rPr>
        <w:t xml:space="preserve">The Issuer further specifies that: </w:t>
      </w:r>
      <w:r>
        <w:rPr>
          <w:rFonts w:ascii="Times New Roman" w:cs="Times New Roman" w:eastAsia="Times New Roman" w:hAnsi="Times New Roman"/>
          <w:sz w:val="16"/>
          <w:szCs w:val="16"/>
          <w:i w:val="1"/>
          <w:iCs w:val="1"/>
          <w:color w:val="auto"/>
        </w:rPr>
        <w:t>“For the SMV, the 2011 Information constituted information that met the materiality requirements set forth in the LMV and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Regulation on Material Events, in the sense that, as stated in the Charges Letter, ‘it had the capacity to significantly influence investors’ decisions regarding Credicorp’s securities, and therefore should have been disclosed.”</w:t>
      </w:r>
    </w:p>
    <w:p>
      <w:pPr>
        <w:spacing w:after="0" w:line="154" w:lineRule="exact"/>
        <w:rPr>
          <w:sz w:val="20"/>
          <w:szCs w:val="20"/>
          <w:color w:val="auto"/>
        </w:rPr>
      </w:pPr>
    </w:p>
    <w:p>
      <w:pPr>
        <w:jc w:val="both"/>
        <w:ind w:left="583" w:right="20"/>
        <w:spacing w:after="0" w:line="274" w:lineRule="auto"/>
        <w:rPr>
          <w:sz w:val="20"/>
          <w:szCs w:val="20"/>
          <w:color w:val="auto"/>
        </w:rPr>
      </w:pPr>
      <w:r>
        <w:rPr>
          <w:rFonts w:ascii="Times New Roman" w:cs="Times New Roman" w:eastAsia="Times New Roman" w:hAnsi="Times New Roman"/>
          <w:sz w:val="16"/>
          <w:szCs w:val="16"/>
          <w:color w:val="auto"/>
        </w:rPr>
        <w:t xml:space="preserve">The Issuer adds that: </w:t>
      </w:r>
      <w:r>
        <w:rPr>
          <w:rFonts w:ascii="Times New Roman" w:cs="Times New Roman" w:eastAsia="Times New Roman" w:hAnsi="Times New Roman"/>
          <w:sz w:val="16"/>
          <w:szCs w:val="16"/>
          <w:i w:val="1"/>
          <w:iCs w:val="1"/>
          <w:color w:val="auto"/>
        </w:rPr>
        <w:t>“The SMV also indicates that, given that this information was disclosed by our company only in November 2019, ‘it was disclosed belatedly.’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Moreover, in the Charges Letter, the SMV expressly states that the alleged conduct ‘ceased upon the disclosure of the material event on November 21, 2019.’ </w:t>
      </w:r>
      <w:r>
        <w:rPr>
          <w:rFonts w:ascii="Times New Roman" w:cs="Times New Roman" w:eastAsia="Times New Roman" w:hAnsi="Times New Roman"/>
          <w:sz w:val="16"/>
          <w:szCs w:val="16"/>
          <w:b w:val="1"/>
          <w:bCs w:val="1"/>
          <w:i w:val="1"/>
          <w:iCs w:val="1"/>
          <w:u w:val="single" w:color="auto"/>
          <w:color w:val="auto"/>
        </w:rPr>
        <w:t>Thus,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u w:val="single" w:color="auto"/>
          <w:color w:val="auto"/>
        </w:rPr>
        <w:t>it is evident that what we are being accused of is the failure to timely disclose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the 2011 Contributions as a material event.”</w:t>
      </w:r>
      <w:r>
        <w:rPr>
          <w:rFonts w:ascii="Times New Roman" w:cs="Times New Roman" w:eastAsia="Times New Roman" w:hAnsi="Times New Roman"/>
          <w:sz w:val="26"/>
          <w:szCs w:val="26"/>
          <w:i w:val="1"/>
          <w:iCs w:val="1"/>
          <w:color w:val="auto"/>
          <w:vertAlign w:val="superscript"/>
        </w:rPr>
        <w:t>18</w:t>
      </w:r>
    </w:p>
    <w:p>
      <w:pPr>
        <w:spacing w:after="0" w:line="16" w:lineRule="exact"/>
        <w:rPr>
          <w:sz w:val="20"/>
          <w:szCs w:val="20"/>
          <w:color w:val="auto"/>
        </w:rPr>
      </w:pPr>
    </w:p>
    <w:p>
      <w:pPr>
        <w:jc w:val="both"/>
        <w:ind w:left="583" w:right="20"/>
        <w:spacing w:after="0" w:line="261" w:lineRule="auto"/>
        <w:rPr>
          <w:sz w:val="20"/>
          <w:szCs w:val="20"/>
          <w:color w:val="auto"/>
        </w:rPr>
      </w:pPr>
      <w:r>
        <w:rPr>
          <w:rFonts w:ascii="Times New Roman" w:cs="Times New Roman" w:eastAsia="Times New Roman" w:hAnsi="Times New Roman"/>
          <w:sz w:val="16"/>
          <w:szCs w:val="16"/>
          <w:color w:val="auto"/>
        </w:rPr>
        <w:t xml:space="preserve">The Issuer continues: </w:t>
      </w:r>
      <w:r>
        <w:rPr>
          <w:rFonts w:ascii="Times New Roman" w:cs="Times New Roman" w:eastAsia="Times New Roman" w:hAnsi="Times New Roman"/>
          <w:sz w:val="16"/>
          <w:szCs w:val="16"/>
          <w:i w:val="1"/>
          <w:iCs w:val="1"/>
          <w:color w:val="auto"/>
        </w:rPr>
        <w:t>“With respect to the Second Charge, in the Charges Letter, the SMV refers to the ‘2016 Agreement’ as the agreement of Credicorp’s Executive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Committee, adopted at its meeting of March 2, 2016, through which Credicorp would have approved contributions in 2016 totaling one hundred eighty (180) UIT to the political party Peruanos Por el Kambio, with each Subsidiary contributing sixty (60) UIT. According to the Charges Letter, the conduct attributed to us is the failure to disclose THE 2016 AGREEMENT when it was adopted: ‘THE 2016 AGREEMENT by its nature had the capacity to significantly influence investors’ decisions regarding Credicorp’s securities and those of its subsidiaries, and therefore should have been disclosed, since it could have generated an impact on the market for Credicorp’s securities.’ Likewise, according to the Charges Letter, the conduct attributed in the Second Charge ‘ceased only upon the disclosure of the material event on November 21, 2019,’ which demonstrates that what is being attributed to us in this case is </w:t>
      </w:r>
      <w:r>
        <w:rPr>
          <w:rFonts w:ascii="Times New Roman" w:cs="Times New Roman" w:eastAsia="Times New Roman" w:hAnsi="Times New Roman"/>
          <w:sz w:val="16"/>
          <w:szCs w:val="16"/>
          <w:b w:val="1"/>
          <w:bCs w:val="1"/>
          <w:i w:val="1"/>
          <w:iCs w:val="1"/>
          <w:u w:val="single" w:color="auto"/>
          <w:color w:val="auto"/>
        </w:rPr>
        <w:t>also the failure to timely disclose a material event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26"/>
          <w:szCs w:val="26"/>
          <w:i w:val="1"/>
          <w:iCs w:val="1"/>
          <w:color w:val="auto"/>
          <w:vertAlign w:val="super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178816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92" w:lineRule="exact"/>
        <w:rPr>
          <w:sz w:val="20"/>
          <w:szCs w:val="20"/>
          <w:color w:val="auto"/>
        </w:rPr>
      </w:pPr>
    </w:p>
    <w:p>
      <w:pPr>
        <w:ind w:left="183" w:hanging="183"/>
        <w:spacing w:after="0"/>
        <w:tabs>
          <w:tab w:leader="none" w:pos="183" w:val="left"/>
        </w:tabs>
        <w:numPr>
          <w:ilvl w:val="0"/>
          <w:numId w:val="5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highlight and underlining are additions.</w:t>
      </w:r>
    </w:p>
    <w:p>
      <w:pPr>
        <w:spacing w:after="0" w:line="2" w:lineRule="exact"/>
        <w:rPr>
          <w:rFonts w:ascii="Times New Roman" w:cs="Times New Roman" w:eastAsia="Times New Roman" w:hAnsi="Times New Roman"/>
          <w:sz w:val="27"/>
          <w:szCs w:val="27"/>
          <w:color w:val="auto"/>
          <w:vertAlign w:val="superscript"/>
        </w:rPr>
      </w:pPr>
    </w:p>
    <w:p>
      <w:pPr>
        <w:ind w:left="183" w:hanging="183"/>
        <w:spacing w:after="0" w:line="182" w:lineRule="auto"/>
        <w:tabs>
          <w:tab w:leader="none" w:pos="183"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emphasis and underlining are additions.</w:t>
      </w:r>
    </w:p>
    <w:p>
      <w:pPr>
        <w:spacing w:after="0" w:line="2" w:lineRule="exact"/>
        <w:rPr>
          <w:rFonts w:ascii="Times New Roman" w:cs="Times New Roman" w:eastAsia="Times New Roman" w:hAnsi="Times New Roman"/>
          <w:sz w:val="22"/>
          <w:szCs w:val="22"/>
          <w:color w:val="auto"/>
          <w:vertAlign w:val="superscript"/>
        </w:rPr>
      </w:pPr>
    </w:p>
    <w:p>
      <w:pPr>
        <w:ind w:left="183" w:hanging="183"/>
        <w:spacing w:after="0" w:line="182" w:lineRule="auto"/>
        <w:tabs>
          <w:tab w:leader="none" w:pos="183"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emphasis and underlining are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19" w:right="319" w:bottom="1440" w:gutter="0" w:footer="0" w:header="0"/>
        </w:sectPr>
      </w:pPr>
    </w:p>
    <w:bookmarkStart w:id="24" w:name="page25"/>
    <w:bookmarkEnd w:id="24"/>
    <w:p>
      <w:pPr>
        <w:ind w:left="583"/>
        <w:spacing w:after="0"/>
        <w:rPr>
          <w:sz w:val="20"/>
          <w:szCs w:val="20"/>
          <w:color w:val="auto"/>
        </w:rPr>
      </w:pPr>
      <w:r>
        <w:rPr>
          <w:rFonts w:ascii="Times New Roman" w:cs="Times New Roman" w:eastAsia="Times New Roman" w:hAnsi="Times New Roman"/>
          <w:sz w:val="16"/>
          <w:szCs w:val="16"/>
          <w:b w:val="1"/>
          <w:bCs w:val="1"/>
          <w:color w:val="auto"/>
        </w:rPr>
        <w:t>3. LEGAL BASIS OF THE DISCLOSURE OBLIGATION</w:t>
      </w:r>
    </w:p>
    <w:p>
      <w:pPr>
        <w:spacing w:after="0" w:line="204" w:lineRule="exact"/>
        <w:rPr>
          <w:sz w:val="20"/>
          <w:szCs w:val="20"/>
          <w:color w:val="auto"/>
        </w:rPr>
      </w:pPr>
    </w:p>
    <w:p>
      <w:pPr>
        <w:jc w:val="both"/>
        <w:ind w:left="583" w:right="20"/>
        <w:spacing w:after="0" w:line="271" w:lineRule="auto"/>
        <w:rPr>
          <w:sz w:val="20"/>
          <w:szCs w:val="20"/>
          <w:color w:val="auto"/>
        </w:rPr>
      </w:pPr>
      <w:r>
        <w:rPr>
          <w:rFonts w:ascii="Times New Roman" w:cs="Times New Roman" w:eastAsia="Times New Roman" w:hAnsi="Times New Roman"/>
          <w:sz w:val="16"/>
          <w:szCs w:val="16"/>
          <w:color w:val="auto"/>
        </w:rPr>
        <w:t xml:space="preserve">Regarding this matter, the Issuer states that: </w:t>
      </w:r>
      <w:r>
        <w:rPr>
          <w:rFonts w:ascii="Times New Roman" w:cs="Times New Roman" w:eastAsia="Times New Roman" w:hAnsi="Times New Roman"/>
          <w:sz w:val="16"/>
          <w:szCs w:val="16"/>
          <w:i w:val="1"/>
          <w:iCs w:val="1"/>
          <w:color w:val="auto"/>
        </w:rPr>
        <w:t>“If the SMV considers that the 2011 Information and THE 2016 AGREEMENT should have been disclosed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market by Credicorp, this implies that the authority understands that such events have the nature of material events, and that Credicorp should have complied with the obligation contained in Article 28 of the LMV regarding them.”</w:t>
      </w:r>
    </w:p>
    <w:p>
      <w:pPr>
        <w:spacing w:after="0" w:line="154" w:lineRule="exact"/>
        <w:rPr>
          <w:sz w:val="20"/>
          <w:szCs w:val="20"/>
          <w:color w:val="auto"/>
        </w:rPr>
      </w:pPr>
    </w:p>
    <w:p>
      <w:pPr>
        <w:jc w:val="both"/>
        <w:ind w:left="583" w:right="20"/>
        <w:spacing w:after="0" w:line="290" w:lineRule="auto"/>
        <w:rPr>
          <w:sz w:val="20"/>
          <w:szCs w:val="20"/>
          <w:color w:val="auto"/>
        </w:rPr>
      </w:pPr>
      <w:r>
        <w:rPr>
          <w:rFonts w:ascii="Times New Roman" w:cs="Times New Roman" w:eastAsia="Times New Roman" w:hAnsi="Times New Roman"/>
          <w:sz w:val="16"/>
          <w:szCs w:val="16"/>
          <w:color w:val="auto"/>
        </w:rPr>
        <w:t xml:space="preserve">The Issuer adds that </w:t>
      </w:r>
      <w:r>
        <w:rPr>
          <w:rFonts w:ascii="Times New Roman" w:cs="Times New Roman" w:eastAsia="Times New Roman" w:hAnsi="Times New Roman"/>
          <w:sz w:val="16"/>
          <w:szCs w:val="16"/>
          <w:i w:val="1"/>
          <w:iCs w:val="1"/>
          <w:color w:val="auto"/>
        </w:rPr>
        <w:t>“This is why, in the Charges Letter, it is repeatedly stated that such information possessed materiality — which is precisely the characteristic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that defines material events — and therefore had to be disclosed (…)”.</w:t>
      </w:r>
    </w:p>
    <w:p>
      <w:pPr>
        <w:spacing w:after="0" w:line="138" w:lineRule="exact"/>
        <w:rPr>
          <w:sz w:val="20"/>
          <w:szCs w:val="20"/>
          <w:color w:val="auto"/>
        </w:rPr>
      </w:pPr>
    </w:p>
    <w:p>
      <w:pPr>
        <w:jc w:val="both"/>
        <w:ind w:left="583"/>
        <w:spacing w:after="0" w:line="268" w:lineRule="auto"/>
        <w:rPr>
          <w:sz w:val="20"/>
          <w:szCs w:val="20"/>
          <w:color w:val="auto"/>
        </w:rPr>
      </w:pPr>
      <w:r>
        <w:rPr>
          <w:rFonts w:ascii="Times New Roman" w:cs="Times New Roman" w:eastAsia="Times New Roman" w:hAnsi="Times New Roman"/>
          <w:sz w:val="16"/>
          <w:szCs w:val="16"/>
          <w:color w:val="auto"/>
        </w:rPr>
        <w:t xml:space="preserve">Likewise, the Issuer states that: </w:t>
      </w:r>
      <w:r>
        <w:rPr>
          <w:rFonts w:ascii="Times New Roman" w:cs="Times New Roman" w:eastAsia="Times New Roman" w:hAnsi="Times New Roman"/>
          <w:sz w:val="16"/>
          <w:szCs w:val="16"/>
          <w:i w:val="1"/>
          <w:iCs w:val="1"/>
          <w:color w:val="auto"/>
        </w:rPr>
        <w:t>“This is also why, with respect to both the First Charge and the Second Charge, the Charges Letter expressly states that the alleged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conduct ceased when the 2011 and 2016 electoral contributions were disclosed through our material event communication dated November 21, 2019. </w:t>
      </w:r>
      <w:r>
        <w:rPr>
          <w:rFonts w:ascii="Times New Roman" w:cs="Times New Roman" w:eastAsia="Times New Roman" w:hAnsi="Times New Roman"/>
          <w:sz w:val="16"/>
          <w:szCs w:val="16"/>
          <w:i w:val="1"/>
          <w:iCs w:val="1"/>
          <w:u w:val="single" w:color="auto"/>
          <w:color w:val="auto"/>
        </w:rPr>
        <w:t>If,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SMV’s view, the alleged conduct ceased upon the disclosure of the material event, it is evident that the conduct in question was the failure to disclose a material event.”</w:t>
      </w:r>
    </w:p>
    <w:p>
      <w:pPr>
        <w:spacing w:after="0" w:line="355" w:lineRule="exact"/>
        <w:rPr>
          <w:sz w:val="20"/>
          <w:szCs w:val="20"/>
          <w:color w:val="auto"/>
        </w:rPr>
      </w:pPr>
    </w:p>
    <w:p>
      <w:pPr>
        <w:jc w:val="both"/>
        <w:ind w:left="583" w:right="20"/>
        <w:spacing w:after="0" w:line="201" w:lineRule="exact"/>
        <w:rPr>
          <w:sz w:val="20"/>
          <w:szCs w:val="20"/>
          <w:color w:val="auto"/>
        </w:rPr>
      </w:pPr>
      <w:r>
        <w:rPr>
          <w:rFonts w:ascii="Times New Roman" w:cs="Times New Roman" w:eastAsia="Times New Roman" w:hAnsi="Times New Roman"/>
          <w:sz w:val="16"/>
          <w:szCs w:val="16"/>
          <w:color w:val="auto"/>
        </w:rPr>
        <w:t xml:space="preserve">The Issuer also notes that: </w:t>
      </w:r>
      <w:r>
        <w:rPr>
          <w:rFonts w:ascii="Times New Roman" w:cs="Times New Roman" w:eastAsia="Times New Roman" w:hAnsi="Times New Roman"/>
          <w:sz w:val="16"/>
          <w:szCs w:val="16"/>
          <w:i w:val="1"/>
          <w:iCs w:val="1"/>
          <w:color w:val="auto"/>
        </w:rPr>
        <w:t>“The IGCC initiated this administrative sanctioning proceeding based on the indication reports submitted by the General Directorate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Market Conduct Supervision through Memorandum No. 4365</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2019</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SMV/11.1 of November 22, 2019, and Memorandum No. 4804</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2019</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SMV/11.1 of December 20, 2019. Both expressly refer to ‘indications of an alleged failure by Credicorp to disclose material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123825</wp:posOffset>
            </wp:positionV>
            <wp:extent cx="6868795" cy="770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68795" cy="770890"/>
                    </a:xfrm>
                    <a:prstGeom prst="rect">
                      <a:avLst/>
                    </a:prstGeom>
                    <a:noFill/>
                  </pic:spPr>
                </pic:pic>
              </a:graphicData>
            </a:graphic>
          </wp:anchor>
        </w:drawing>
      </w:r>
    </w:p>
    <w:p>
      <w:pPr>
        <w:spacing w:after="0" w:line="179" w:lineRule="exact"/>
        <w:rPr>
          <w:sz w:val="20"/>
          <w:szCs w:val="20"/>
          <w:color w:val="auto"/>
        </w:rPr>
      </w:pPr>
    </w:p>
    <w:p>
      <w:pPr>
        <w:jc w:val="both"/>
        <w:ind w:left="543" w:right="120"/>
        <w:spacing w:after="0" w:line="263" w:lineRule="auto"/>
        <w:rPr>
          <w:sz w:val="20"/>
          <w:szCs w:val="20"/>
          <w:color w:val="auto"/>
        </w:rPr>
      </w:pPr>
      <w:r>
        <w:rPr>
          <w:rFonts w:ascii="Times New Roman" w:cs="Times New Roman" w:eastAsia="Times New Roman" w:hAnsi="Times New Roman"/>
          <w:sz w:val="16"/>
          <w:szCs w:val="16"/>
          <w:color w:val="auto"/>
        </w:rPr>
        <w:t xml:space="preserve">The Issuer maintains that: </w:t>
      </w:r>
      <w:r>
        <w:rPr>
          <w:rFonts w:ascii="Times New Roman" w:cs="Times New Roman" w:eastAsia="Times New Roman" w:hAnsi="Times New Roman"/>
          <w:sz w:val="16"/>
          <w:szCs w:val="16"/>
          <w:i w:val="1"/>
          <w:iCs w:val="1"/>
          <w:color w:val="auto"/>
        </w:rPr>
        <w:t>“It is clear that the conduct attributed corresponds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u w:val="single" w:color="auto"/>
          <w:color w:val="auto"/>
        </w:rPr>
        <w:t>a failure to comply with the obligation to disclose material events, as established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u w:val="single" w:color="auto"/>
          <w:color w:val="auto"/>
        </w:rPr>
        <w:t>in Article 28 of the LMV</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and the Regulation on Material Events.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u w:val="single" w:color="auto"/>
          <w:color w:val="auto"/>
        </w:rPr>
        <w:t>This makes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the alleged infraction a ‘</w:t>
      </w:r>
      <w:r>
        <w:rPr>
          <w:rFonts w:ascii="Times New Roman" w:cs="Times New Roman" w:eastAsia="Times New Roman" w:hAnsi="Times New Roman"/>
          <w:sz w:val="16"/>
          <w:szCs w:val="16"/>
          <w:b w:val="1"/>
          <w:bCs w:val="1"/>
          <w:i w:val="1"/>
          <w:iCs w:val="1"/>
          <w:u w:val="single" w:color="auto"/>
          <w:color w:val="auto"/>
        </w:rPr>
        <w:t>serious’ one (and not a ‘very serious’ one)</w:t>
      </w:r>
      <w:r>
        <w:rPr>
          <w:rFonts w:ascii="Times New Roman" w:cs="Times New Roman" w:eastAsia="Times New Roman" w:hAnsi="Times New Roman"/>
          <w:sz w:val="16"/>
          <w:szCs w:val="16"/>
          <w:i w:val="1"/>
          <w:iCs w:val="1"/>
          <w:color w:val="auto"/>
        </w:rPr>
        <w:t>, and in the case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of the 2011 Information, prescription has already taken place. This is the effect of applying the Principle of Legality. One must not forget that the administration is unavoidably bound, obligated, and limited by the Principle of Legality, which acts precisely as a limit on the State’s powers and authorities: ‘Administrative authorities must act in accordance with the Constitution, the law, and the legal system, within the powers granted to them and in accordance with the purposes for which such powers were conferred.’”</w:t>
      </w:r>
      <w:r>
        <w:rPr>
          <w:rFonts w:ascii="Times New Roman" w:cs="Times New Roman" w:eastAsia="Times New Roman" w:hAnsi="Times New Roman"/>
          <w:sz w:val="26"/>
          <w:szCs w:val="26"/>
          <w:i w:val="1"/>
          <w:iCs w:val="1"/>
          <w:color w:val="auto"/>
          <w:vertAlign w:val="superscript"/>
        </w:rPr>
        <w:t>20</w:t>
      </w:r>
    </w:p>
    <w:p>
      <w:pPr>
        <w:spacing w:after="0" w:line="50" w:lineRule="exact"/>
        <w:rPr>
          <w:sz w:val="20"/>
          <w:szCs w:val="20"/>
          <w:color w:val="auto"/>
        </w:rPr>
      </w:pPr>
    </w:p>
    <w:p>
      <w:pPr>
        <w:jc w:val="both"/>
        <w:ind w:left="583" w:right="20"/>
        <w:spacing w:after="0" w:line="271" w:lineRule="auto"/>
        <w:rPr>
          <w:sz w:val="20"/>
          <w:szCs w:val="20"/>
          <w:color w:val="auto"/>
        </w:rPr>
      </w:pPr>
      <w:r>
        <w:rPr>
          <w:rFonts w:ascii="Times New Roman" w:cs="Times New Roman" w:eastAsia="Times New Roman" w:hAnsi="Times New Roman"/>
          <w:sz w:val="16"/>
          <w:szCs w:val="16"/>
          <w:color w:val="auto"/>
        </w:rPr>
        <w:t xml:space="preserve">The Issuer further states that: </w:t>
      </w:r>
      <w:r>
        <w:rPr>
          <w:rFonts w:ascii="Times New Roman" w:cs="Times New Roman" w:eastAsia="Times New Roman" w:hAnsi="Times New Roman"/>
          <w:sz w:val="16"/>
          <w:szCs w:val="16"/>
          <w:i w:val="1"/>
          <w:iCs w:val="1"/>
          <w:color w:val="auto"/>
        </w:rPr>
        <w:t>“In the Charges Letter, it is asserted that the obligation allegedly breached by Credicorp would be that established in Article 10 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LMV. However, that article does not establish any obligation to disclose; it merely regulates the quality of the information that must be presented when there is an obligation to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78816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52" w:lineRule="exact"/>
        <w:rPr>
          <w:sz w:val="20"/>
          <w:szCs w:val="20"/>
          <w:color w:val="auto"/>
        </w:rPr>
      </w:pPr>
    </w:p>
    <w:p>
      <w:pPr>
        <w:ind w:left="163" w:hanging="163"/>
        <w:spacing w:after="0"/>
        <w:tabs>
          <w:tab w:leader="none" w:pos="163"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emphasis, underlining and box highlight are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5" w:name="page26"/>
    <w:bookmarkEnd w:id="25"/>
    <w:p>
      <w:pPr>
        <w:jc w:val="both"/>
        <w:ind w:left="583" w:right="20"/>
        <w:spacing w:after="0" w:line="260" w:lineRule="auto"/>
        <w:rPr>
          <w:sz w:val="20"/>
          <w:szCs w:val="20"/>
          <w:color w:val="auto"/>
        </w:rPr>
      </w:pPr>
      <w:r>
        <w:rPr>
          <w:rFonts w:ascii="Times New Roman" w:cs="Times New Roman" w:eastAsia="Times New Roman" w:hAnsi="Times New Roman"/>
          <w:sz w:val="16"/>
          <w:szCs w:val="16"/>
          <w:color w:val="auto"/>
        </w:rPr>
        <w:t xml:space="preserve">In this regard, the Issuer specifies that: </w:t>
      </w:r>
      <w:r>
        <w:rPr>
          <w:rFonts w:ascii="Times New Roman" w:cs="Times New Roman" w:eastAsia="Times New Roman" w:hAnsi="Times New Roman"/>
          <w:sz w:val="16"/>
          <w:szCs w:val="16"/>
          <w:i w:val="1"/>
          <w:iCs w:val="1"/>
          <w:color w:val="auto"/>
        </w:rPr>
        <w:t>“As is clear from its own text, Article 10 of the LMV does not establish an independent obligation to disclose relevant facts.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What it does is simply qualify the timeliness and quality of the information that must be provided to the market when the obligation to disclose already exists; that is, it qualifies the quality of the information an issuer must provide when there is a disclosure obligation. But such obligation arises from Article 28 of the LMV, which governs material events. If what our company allegedly did improperly was fail to disclose the 2011 Information or THE 2016 AGREEMENT, as the SMV repeatedly states in the Charges Letter, then the obligation allegedly breached would have been that established in Article 28 of the LMV (obligation to disclose material events) and not Article 10 of the LMV, which relates to the quality of the information that must be presented by an issuer.”</w:t>
      </w:r>
    </w:p>
    <w:p>
      <w:pPr>
        <w:spacing w:after="0" w:line="164" w:lineRule="exact"/>
        <w:rPr>
          <w:sz w:val="20"/>
          <w:szCs w:val="20"/>
          <w:color w:val="auto"/>
        </w:rPr>
      </w:pPr>
    </w:p>
    <w:p>
      <w:pPr>
        <w:jc w:val="both"/>
        <w:ind w:left="583" w:right="20"/>
        <w:spacing w:after="0" w:line="260" w:lineRule="auto"/>
        <w:rPr>
          <w:sz w:val="20"/>
          <w:szCs w:val="20"/>
          <w:color w:val="auto"/>
        </w:rPr>
      </w:pPr>
      <w:r>
        <w:rPr>
          <w:rFonts w:ascii="Times New Roman" w:cs="Times New Roman" w:eastAsia="Times New Roman" w:hAnsi="Times New Roman"/>
          <w:sz w:val="16"/>
          <w:szCs w:val="16"/>
          <w:color w:val="auto"/>
        </w:rPr>
        <w:t xml:space="preserve">The Issuer concludes that: </w:t>
      </w:r>
      <w:r>
        <w:rPr>
          <w:rFonts w:ascii="Times New Roman" w:cs="Times New Roman" w:eastAsia="Times New Roman" w:hAnsi="Times New Roman"/>
          <w:sz w:val="16"/>
          <w:szCs w:val="16"/>
          <w:i w:val="1"/>
          <w:iCs w:val="1"/>
          <w:color w:val="auto"/>
        </w:rPr>
        <w:t>“For all these reasons, it is absolutely clear that the conduct attributed corresponds to the specific infraction type provided in numerals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2.14 of Annex 1 of the Sanctions Regulation in force in 2011 and Annex 1 of the Sanctions Regulation in force in 2016, which classify as a ‘serious’ infraction the ‘failure to disclose material events that have significant impact on the market,’ and not to the infraction typified in numeral 1.6 of Annex 1 of the Sanctions Regulation in force in 2011 nor the infraction typified in numeral 1.5 of Annex 1 of the Sanctions Regulation in force in 2016, consisting of ‘engaging in any act, omission, practice or conduct that undermines the integrity or transparency of the market, or that qualifies as market abuse under the applicable regulations’ (which are classified as ‘very serious’ infractions).”</w:t>
      </w:r>
    </w:p>
    <w:p>
      <w:pPr>
        <w:spacing w:after="0" w:line="164"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b w:val="1"/>
          <w:bCs w:val="1"/>
          <w:color w:val="auto"/>
        </w:rPr>
        <w:t>4. THE ALLEGED INTENT TO CONCEAL DOES NOT CHANGE THE INFRACTION</w:t>
      </w:r>
    </w:p>
    <w:p>
      <w:pPr>
        <w:spacing w:after="0" w:line="204" w:lineRule="exact"/>
        <w:rPr>
          <w:sz w:val="20"/>
          <w:szCs w:val="20"/>
          <w:color w:val="auto"/>
        </w:rPr>
      </w:pPr>
    </w:p>
    <w:p>
      <w:pPr>
        <w:jc w:val="both"/>
        <w:ind w:left="583" w:right="20"/>
        <w:spacing w:after="0" w:line="290" w:lineRule="auto"/>
        <w:rPr>
          <w:sz w:val="20"/>
          <w:szCs w:val="20"/>
          <w:color w:val="auto"/>
        </w:rPr>
      </w:pPr>
      <w:r>
        <w:rPr>
          <w:rFonts w:ascii="Times New Roman" w:cs="Times New Roman" w:eastAsia="Times New Roman" w:hAnsi="Times New Roman"/>
          <w:sz w:val="16"/>
          <w:szCs w:val="16"/>
          <w:color w:val="auto"/>
        </w:rPr>
        <w:t xml:space="preserve">The Issuer states that: </w:t>
      </w:r>
      <w:r>
        <w:rPr>
          <w:rFonts w:ascii="Times New Roman" w:cs="Times New Roman" w:eastAsia="Times New Roman" w:hAnsi="Times New Roman"/>
          <w:sz w:val="16"/>
          <w:szCs w:val="16"/>
          <w:i w:val="1"/>
          <w:iCs w:val="1"/>
          <w:color w:val="auto"/>
        </w:rPr>
        <w:t>“In the Charges Letter, it is repeatedly stated that Credicorp would have had the intention not to disclose and to conceal the 2011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THE 2016 AGREEMENT.”</w:t>
      </w:r>
    </w:p>
    <w:p>
      <w:pPr>
        <w:spacing w:after="0" w:line="138" w:lineRule="exact"/>
        <w:rPr>
          <w:sz w:val="20"/>
          <w:szCs w:val="20"/>
          <w:color w:val="auto"/>
        </w:rPr>
      </w:pPr>
    </w:p>
    <w:p>
      <w:pPr>
        <w:jc w:val="both"/>
        <w:ind w:left="583"/>
        <w:spacing w:after="0" w:line="271" w:lineRule="auto"/>
        <w:rPr>
          <w:sz w:val="20"/>
          <w:szCs w:val="20"/>
          <w:color w:val="auto"/>
        </w:rPr>
      </w:pPr>
      <w:r>
        <w:rPr>
          <w:rFonts w:ascii="Times New Roman" w:cs="Times New Roman" w:eastAsia="Times New Roman" w:hAnsi="Times New Roman"/>
          <w:sz w:val="16"/>
          <w:szCs w:val="16"/>
          <w:color w:val="auto"/>
        </w:rPr>
        <w:t xml:space="preserve">It then argues that: </w:t>
      </w:r>
      <w:r>
        <w:rPr>
          <w:rFonts w:ascii="Times New Roman" w:cs="Times New Roman" w:eastAsia="Times New Roman" w:hAnsi="Times New Roman"/>
          <w:sz w:val="16"/>
          <w:szCs w:val="16"/>
          <w:i w:val="1"/>
          <w:iCs w:val="1"/>
          <w:color w:val="auto"/>
        </w:rPr>
        <w:t>“Apparently, the SMV relies on that consideration to assert that the applicable infraction is the one consisting of ‘engaging in any act, omission,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practice or conduct that undermines the integrity or transparency of the market, or that qualifies as market abuse,’ rather than the specific infraction of ‘failing to disclose material events that have significant impact on the market,’ which is the one that truly corresponds.”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109220</wp:posOffset>
            </wp:positionV>
            <wp:extent cx="6868795" cy="770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68795" cy="770890"/>
                    </a:xfrm>
                    <a:prstGeom prst="rect">
                      <a:avLst/>
                    </a:prstGeom>
                    <a:noFill/>
                  </pic:spPr>
                </pic:pic>
              </a:graphicData>
            </a:graphic>
          </wp:anchor>
        </w:drawing>
      </w:r>
    </w:p>
    <w:p>
      <w:pPr>
        <w:spacing w:after="0" w:line="156" w:lineRule="exact"/>
        <w:rPr>
          <w:sz w:val="20"/>
          <w:szCs w:val="20"/>
          <w:color w:val="auto"/>
        </w:rPr>
      </w:pPr>
    </w:p>
    <w:p>
      <w:pPr>
        <w:jc w:val="both"/>
        <w:ind w:left="543" w:right="100"/>
        <w:spacing w:after="0" w:line="263" w:lineRule="auto"/>
        <w:rPr>
          <w:sz w:val="20"/>
          <w:szCs w:val="20"/>
          <w:color w:val="auto"/>
        </w:rPr>
      </w:pPr>
      <w:r>
        <w:rPr>
          <w:rFonts w:ascii="Times New Roman" w:cs="Times New Roman" w:eastAsia="Times New Roman" w:hAnsi="Times New Roman"/>
          <w:sz w:val="16"/>
          <w:szCs w:val="16"/>
          <w:color w:val="auto"/>
        </w:rPr>
        <w:t xml:space="preserve">The Issuer also argues that: </w:t>
      </w:r>
      <w:r>
        <w:rPr>
          <w:rFonts w:ascii="Times New Roman" w:cs="Times New Roman" w:eastAsia="Times New Roman" w:hAnsi="Times New Roman"/>
          <w:sz w:val="16"/>
          <w:szCs w:val="16"/>
          <w:i w:val="1"/>
          <w:iCs w:val="1"/>
          <w:color w:val="auto"/>
        </w:rPr>
        <w:t>“We have demonstrated that Credicorp did not intend to conceal relevant information. However, even assuming,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u w:val="single" w:color="auto"/>
          <w:color w:val="auto"/>
        </w:rPr>
        <w:t>for the sake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u w:val="single" w:color="auto"/>
          <w:color w:val="auto"/>
        </w:rPr>
        <w:t>argument, that such intent existed, that element does not justify changing the classification of the infraction</w:t>
      </w:r>
      <w:r>
        <w:rPr>
          <w:rFonts w:ascii="Times New Roman" w:cs="Times New Roman" w:eastAsia="Times New Roman" w:hAnsi="Times New Roman"/>
          <w:sz w:val="16"/>
          <w:szCs w:val="16"/>
          <w:i w:val="1"/>
          <w:iCs w:val="1"/>
          <w:color w:val="auto"/>
        </w:rPr>
        <w:t>. At most, it could be relevant as a criterion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 xml:space="preserve">determining the sanction. Thus, even assuming for the sake of argument that what is stated in the Charges Letter is true — that Credicorp </w:t>
      </w:r>
      <w:r>
        <w:rPr>
          <w:rFonts w:ascii="Times New Roman" w:cs="Times New Roman" w:eastAsia="Times New Roman" w:hAnsi="Times New Roman"/>
          <w:sz w:val="16"/>
          <w:szCs w:val="16"/>
          <w:b w:val="1"/>
          <w:bCs w:val="1"/>
          <w:i w:val="1"/>
          <w:iCs w:val="1"/>
          <w:u w:val="single" w:color="auto"/>
          <w:color w:val="auto"/>
        </w:rPr>
        <w:t>intended not to disclose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u w:val="single" w:color="auto"/>
          <w:color w:val="auto"/>
        </w:rPr>
        <w:t>and to conceal the 2011 Information and THE 2016 AGREEMENT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 this would not mean that our company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u w:val="single" w:color="auto"/>
          <w:color w:val="auto"/>
        </w:rPr>
        <w:t>committed a different and more serious infraction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 xml:space="preserve">than that of failing to disclose a material event of significant relevance. </w:t>
      </w:r>
      <w:r>
        <w:rPr>
          <w:rFonts w:ascii="Times New Roman" w:cs="Times New Roman" w:eastAsia="Times New Roman" w:hAnsi="Times New Roman"/>
          <w:sz w:val="16"/>
          <w:szCs w:val="16"/>
          <w:b w:val="1"/>
          <w:bCs w:val="1"/>
          <w:i w:val="1"/>
          <w:iCs w:val="1"/>
          <w:u w:val="single" w:color="auto"/>
          <w:color w:val="auto"/>
        </w:rPr>
        <w:t>It would simply mean that there is an element of intent</w:t>
      </w:r>
      <w:r>
        <w:rPr>
          <w:rFonts w:ascii="Times New Roman" w:cs="Times New Roman" w:eastAsia="Times New Roman" w:hAnsi="Times New Roman"/>
          <w:sz w:val="16"/>
          <w:szCs w:val="16"/>
          <w:i w:val="1"/>
          <w:iCs w:val="1"/>
          <w:color w:val="auto"/>
        </w:rPr>
        <w:t xml:space="preserve"> that the SMV could consider for purposes of sanction gradation, within the limits established by law.”</w:t>
      </w:r>
      <w:r>
        <w:rPr>
          <w:rFonts w:ascii="Times New Roman" w:cs="Times New Roman" w:eastAsia="Times New Roman" w:hAnsi="Times New Roman"/>
          <w:sz w:val="26"/>
          <w:szCs w:val="26"/>
          <w:i w:val="1"/>
          <w:iCs w:val="1"/>
          <w:color w:val="auto"/>
          <w:vertAlign w:val="superscript"/>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78816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149" w:lineRule="exact"/>
        <w:rPr>
          <w:sz w:val="20"/>
          <w:szCs w:val="20"/>
          <w:color w:val="auto"/>
        </w:rPr>
      </w:pPr>
    </w:p>
    <w:p>
      <w:pPr>
        <w:ind w:left="163" w:hanging="163"/>
        <w:spacing w:after="0"/>
        <w:tabs>
          <w:tab w:leader="none" w:pos="163" w:val="left"/>
        </w:tabs>
        <w:numPr>
          <w:ilvl w:val="0"/>
          <w:numId w:val="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emphasis, underlining and box highlight are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26" w:name="page27"/>
    <w:bookmarkEnd w:id="26"/>
    <w:p>
      <w:pPr>
        <w:jc w:val="both"/>
        <w:ind w:left="583"/>
        <w:spacing w:after="0" w:line="265" w:lineRule="auto"/>
        <w:rPr>
          <w:sz w:val="20"/>
          <w:szCs w:val="20"/>
          <w:color w:val="auto"/>
        </w:rPr>
      </w:pPr>
      <w:r>
        <w:rPr>
          <w:rFonts w:ascii="Times New Roman" w:cs="Times New Roman" w:eastAsia="Times New Roman" w:hAnsi="Times New Roman"/>
          <w:sz w:val="16"/>
          <w:szCs w:val="16"/>
          <w:color w:val="auto"/>
        </w:rPr>
        <w:t xml:space="preserve">Under this reasoning, the Issuer further states: </w:t>
      </w:r>
      <w:r>
        <w:rPr>
          <w:rFonts w:ascii="Times New Roman" w:cs="Times New Roman" w:eastAsia="Times New Roman" w:hAnsi="Times New Roman"/>
          <w:sz w:val="16"/>
          <w:szCs w:val="16"/>
          <w:i w:val="1"/>
          <w:iCs w:val="1"/>
          <w:color w:val="auto"/>
        </w:rPr>
        <w:t>“(…) the fact that, in the SMV’s view, the failure to disclose the relevant information affected market transparency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does not convert the alleged infraction into a different one. As the SMV acknowledges in its Charges Letter, all securities market regulations aim to achieve market transparency, which is the legally protected interest underlying the entire securities regulatory framework. And it is precisely the obligation to disclose material events (‘mandatory disclosure’) that constitutes one of the most important mechanisms for achieving such a purpose.”</w:t>
      </w:r>
    </w:p>
    <w:p>
      <w:pPr>
        <w:spacing w:after="0" w:line="159" w:lineRule="exact"/>
        <w:rPr>
          <w:sz w:val="20"/>
          <w:szCs w:val="20"/>
          <w:color w:val="auto"/>
        </w:rPr>
      </w:pPr>
    </w:p>
    <w:p>
      <w:pPr>
        <w:jc w:val="both"/>
        <w:ind w:left="583"/>
        <w:spacing w:after="0" w:line="265" w:lineRule="auto"/>
        <w:rPr>
          <w:sz w:val="20"/>
          <w:szCs w:val="20"/>
          <w:color w:val="auto"/>
        </w:rPr>
      </w:pPr>
      <w:r>
        <w:rPr>
          <w:rFonts w:ascii="Times New Roman" w:cs="Times New Roman" w:eastAsia="Times New Roman" w:hAnsi="Times New Roman"/>
          <w:sz w:val="16"/>
          <w:szCs w:val="16"/>
          <w:color w:val="auto"/>
        </w:rPr>
        <w:t xml:space="preserve">In that sense, the Issuer asserts that: </w:t>
      </w:r>
      <w:r>
        <w:rPr>
          <w:rFonts w:ascii="Times New Roman" w:cs="Times New Roman" w:eastAsia="Times New Roman" w:hAnsi="Times New Roman"/>
          <w:sz w:val="16"/>
          <w:szCs w:val="16"/>
          <w:i w:val="1"/>
          <w:iCs w:val="1"/>
          <w:color w:val="auto"/>
        </w:rPr>
        <w:t>“(…) in sanctioning prior cases involving failure to disclose significantly relevant information — even when such failure was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intentional — the SMV has not attempted to create a new infraction or to classify the conduct under the generic and more serious infraction of undermining market transparency. Rather, it has remained within the legal framework by applying the specific infraction for failing to disclose material events that have significant impact on the market.”</w:t>
      </w:r>
    </w:p>
    <w:p>
      <w:pPr>
        <w:spacing w:after="0" w:line="159" w:lineRule="exact"/>
        <w:rPr>
          <w:sz w:val="20"/>
          <w:szCs w:val="20"/>
          <w:color w:val="auto"/>
        </w:rPr>
      </w:pPr>
    </w:p>
    <w:p>
      <w:pPr>
        <w:jc w:val="both"/>
        <w:ind w:left="583"/>
        <w:spacing w:after="0" w:line="198" w:lineRule="exact"/>
        <w:rPr>
          <w:sz w:val="20"/>
          <w:szCs w:val="20"/>
          <w:color w:val="auto"/>
        </w:rPr>
      </w:pPr>
      <w:r>
        <w:rPr>
          <w:rFonts w:ascii="Times New Roman" w:cs="Times New Roman" w:eastAsia="Times New Roman" w:hAnsi="Times New Roman"/>
          <w:sz w:val="16"/>
          <w:szCs w:val="16"/>
          <w:color w:val="auto"/>
        </w:rPr>
        <w:t xml:space="preserve">The Issuer adds that: </w:t>
      </w:r>
      <w:r>
        <w:rPr>
          <w:rFonts w:ascii="Times New Roman" w:cs="Times New Roman" w:eastAsia="Times New Roman" w:hAnsi="Times New Roman"/>
          <w:sz w:val="16"/>
          <w:szCs w:val="16"/>
          <w:i w:val="1"/>
          <w:iCs w:val="1"/>
          <w:color w:val="auto"/>
        </w:rPr>
        <w:t>“Textil Piura failed to disclose, as a material event, the shutdown of its production plant since November 2016 and a commitment to sell assets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 the third quarter of 2017, which, according to Resolution 033</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2019, ‘should have been disclosed at the time it occurred,’ and that even as of the date of said resolution, the issuer had not disclosed the material event despite repeated requests from the SMV. In that case, the issuer clearly had a deliberate intention to ‘not disclose and conceal’ the material information the SMV required it to disclose. However, that deliberate concealment did not result in the SMV applying a more serious infraction type than the specific legal type applicable in all such cases: ‘failure to disclose material events that have significant impact on the market,’ as provided in numeral 2.14 of Annex 1 of the Sanctions Regulation in force at the time of the events.”</w:t>
      </w:r>
    </w:p>
    <w:p>
      <w:pPr>
        <w:spacing w:after="0" w:line="168" w:lineRule="exact"/>
        <w:rPr>
          <w:sz w:val="20"/>
          <w:szCs w:val="20"/>
          <w:color w:val="auto"/>
        </w:rPr>
      </w:pPr>
    </w:p>
    <w:p>
      <w:pPr>
        <w:jc w:val="both"/>
        <w:ind w:left="543" w:right="80"/>
        <w:spacing w:after="0" w:line="242" w:lineRule="exact"/>
        <w:rPr>
          <w:sz w:val="20"/>
          <w:szCs w:val="20"/>
          <w:color w:val="auto"/>
        </w:rPr>
      </w:pPr>
      <w:r>
        <w:rPr>
          <w:rFonts w:ascii="Times New Roman" w:cs="Times New Roman" w:eastAsia="Times New Roman" w:hAnsi="Times New Roman"/>
          <w:sz w:val="16"/>
          <w:szCs w:val="16"/>
          <w:color w:val="auto"/>
        </w:rPr>
        <w:t xml:space="preserve">Furthermore, the Issuer states that: </w:t>
      </w:r>
      <w:r>
        <w:rPr>
          <w:rFonts w:ascii="Times New Roman" w:cs="Times New Roman" w:eastAsia="Times New Roman" w:hAnsi="Times New Roman"/>
          <w:sz w:val="16"/>
          <w:szCs w:val="16"/>
          <w:i w:val="1"/>
          <w:iCs w:val="1"/>
          <w:color w:val="auto"/>
        </w:rPr>
        <w:t>“The existence or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existence of intent on the part of the issuer in committing the infraction of failing to disclose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is not relevant for the classification of the infraction, since the infraction is constituted merely by failing to comply with the obligation to disclose material events established in Article 28 of the LMV. Whether there was intent or not is irrelevant to the existence of the infraction. Intent is only relevant for purposes of determining the sanction (sanction criteria), once the existence of the infraction and its classification have been established.”</w:t>
      </w:r>
      <w:r>
        <w:rPr>
          <w:rFonts w:ascii="Times New Roman" w:cs="Times New Roman" w:eastAsia="Times New Roman" w:hAnsi="Times New Roman"/>
          <w:sz w:val="26"/>
          <w:szCs w:val="26"/>
          <w:i w:val="1"/>
          <w:iCs w:val="1"/>
          <w:color w:val="auto"/>
          <w:vertAlign w:val="superscript"/>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-593725</wp:posOffset>
            </wp:positionV>
            <wp:extent cx="6868795" cy="524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68795" cy="524510"/>
                    </a:xfrm>
                    <a:prstGeom prst="rect">
                      <a:avLst/>
                    </a:prstGeom>
                    <a:noFill/>
                  </pic:spPr>
                </pic:pic>
              </a:graphicData>
            </a:graphic>
          </wp:anchor>
        </w:drawing>
      </w:r>
    </w:p>
    <w:p>
      <w:pPr>
        <w:spacing w:after="0" w:line="45" w:lineRule="exact"/>
        <w:rPr>
          <w:sz w:val="20"/>
          <w:szCs w:val="20"/>
          <w:color w:val="auto"/>
        </w:rPr>
      </w:pPr>
    </w:p>
    <w:p>
      <w:pPr>
        <w:jc w:val="both"/>
        <w:ind w:left="583"/>
        <w:spacing w:after="0" w:line="198" w:lineRule="exact"/>
        <w:rPr>
          <w:sz w:val="20"/>
          <w:szCs w:val="20"/>
          <w:color w:val="auto"/>
        </w:rPr>
      </w:pPr>
      <w:r>
        <w:rPr>
          <w:rFonts w:ascii="Times New Roman" w:cs="Times New Roman" w:eastAsia="Times New Roman" w:hAnsi="Times New Roman"/>
          <w:sz w:val="16"/>
          <w:szCs w:val="16"/>
          <w:color w:val="auto"/>
        </w:rPr>
        <w:t xml:space="preserve">The Issuer indicates that: </w:t>
      </w:r>
      <w:r>
        <w:rPr>
          <w:rFonts w:ascii="Times New Roman" w:cs="Times New Roman" w:eastAsia="Times New Roman" w:hAnsi="Times New Roman"/>
          <w:sz w:val="16"/>
          <w:szCs w:val="16"/>
          <w:i w:val="1"/>
          <w:iCs w:val="1"/>
          <w:color w:val="auto"/>
        </w:rPr>
        <w:t>“The foregoing has been affirmed by the SMV in prior resolutions. For example, in Deputy Superintendency Resolution SMV No.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062</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2013</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SMV/11, the SMV stated that ‘regarding the existence or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existence of culpability on the part of the infringer, it must be noted that issuers of securities registered in the RPMV are aware of their obligations to submit information to the securities market pursuant to Article 28 of the LMV and applicable regulations; even more so considering that, through circular letters, the SMV has reminded issuers registered in said registry of their obligations to submit information, as well as the deadlines for submitting financial information and disclosing material events, which must be submitted, among others,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178816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75" w:lineRule="exact"/>
        <w:rPr>
          <w:sz w:val="20"/>
          <w:szCs w:val="20"/>
          <w:color w:val="auto"/>
        </w:rPr>
      </w:pPr>
    </w:p>
    <w:p>
      <w:pPr>
        <w:ind w:left="163" w:hanging="163"/>
        <w:spacing w:after="0"/>
        <w:tabs>
          <w:tab w:leader="none" w:pos="163"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emphasis, underlining and box highlight are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27" w:name="page28"/>
    <w:bookmarkEnd w:id="27"/>
    <w:p>
      <w:pPr>
        <w:jc w:val="both"/>
        <w:ind w:left="583"/>
        <w:spacing w:after="0" w:line="204" w:lineRule="exact"/>
        <w:rPr>
          <w:sz w:val="20"/>
          <w:szCs w:val="20"/>
          <w:color w:val="auto"/>
        </w:rPr>
      </w:pPr>
      <w:r>
        <w:rPr>
          <w:rFonts w:ascii="Times New Roman" w:cs="Times New Roman" w:eastAsia="Times New Roman" w:hAnsi="Times New Roman"/>
          <w:sz w:val="16"/>
          <w:szCs w:val="16"/>
          <w:color w:val="auto"/>
        </w:rPr>
        <w:t xml:space="preserve">Similarly, the Issuer asserts that: </w:t>
      </w:r>
      <w:r>
        <w:rPr>
          <w:rFonts w:ascii="Times New Roman" w:cs="Times New Roman" w:eastAsia="Times New Roman" w:hAnsi="Times New Roman"/>
          <w:sz w:val="16"/>
          <w:szCs w:val="16"/>
          <w:i w:val="1"/>
          <w:iCs w:val="1"/>
          <w:color w:val="auto"/>
        </w:rPr>
        <w:t>“Likewise, in Deputy Superintendency Resolution SMV No. 056</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2016</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MV/11, the SMV, in evaluating whether the issuer had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committed the infraction related to the failure to disclose material events, did not consider the issuer’s argument that ‘there was no intention to conceal in this case.’ Regarding that request, the SMV noted the following: ‘In this regard, the evaluation of such arguments related to the seriousness of the harm and intent is undertaken in Section V: Determination of the Sanction of the resolution, where the corresponding criteria are analyzed.’ </w:t>
      </w:r>
      <w:r>
        <w:rPr>
          <w:rFonts w:ascii="Times New Roman" w:cs="Times New Roman" w:eastAsia="Times New Roman" w:hAnsi="Times New Roman"/>
          <w:sz w:val="16"/>
          <w:szCs w:val="16"/>
          <w:b w:val="1"/>
          <w:bCs w:val="1"/>
          <w:i w:val="1"/>
          <w:iCs w:val="1"/>
          <w:u w:val="single" w:color="auto"/>
          <w:color w:val="auto"/>
        </w:rPr>
        <w:t>In this way, the element of intent is only</w:t>
      </w:r>
    </w:p>
    <w:p>
      <w:pPr>
        <w:spacing w:after="0" w:line="2"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taken into account for purposes of sanction gradation, but never influences the classification of the infraction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26"/>
          <w:szCs w:val="26"/>
          <w:i w:val="1"/>
          <w:iCs w:val="1"/>
          <w:color w:val="auto"/>
          <w:vertAlign w:val="superscript"/>
        </w:rPr>
        <w:t>23</w:t>
      </w:r>
    </w:p>
    <w:p>
      <w:pPr>
        <w:spacing w:after="0" w:line="82" w:lineRule="exact"/>
        <w:rPr>
          <w:sz w:val="20"/>
          <w:szCs w:val="20"/>
          <w:color w:val="auto"/>
        </w:rPr>
      </w:pPr>
    </w:p>
    <w:p>
      <w:pPr>
        <w:jc w:val="both"/>
        <w:ind w:left="583"/>
        <w:spacing w:after="0" w:line="260" w:lineRule="auto"/>
        <w:rPr>
          <w:sz w:val="20"/>
          <w:szCs w:val="20"/>
          <w:color w:val="auto"/>
        </w:rPr>
      </w:pPr>
      <w:r>
        <w:rPr>
          <w:rFonts w:ascii="Times New Roman" w:cs="Times New Roman" w:eastAsia="Times New Roman" w:hAnsi="Times New Roman"/>
          <w:sz w:val="16"/>
          <w:szCs w:val="16"/>
          <w:color w:val="auto"/>
        </w:rPr>
        <w:t xml:space="preserve">Finally, the Issuer states that: </w:t>
      </w:r>
      <w:r>
        <w:rPr>
          <w:rFonts w:ascii="Times New Roman" w:cs="Times New Roman" w:eastAsia="Times New Roman" w:hAnsi="Times New Roman"/>
          <w:sz w:val="16"/>
          <w:szCs w:val="16"/>
          <w:i w:val="1"/>
          <w:iCs w:val="1"/>
          <w:color w:val="auto"/>
        </w:rPr>
        <w:t>“As we have stated previously, the conduct attributed to Credicorp is the failure to timely disclose, as a material event, the 2011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Information and THE 2016 AGREEMENT. Therefore, the specific infraction applicable to such conduct is that provided in numeral 2.14 of Annex 1 of the Sanctions Regulation in force in 2011 and numeral 2.14 of Annex 1 of the Sanctions Regulation in force in 2016, which classify as a ‘serious infraction’ the ‘failure to disclose material events that have significant impact on the market.’ In the Charges Letter, the SMV has attributed to Credicorp a generic infraction type, associated with more severe sanctions, which violates Due Administrative Procedure insofar as it fails to comply with the principles of Administrative Sanctioning Law, as explained below.”</w:t>
      </w:r>
    </w:p>
    <w:p>
      <w:pPr>
        <w:spacing w:after="0" w:line="166"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At this point in its defenses, the Issuer refers to the principles of Specificity, Legality, Predictability, and Due Administrative Procedure.</w:t>
      </w:r>
    </w:p>
    <w:p>
      <w:pPr>
        <w:spacing w:after="0" w:line="202"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b w:val="1"/>
          <w:bCs w:val="1"/>
          <w:color w:val="auto"/>
        </w:rPr>
        <w:t>5. ALLEGED VIOLATION OF THE PRINCIPLES OF ADMINISTRATIVE SANCTIONING LAW</w:t>
      </w:r>
    </w:p>
    <w:p>
      <w:pPr>
        <w:spacing w:after="0" w:line="204" w:lineRule="exact"/>
        <w:rPr>
          <w:sz w:val="20"/>
          <w:szCs w:val="20"/>
          <w:color w:val="auto"/>
        </w:rPr>
      </w:pPr>
    </w:p>
    <w:p>
      <w:pPr>
        <w:jc w:val="both"/>
        <w:ind w:left="583"/>
        <w:spacing w:after="0" w:line="265" w:lineRule="auto"/>
        <w:rPr>
          <w:sz w:val="20"/>
          <w:szCs w:val="20"/>
          <w:color w:val="auto"/>
        </w:rPr>
      </w:pPr>
      <w:r>
        <w:rPr>
          <w:rFonts w:ascii="Times New Roman" w:cs="Times New Roman" w:eastAsia="Times New Roman" w:hAnsi="Times New Roman"/>
          <w:sz w:val="16"/>
          <w:szCs w:val="16"/>
          <w:color w:val="auto"/>
        </w:rPr>
        <w:t xml:space="preserve">The Issuer argues that: </w:t>
      </w:r>
      <w:r>
        <w:rPr>
          <w:rFonts w:ascii="Times New Roman" w:cs="Times New Roman" w:eastAsia="Times New Roman" w:hAnsi="Times New Roman"/>
          <w:sz w:val="16"/>
          <w:szCs w:val="16"/>
          <w:i w:val="1"/>
          <w:iCs w:val="1"/>
          <w:color w:val="auto"/>
        </w:rPr>
        <w:t>“According to constitutional jurisprudence, the principles of Administrative Sanctioning Law — such as the Principle of Legality and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Principle of Specificity — apply not only to Criminal Law but also to Administrative Law when the State is exercising its sanctioning power.” </w:t>
      </w:r>
      <w:r>
        <w:rPr>
          <w:rFonts w:ascii="Times New Roman" w:cs="Times New Roman" w:eastAsia="Times New Roman" w:hAnsi="Times New Roman"/>
          <w:sz w:val="16"/>
          <w:szCs w:val="16"/>
          <w:color w:val="auto"/>
        </w:rPr>
        <w:t>To this end, it explains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according to the Constitutional Tribunal (TC), the principles of Criminal Law are fundamental principles of Administrative Sanctioning Law. Accordingly, the Issuer describes the content of the Principle of Specificity and the Principle of Legality, which are the principles it emphasizes.</w:t>
      </w:r>
    </w:p>
    <w:p>
      <w:pPr>
        <w:spacing w:after="0" w:line="159"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b w:val="1"/>
          <w:bCs w:val="1"/>
          <w:color w:val="auto"/>
        </w:rPr>
        <w:t>Violation of the Principles of Specificity and Legality</w:t>
      </w:r>
    </w:p>
    <w:p>
      <w:pPr>
        <w:spacing w:after="0" w:line="204" w:lineRule="exact"/>
        <w:rPr>
          <w:sz w:val="20"/>
          <w:szCs w:val="20"/>
          <w:color w:val="auto"/>
        </w:rPr>
      </w:pPr>
    </w:p>
    <w:p>
      <w:pPr>
        <w:jc w:val="both"/>
        <w:ind w:left="583"/>
        <w:spacing w:after="0" w:line="265" w:lineRule="auto"/>
        <w:rPr>
          <w:sz w:val="20"/>
          <w:szCs w:val="20"/>
          <w:color w:val="auto"/>
        </w:rPr>
      </w:pPr>
      <w:r>
        <w:rPr>
          <w:rFonts w:ascii="Times New Roman" w:cs="Times New Roman" w:eastAsia="Times New Roman" w:hAnsi="Times New Roman"/>
          <w:sz w:val="16"/>
          <w:szCs w:val="16"/>
          <w:color w:val="auto"/>
        </w:rPr>
        <w:t xml:space="preserve">Regarding the Principle of Specificity, the Issuer cites Verónica Vergaray and Hugo Gómez Apac, who state that: </w:t>
      </w:r>
      <w:r>
        <w:rPr>
          <w:rFonts w:ascii="Times New Roman" w:cs="Times New Roman" w:eastAsia="Times New Roman" w:hAnsi="Times New Roman"/>
          <w:sz w:val="16"/>
          <w:szCs w:val="16"/>
          <w:i w:val="1"/>
          <w:iCs w:val="1"/>
          <w:color w:val="auto"/>
        </w:rPr>
        <w:t>“Specificity (…) is the legal description of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specific conduct (the factual assumption) to which an administrative sanction will be linked. Consequently,” </w:t>
      </w:r>
      <w:r>
        <w:rPr>
          <w:rFonts w:ascii="Times New Roman" w:cs="Times New Roman" w:eastAsia="Times New Roman" w:hAnsi="Times New Roman"/>
          <w:sz w:val="16"/>
          <w:szCs w:val="16"/>
          <w:color w:val="auto"/>
        </w:rPr>
        <w:t>the Issuer asserts that administrative entities</w:t>
      </w:r>
      <w:r>
        <w:rPr>
          <w:rFonts w:ascii="Times New Roman" w:cs="Times New Roman" w:eastAsia="Times New Roman" w:hAnsi="Times New Roman"/>
          <w:sz w:val="16"/>
          <w:szCs w:val="16"/>
          <w:i w:val="1"/>
          <w:iCs w:val="1"/>
          <w:color w:val="auto"/>
        </w:rPr>
        <w:t>“may only sanction conduct previously classified as unlawful, through rules that clearly and specifically describe the infringing factual assumption and the applicable sanction.”</w:t>
      </w:r>
    </w:p>
    <w:p>
      <w:pPr>
        <w:spacing w:after="0" w:line="125" w:lineRule="exact"/>
        <w:rPr>
          <w:sz w:val="20"/>
          <w:szCs w:val="20"/>
          <w:color w:val="auto"/>
        </w:rPr>
      </w:pPr>
    </w:p>
    <w:p>
      <w:pPr>
        <w:ind w:left="583"/>
        <w:spacing w:after="0" w:line="184" w:lineRule="exact"/>
        <w:rPr>
          <w:sz w:val="20"/>
          <w:szCs w:val="20"/>
          <w:color w:val="auto"/>
        </w:rPr>
      </w:pPr>
      <w:r>
        <w:rPr>
          <w:rFonts w:ascii="Times New Roman" w:cs="Times New Roman" w:eastAsia="Times New Roman" w:hAnsi="Times New Roman"/>
          <w:sz w:val="16"/>
          <w:szCs w:val="16"/>
          <w:color w:val="auto"/>
        </w:rPr>
        <w:t>The Issuer likewise cites the Constitutional Tribunal (Judgment of May 24, 2010, Case No. 00197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PA/TC, Legal Basis No. 6), which states that:</w:t>
      </w:r>
    </w:p>
    <w:p>
      <w:pPr>
        <w:spacing w:after="0" w:line="58" w:lineRule="exact"/>
        <w:rPr>
          <w:sz w:val="20"/>
          <w:szCs w:val="20"/>
          <w:color w:val="auto"/>
        </w:rPr>
      </w:pPr>
    </w:p>
    <w:p>
      <w:pPr>
        <w:jc w:val="both"/>
        <w:ind w:left="583"/>
        <w:spacing w:after="0" w:line="196" w:lineRule="exact"/>
        <w:rPr>
          <w:sz w:val="20"/>
          <w:szCs w:val="20"/>
          <w:color w:val="auto"/>
        </w:rPr>
      </w:pPr>
      <w:r>
        <w:rPr>
          <w:rFonts w:ascii="Times New Roman" w:cs="Times New Roman" w:eastAsia="Times New Roman" w:hAnsi="Times New Roman"/>
          <w:sz w:val="16"/>
          <w:szCs w:val="16"/>
          <w:i w:val="1"/>
          <w:iCs w:val="1"/>
          <w:color w:val="auto"/>
        </w:rPr>
        <w:t>“The sub</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principle of specificity or exhaustiveness constitutes one of the manifestations or materializations of the Principle of Legality regarding the limits imposed on the criminal or administrative legislator, insofar as the prohibitions that define sanctions — whether criminal or administrative — must be drafted with a sufficient level of precision so that any citizen may easily understand what is being prohibited under threat of sanction in a given legal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178816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75" w:lineRule="exact"/>
        <w:rPr>
          <w:sz w:val="20"/>
          <w:szCs w:val="20"/>
          <w:color w:val="auto"/>
        </w:rPr>
      </w:pPr>
    </w:p>
    <w:p>
      <w:pPr>
        <w:ind w:left="163" w:hanging="163"/>
        <w:spacing w:after="0"/>
        <w:tabs>
          <w:tab w:leader="none" w:pos="163"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highlight and underlining are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88" w:right="339" w:bottom="1440" w:gutter="0" w:footer="0" w:header="0"/>
        </w:sectPr>
      </w:pPr>
    </w:p>
    <w:bookmarkStart w:id="28" w:name="page29"/>
    <w:bookmarkEnd w:id="28"/>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The Issuer adds that: </w:t>
      </w:r>
      <w:r>
        <w:rPr>
          <w:rFonts w:ascii="Times New Roman" w:cs="Times New Roman" w:eastAsia="Times New Roman" w:hAnsi="Times New Roman"/>
          <w:sz w:val="16"/>
          <w:szCs w:val="16"/>
          <w:i w:val="1"/>
          <w:iCs w:val="1"/>
          <w:color w:val="auto"/>
        </w:rPr>
        <w:t>“In this regard, for the State to be able to sanction administered parties, it is required that the specific conduct subject to sanction be duly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typified — clearly and precisely — in the law. Likewise, the sanction that may be imposed must be that specifically provided for such concrete conduct.”</w:t>
      </w:r>
    </w:p>
    <w:p>
      <w:pPr>
        <w:spacing w:after="0" w:line="138" w:lineRule="exact"/>
        <w:rPr>
          <w:sz w:val="20"/>
          <w:szCs w:val="20"/>
          <w:color w:val="auto"/>
        </w:rPr>
      </w:pPr>
    </w:p>
    <w:p>
      <w:pPr>
        <w:jc w:val="both"/>
        <w:ind w:right="20"/>
        <w:spacing w:after="0" w:line="201" w:lineRule="exact"/>
        <w:rPr>
          <w:sz w:val="20"/>
          <w:szCs w:val="20"/>
          <w:color w:val="auto"/>
        </w:rPr>
      </w:pPr>
      <w:r>
        <w:rPr>
          <w:rFonts w:ascii="Times New Roman" w:cs="Times New Roman" w:eastAsia="Times New Roman" w:hAnsi="Times New Roman"/>
          <w:sz w:val="16"/>
          <w:szCs w:val="16"/>
          <w:color w:val="auto"/>
        </w:rPr>
        <w:t xml:space="preserve">The Issuer states that: </w:t>
      </w:r>
      <w:r>
        <w:rPr>
          <w:rFonts w:ascii="Times New Roman" w:cs="Times New Roman" w:eastAsia="Times New Roman" w:hAnsi="Times New Roman"/>
          <w:sz w:val="16"/>
          <w:szCs w:val="16"/>
          <w:i w:val="1"/>
          <w:iCs w:val="1"/>
          <w:color w:val="auto"/>
        </w:rPr>
        <w:t>“In the present case, the legal framework has established a specific typification for the conduct attributed to Credicorp, which 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contemplated in numerals 2.14 of Annex 1 of the Sanctions Regulation in force in 2011 and in Annex 1 of the Sanctions Regulation in force in 2016 (‘Failure to disclose material events that have significant impact on the market’), and not in numeral 1.6 of Annex 1 of the Sanctions Regulation in force in 2011 nor in numeral 1.5 of Annex 1 of the Sanctions Regulation in force in 2016, as erroneously argued in the Charges Letter. Therefore, the infraction type invoked does not accurately correspond to the conduct attributed to Credicorp, and, for this reason, the Principle of Specificity established in the Consolidated Text of the General Administrative Procedure Law — Law No. 27444, approved by Supreme Decree No. 004</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2019</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JUS (‘LPAG’) — is not observed.”</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The Issuer further notes that: </w:t>
      </w:r>
      <w:r>
        <w:rPr>
          <w:rFonts w:ascii="Times New Roman" w:cs="Times New Roman" w:eastAsia="Times New Roman" w:hAnsi="Times New Roman"/>
          <w:sz w:val="16"/>
          <w:szCs w:val="16"/>
          <w:i w:val="1"/>
          <w:iCs w:val="1"/>
          <w:color w:val="auto"/>
        </w:rPr>
        <w:t>“It must be borne in mind that the Principle of Specificity is materialized, among other concepts, in the Principle of Speciality, which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has decisive argumentative weight in Criminal Law and is perfectly transferable and applicable to Administrative Law. According to this principle, when the same conduct can fall within two different infraction types, the most specific infraction type must be applied.”</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To support the Principle of Speciality, the Issuer cites Professor Günter Jakobs, whose work elaborates on the notion of concurrence of laws. The Issuer quotes the author as follows: </w:t>
      </w:r>
      <w:r>
        <w:rPr>
          <w:rFonts w:ascii="Times New Roman" w:cs="Times New Roman" w:eastAsia="Times New Roman" w:hAnsi="Times New Roman"/>
          <w:sz w:val="16"/>
          <w:szCs w:val="16"/>
          <w:i w:val="1"/>
          <w:iCs w:val="1"/>
          <w:color w:val="auto"/>
        </w:rPr>
        <w:t>“The method to avoid repeated valuation consists in applying only that offense category — with its corresponding legal consequences — that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regulates the specific case in the most comprehensive context. This method is based on the hermeneutic principle that, ceteris paribus, an expression with richer content reflects the speaker’s will more precisely than one with poorer content (lex specialis derogat legi generali).” For this reason, the Issuer asserts:“Speciality is the clearest way in which the primacy of the law is manifested.”</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The Issuer then cites the scholar Hurtado Pozo, who states: </w:t>
      </w:r>
      <w:r>
        <w:rPr>
          <w:rFonts w:ascii="Times New Roman" w:cs="Times New Roman" w:eastAsia="Times New Roman" w:hAnsi="Times New Roman"/>
          <w:sz w:val="16"/>
          <w:szCs w:val="16"/>
          <w:i w:val="1"/>
          <w:iCs w:val="1"/>
          <w:color w:val="auto"/>
        </w:rPr>
        <w:t>“The relationship of speciality between two provisions occurs when one of them (the special law)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describes an action, while the other (the general law) describes a broader one that encompasses the former. Therefore, any action encompassed by the special law is also encompassed by the general law, but not vice versa. In other words, all the typical characteristics of one legal type (provided in the general law) are contained in another legal type (provided in the special law), which contains, in addition, one or more different specifications. Through the enactment of special norms, the legislator seeks to enhance criminal repression.”</w:t>
      </w:r>
    </w:p>
    <w:p>
      <w:pPr>
        <w:spacing w:after="0" w:line="16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Based on these citations, the Issuer concludes that: </w:t>
      </w:r>
      <w:r>
        <w:rPr>
          <w:rFonts w:ascii="Times New Roman" w:cs="Times New Roman" w:eastAsia="Times New Roman" w:hAnsi="Times New Roman"/>
          <w:sz w:val="16"/>
          <w:szCs w:val="16"/>
          <w:i w:val="1"/>
          <w:iCs w:val="1"/>
          <w:color w:val="auto"/>
        </w:rPr>
        <w:t>“In the presence of a concurrence of laws, the special rule must be applied over the general one, as it regulates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infraction more precisely and comprehensively. If the conduct subject to attribution can be subsumed under two criminal types — or two administrative infraction types — the special rule must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209550</wp:posOffset>
            </wp:positionV>
            <wp:extent cx="714629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680"/>
          </w:cols>
          <w:pgMar w:left="900" w:top="121" w:right="319" w:bottom="1440" w:gutter="0" w:footer="0" w:header="0"/>
        </w:sectPr>
      </w:pPr>
    </w:p>
    <w:bookmarkStart w:id="29" w:name="page30"/>
    <w:bookmarkEnd w:id="29"/>
    <w:p>
      <w:pPr>
        <w:ind w:left="583"/>
        <w:spacing w:after="0" w:line="184" w:lineRule="exact"/>
        <w:rPr>
          <w:sz w:val="20"/>
          <w:szCs w:val="20"/>
          <w:color w:val="auto"/>
        </w:rPr>
      </w:pPr>
      <w:r>
        <w:rPr>
          <w:rFonts w:ascii="Times New Roman" w:cs="Times New Roman" w:eastAsia="Times New Roman" w:hAnsi="Times New Roman"/>
          <w:sz w:val="16"/>
          <w:szCs w:val="16"/>
          <w:color w:val="auto"/>
        </w:rPr>
        <w:t>Furthermore, in support of the Principle of Speciality, the Issuer cites a Supreme Court ruling (Appeal for Annulment No. 743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2018/Lima), in which the Court held:</w:t>
      </w:r>
    </w:p>
    <w:p>
      <w:pPr>
        <w:spacing w:after="0" w:line="238" w:lineRule="exact"/>
        <w:rPr>
          <w:sz w:val="20"/>
          <w:szCs w:val="20"/>
          <w:color w:val="auto"/>
        </w:rPr>
      </w:pPr>
    </w:p>
    <w:p>
      <w:pPr>
        <w:jc w:val="both"/>
        <w:ind w:left="583" w:right="20" w:hanging="292"/>
        <w:spacing w:after="0" w:line="271" w:lineRule="auto"/>
        <w:tabs>
          <w:tab w:leader="none" w:pos="583"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“4.5 It is clear that the factual scenario is a single one, in which an apparent concurrence of criminal norms arises. Apparent concurrence of laws occurs when, in appearance, two or more criminal types could apply to a given act; however, a rule derived from the legal system allows determining that the conduct fits within one of the types under apparent concurrence.”</w:t>
      </w:r>
    </w:p>
    <w:p>
      <w:pPr>
        <w:spacing w:after="0" w:line="153" w:lineRule="exact"/>
        <w:rPr>
          <w:rFonts w:ascii="Times New Roman" w:cs="Times New Roman" w:eastAsia="Times New Roman" w:hAnsi="Times New Roman"/>
          <w:sz w:val="16"/>
          <w:szCs w:val="16"/>
          <w:color w:val="auto"/>
        </w:rPr>
      </w:pPr>
    </w:p>
    <w:p>
      <w:pPr>
        <w:ind w:left="583" w:right="20" w:hanging="292"/>
        <w:spacing w:after="0" w:line="217" w:lineRule="exact"/>
        <w:tabs>
          <w:tab w:leader="none" w:pos="583"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“4.6 (…) applying the principle of speciality, the defendants cannot be charged with two different conducts regarding the same act which, due to speciality, fits the type of computer</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related crime.”</w:t>
      </w:r>
    </w:p>
    <w:p>
      <w:pPr>
        <w:spacing w:after="0" w:line="150" w:lineRule="exact"/>
        <w:rPr>
          <w:rFonts w:ascii="Times New Roman" w:cs="Times New Roman" w:eastAsia="Times New Roman" w:hAnsi="Times New Roman"/>
          <w:sz w:val="16"/>
          <w:szCs w:val="16"/>
          <w:color w:val="auto"/>
        </w:rPr>
      </w:pPr>
    </w:p>
    <w:p>
      <w:pPr>
        <w:jc w:val="both"/>
        <w:ind w:left="583" w:right="20" w:hanging="292"/>
        <w:spacing w:after="0" w:line="271" w:lineRule="auto"/>
        <w:tabs>
          <w:tab w:leader="none" w:pos="583"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“4.7 Consequently, applying the principle of apparent concurrence of laws, the conduct must be subsumed, as it is more specific, under the offense of attack against the integrity of computer data and not under the offense of generic falsification, given that the former encompasses the totality of the criminal act by virtue of being a special rule.”</w:t>
      </w:r>
    </w:p>
    <w:p>
      <w:pPr>
        <w:spacing w:after="0" w:line="154" w:lineRule="exact"/>
        <w:rPr>
          <w:sz w:val="20"/>
          <w:szCs w:val="20"/>
          <w:color w:val="auto"/>
        </w:rPr>
      </w:pPr>
    </w:p>
    <w:p>
      <w:pPr>
        <w:jc w:val="both"/>
        <w:ind w:left="283" w:right="20"/>
        <w:spacing w:after="0" w:line="290" w:lineRule="auto"/>
        <w:rPr>
          <w:sz w:val="20"/>
          <w:szCs w:val="20"/>
          <w:color w:val="auto"/>
        </w:rPr>
      </w:pPr>
      <w:r>
        <w:rPr>
          <w:rFonts w:ascii="Times New Roman" w:cs="Times New Roman" w:eastAsia="Times New Roman" w:hAnsi="Times New Roman"/>
          <w:sz w:val="16"/>
          <w:szCs w:val="16"/>
          <w:color w:val="auto"/>
        </w:rPr>
        <w:t xml:space="preserve">Based on the foregoing ruling, the Issuer asserts that: </w:t>
      </w:r>
      <w:r>
        <w:rPr>
          <w:rFonts w:ascii="Times New Roman" w:cs="Times New Roman" w:eastAsia="Times New Roman" w:hAnsi="Times New Roman"/>
          <w:sz w:val="16"/>
          <w:szCs w:val="16"/>
          <w:i w:val="1"/>
          <w:iCs w:val="1"/>
          <w:color w:val="auto"/>
        </w:rPr>
        <w:t>“The criterion applied by the Supreme Court requires the application of the Principle of Speciality when choosing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applicable type in qualifying the conduct. Therefore, the authority must evaluate whether a specific infraction type exists for the conduct.”</w:t>
      </w:r>
    </w:p>
    <w:p>
      <w:pPr>
        <w:spacing w:after="0" w:line="138" w:lineRule="exact"/>
        <w:rPr>
          <w:sz w:val="20"/>
          <w:szCs w:val="20"/>
          <w:color w:val="auto"/>
        </w:rPr>
      </w:pPr>
    </w:p>
    <w:p>
      <w:pPr>
        <w:jc w:val="both"/>
        <w:ind w:left="283" w:right="20"/>
        <w:spacing w:after="0" w:line="265" w:lineRule="auto"/>
        <w:rPr>
          <w:sz w:val="20"/>
          <w:szCs w:val="20"/>
          <w:color w:val="auto"/>
        </w:rPr>
      </w:pPr>
      <w:r>
        <w:rPr>
          <w:rFonts w:ascii="Times New Roman" w:cs="Times New Roman" w:eastAsia="Times New Roman" w:hAnsi="Times New Roman"/>
          <w:sz w:val="16"/>
          <w:szCs w:val="16"/>
          <w:color w:val="auto"/>
        </w:rPr>
        <w:t xml:space="preserve">Finally, the Issuer states that: </w:t>
      </w:r>
      <w:r>
        <w:rPr>
          <w:rFonts w:ascii="Times New Roman" w:cs="Times New Roman" w:eastAsia="Times New Roman" w:hAnsi="Times New Roman"/>
          <w:sz w:val="16"/>
          <w:szCs w:val="16"/>
          <w:i w:val="1"/>
          <w:iCs w:val="1"/>
          <w:color w:val="auto"/>
        </w:rPr>
        <w:t>“Based on the reasoning set forth in the Charges Letter, the appropriate classification would have been that provided in numerals 2.14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Annex 1 of the Sanctions Regulation in force in 2011 and Annex 1 of the Sanctions Regulation in force in 2016. However, the Charges Letter has chosen to classify Credicorp under a more generic infraction type, associated with higher sanctions, which does not align with or correspond to the reasoning developed within the Charges Letter itself, thus violating the Principle of Speciality.”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112395</wp:posOffset>
            </wp:positionV>
            <wp:extent cx="6960870" cy="647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60870" cy="647700"/>
                    </a:xfrm>
                    <a:prstGeom prst="rect">
                      <a:avLst/>
                    </a:prstGeom>
                    <a:noFill/>
                  </pic:spPr>
                </pic:pic>
              </a:graphicData>
            </a:graphic>
          </wp:anchor>
        </w:drawing>
      </w:r>
    </w:p>
    <w:p>
      <w:pPr>
        <w:spacing w:after="0" w:line="163" w:lineRule="exact"/>
        <w:rPr>
          <w:sz w:val="20"/>
          <w:szCs w:val="20"/>
          <w:color w:val="auto"/>
        </w:rPr>
      </w:pPr>
    </w:p>
    <w:p>
      <w:pPr>
        <w:jc w:val="both"/>
        <w:ind w:left="403" w:right="120"/>
        <w:spacing w:after="0" w:line="265" w:lineRule="auto"/>
        <w:rPr>
          <w:sz w:val="20"/>
          <w:szCs w:val="20"/>
          <w:color w:val="auto"/>
        </w:rPr>
      </w:pPr>
      <w:r>
        <w:rPr>
          <w:rFonts w:ascii="Times New Roman" w:cs="Times New Roman" w:eastAsia="Times New Roman" w:hAnsi="Times New Roman"/>
          <w:sz w:val="16"/>
          <w:szCs w:val="16"/>
          <w:color w:val="auto"/>
        </w:rPr>
        <w:t>The Issuer concludes that: “</w:t>
      </w:r>
      <w:r>
        <w:rPr>
          <w:rFonts w:ascii="Times New Roman" w:cs="Times New Roman" w:eastAsia="Times New Roman" w:hAnsi="Times New Roman"/>
          <w:sz w:val="16"/>
          <w:szCs w:val="16"/>
          <w:i w:val="1"/>
          <w:iCs w:val="1"/>
          <w:color w:val="auto"/>
        </w:rPr>
        <w:t>Therefore, given that the Charges Letter has improperly classified the alleged infringing conduct attributed to Credicorp, the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procedure described in numeral 3 of Article 254.1 of the LPAG has not been followed, and any sanction imposed on the basis of such improper classification would be contrary to the fundamental principles of Administrative Sanctioning Law and consequently void, infringing the provisions of numeral 1.1 of Article IV of the Preliminary Title of the LPAG, which states that ‘administrative authorities must act in accordance with the Constitution, the law, and the legal system, within the powers granted to them and in accordance with the purposes for which such powers were conferred.</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24</w:t>
      </w:r>
    </w:p>
    <w:p>
      <w:pPr>
        <w:spacing w:after="0" w:line="47"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b w:val="1"/>
          <w:bCs w:val="1"/>
          <w:color w:val="auto"/>
        </w:rPr>
        <w:t>Violation of the Principle of Predictability</w:t>
      </w:r>
    </w:p>
    <w:p>
      <w:pPr>
        <w:spacing w:after="0" w:line="204" w:lineRule="exact"/>
        <w:rPr>
          <w:sz w:val="20"/>
          <w:szCs w:val="20"/>
          <w:color w:val="auto"/>
        </w:rPr>
      </w:pPr>
    </w:p>
    <w:p>
      <w:pPr>
        <w:jc w:val="both"/>
        <w:ind w:left="283"/>
        <w:spacing w:after="0" w:line="205" w:lineRule="exact"/>
        <w:rPr>
          <w:sz w:val="20"/>
          <w:szCs w:val="20"/>
          <w:color w:val="auto"/>
        </w:rPr>
      </w:pPr>
      <w:r>
        <w:rPr>
          <w:rFonts w:ascii="Times New Roman" w:cs="Times New Roman" w:eastAsia="Times New Roman" w:hAnsi="Times New Roman"/>
          <w:sz w:val="16"/>
          <w:szCs w:val="16"/>
          <w:color w:val="auto"/>
        </w:rPr>
        <w:t xml:space="preserve">Regarding the Principle of Predictability, the Issuer argues in its defenses that: </w:t>
      </w:r>
      <w:r>
        <w:rPr>
          <w:rFonts w:ascii="Times New Roman" w:cs="Times New Roman" w:eastAsia="Times New Roman" w:hAnsi="Times New Roman"/>
          <w:sz w:val="16"/>
          <w:szCs w:val="16"/>
          <w:i w:val="1"/>
          <w:iCs w:val="1"/>
          <w:color w:val="auto"/>
        </w:rPr>
        <w:t>“(…) the Deputy Superintendency has previously ruled in cases where issuers failed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disclose material events repeatedly and intentionally, and in such cases, the SMV correctly applied the infraction described in item 2.14 of the Sanctions Regulation in force at the time of the alleged events [See: Deputy Superintendency Resolution SMV No. 033</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2019</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SMV/11 of March 12, 2019; Deputy Superintendency Resolution SMV No. 069</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2017</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SMV/11 of September 7, 2017; Deputy Superintendency Resolution SMV No. 064</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2017 of September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178816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16" w:lineRule="exact"/>
        <w:rPr>
          <w:sz w:val="20"/>
          <w:szCs w:val="20"/>
          <w:color w:val="auto"/>
        </w:rPr>
      </w:pPr>
    </w:p>
    <w:p>
      <w:pPr>
        <w:ind w:left="183" w:hanging="183"/>
        <w:spacing w:after="0"/>
        <w:tabs>
          <w:tab w:leader="none" w:pos="183"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box highlight is an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88" w:right="319" w:bottom="1440" w:gutter="0" w:footer="0" w:header="0"/>
        </w:sectPr>
      </w:pPr>
    </w:p>
    <w:bookmarkStart w:id="30" w:name="page31"/>
    <w:bookmarkEnd w:id="30"/>
    <w:p>
      <w:pPr>
        <w:jc w:val="both"/>
        <w:ind w:left="583" w:right="20"/>
        <w:spacing w:after="0" w:line="271" w:lineRule="auto"/>
        <w:rPr>
          <w:sz w:val="20"/>
          <w:szCs w:val="20"/>
          <w:color w:val="auto"/>
        </w:rPr>
      </w:pPr>
      <w:r>
        <w:rPr>
          <w:rFonts w:ascii="Times New Roman" w:cs="Times New Roman" w:eastAsia="Times New Roman" w:hAnsi="Times New Roman"/>
          <w:sz w:val="16"/>
          <w:szCs w:val="16"/>
          <w:color w:val="auto"/>
        </w:rPr>
        <w:t xml:space="preserve">The Issuer adds that: </w:t>
      </w:r>
      <w:r>
        <w:rPr>
          <w:rFonts w:ascii="Times New Roman" w:cs="Times New Roman" w:eastAsia="Times New Roman" w:hAnsi="Times New Roman"/>
          <w:sz w:val="16"/>
          <w:szCs w:val="16"/>
          <w:i w:val="1"/>
          <w:iCs w:val="1"/>
          <w:color w:val="auto"/>
        </w:rPr>
        <w:t>[In the aforementioned cases, the Deputy Superintendency did not sanction the companies under item 1.6 (‘engaging in any act, omission,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practice, or conduct that undermines the integrity or transparency of the market’), but rather grounded its reasoning on the infraction typified in numeral 2.14 of the Sanctions Regulation in force in 2011, regarding ‘failure to disclose material events that have significant impact on the market.]</w:t>
      </w:r>
    </w:p>
    <w:p>
      <w:pPr>
        <w:spacing w:after="0" w:line="120" w:lineRule="exact"/>
        <w:rPr>
          <w:sz w:val="20"/>
          <w:szCs w:val="20"/>
          <w:color w:val="auto"/>
        </w:rPr>
      </w:pPr>
    </w:p>
    <w:p>
      <w:pPr>
        <w:jc w:val="both"/>
        <w:ind w:left="583" w:right="20"/>
        <w:spacing w:after="0" w:line="211" w:lineRule="exact"/>
        <w:rPr>
          <w:sz w:val="20"/>
          <w:szCs w:val="20"/>
          <w:color w:val="auto"/>
        </w:rPr>
      </w:pPr>
      <w:r>
        <w:rPr>
          <w:rFonts w:ascii="Times New Roman" w:cs="Times New Roman" w:eastAsia="Times New Roman" w:hAnsi="Times New Roman"/>
          <w:sz w:val="16"/>
          <w:szCs w:val="16"/>
          <w:color w:val="auto"/>
        </w:rPr>
        <w:t xml:space="preserve">The Issuer therefore asserts that: </w:t>
      </w:r>
      <w:r>
        <w:rPr>
          <w:rFonts w:ascii="Times New Roman" w:cs="Times New Roman" w:eastAsia="Times New Roman" w:hAnsi="Times New Roman"/>
          <w:sz w:val="16"/>
          <w:szCs w:val="16"/>
          <w:i w:val="1"/>
          <w:iCs w:val="1"/>
          <w:color w:val="auto"/>
        </w:rPr>
        <w:t>“Consequently, the SMV already has a well</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established criterion — which is correct and consistent with the legal framework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according to which, for conduct such as that attributed in this administrative sanctioning proceeding, the applicable infraction type is that typified in item 2.14 of the aforementioned regulation.”</w:t>
      </w:r>
    </w:p>
    <w:p>
      <w:pPr>
        <w:spacing w:after="0" w:line="178" w:lineRule="exact"/>
        <w:rPr>
          <w:sz w:val="20"/>
          <w:szCs w:val="20"/>
          <w:color w:val="auto"/>
        </w:rPr>
      </w:pPr>
    </w:p>
    <w:p>
      <w:pPr>
        <w:jc w:val="both"/>
        <w:ind w:left="583"/>
        <w:spacing w:after="0" w:line="290" w:lineRule="auto"/>
        <w:rPr>
          <w:sz w:val="20"/>
          <w:szCs w:val="20"/>
          <w:color w:val="auto"/>
        </w:rPr>
      </w:pPr>
      <w:r>
        <w:rPr>
          <w:rFonts w:ascii="Times New Roman" w:cs="Times New Roman" w:eastAsia="Times New Roman" w:hAnsi="Times New Roman"/>
          <w:sz w:val="16"/>
          <w:szCs w:val="16"/>
          <w:color w:val="auto"/>
        </w:rPr>
        <w:t xml:space="preserve">The Issuer then argues: </w:t>
      </w:r>
      <w:r>
        <w:rPr>
          <w:rFonts w:ascii="Times New Roman" w:cs="Times New Roman" w:eastAsia="Times New Roman" w:hAnsi="Times New Roman"/>
          <w:sz w:val="16"/>
          <w:szCs w:val="16"/>
          <w:i w:val="1"/>
          <w:iCs w:val="1"/>
          <w:color w:val="auto"/>
        </w:rPr>
        <w:t>“Therefore, it is contrary to the Principle of Predictability that the administration abruptly departs from a criterion it has consistently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applied over the years and suddenly develops a new infraction type to apply to facts that occurred in 2011 and 2016.”</w:t>
      </w:r>
    </w:p>
    <w:p>
      <w:pPr>
        <w:spacing w:after="0" w:line="138" w:lineRule="exact"/>
        <w:rPr>
          <w:sz w:val="20"/>
          <w:szCs w:val="20"/>
          <w:color w:val="auto"/>
        </w:rPr>
      </w:pPr>
    </w:p>
    <w:p>
      <w:pPr>
        <w:jc w:val="both"/>
        <w:ind w:left="583" w:right="20"/>
        <w:spacing w:after="0" w:line="271" w:lineRule="auto"/>
        <w:rPr>
          <w:sz w:val="20"/>
          <w:szCs w:val="20"/>
          <w:color w:val="auto"/>
        </w:rPr>
      </w:pPr>
      <w:r>
        <w:rPr>
          <w:rFonts w:ascii="Times New Roman" w:cs="Times New Roman" w:eastAsia="Times New Roman" w:hAnsi="Times New Roman"/>
          <w:sz w:val="16"/>
          <w:szCs w:val="16"/>
          <w:color w:val="auto"/>
        </w:rPr>
        <w:t xml:space="preserve">The Issuer adds that doctrinally, the Principle of Predictability — or legitimate expectation — establishes that: </w:t>
      </w:r>
      <w:r>
        <w:rPr>
          <w:rFonts w:ascii="Times New Roman" w:cs="Times New Roman" w:eastAsia="Times New Roman" w:hAnsi="Times New Roman"/>
          <w:sz w:val="16"/>
          <w:szCs w:val="16"/>
          <w:i w:val="1"/>
          <w:iCs w:val="1"/>
          <w:color w:val="auto"/>
        </w:rPr>
        <w:t>“Administrative actions, acts, and procedures must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become increasingly predictable for citizens, so as to generate legitimate confidence and eliminate the risk of uncertainty about how the Administration will act or resolve a situation submitted to it.”</w:t>
      </w:r>
    </w:p>
    <w:p>
      <w:pPr>
        <w:spacing w:after="0" w:line="154" w:lineRule="exact"/>
        <w:rPr>
          <w:sz w:val="20"/>
          <w:szCs w:val="20"/>
          <w:color w:val="auto"/>
        </w:rPr>
      </w:pPr>
    </w:p>
    <w:p>
      <w:pPr>
        <w:jc w:val="both"/>
        <w:ind w:left="583" w:right="20"/>
        <w:spacing w:after="0" w:line="290" w:lineRule="auto"/>
        <w:rPr>
          <w:sz w:val="20"/>
          <w:szCs w:val="20"/>
          <w:color w:val="auto"/>
        </w:rPr>
      </w:pPr>
      <w:r>
        <w:rPr>
          <w:rFonts w:ascii="Times New Roman" w:cs="Times New Roman" w:eastAsia="Times New Roman" w:hAnsi="Times New Roman"/>
          <w:sz w:val="16"/>
          <w:szCs w:val="16"/>
          <w:color w:val="auto"/>
        </w:rPr>
        <w:t xml:space="preserve">The Issuer further states that: </w:t>
      </w:r>
      <w:r>
        <w:rPr>
          <w:rFonts w:ascii="Times New Roman" w:cs="Times New Roman" w:eastAsia="Times New Roman" w:hAnsi="Times New Roman"/>
          <w:sz w:val="16"/>
          <w:szCs w:val="16"/>
          <w:i w:val="1"/>
          <w:iCs w:val="1"/>
          <w:color w:val="auto"/>
        </w:rPr>
        <w:t>“In the present case, legitimate confidence was generated based on the Deputy Superintendence’s decisions in similar cases, which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allowed Credicorp to have prior certainty about the infraction type that could be applicable in its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99695</wp:posOffset>
            </wp:positionV>
            <wp:extent cx="6868795" cy="647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68795" cy="647700"/>
                    </a:xfrm>
                    <a:prstGeom prst="rect">
                      <a:avLst/>
                    </a:prstGeom>
                    <a:noFill/>
                  </pic:spPr>
                </pic:pic>
              </a:graphicData>
            </a:graphic>
          </wp:anchor>
        </w:drawing>
      </w:r>
    </w:p>
    <w:p>
      <w:pPr>
        <w:spacing w:after="0" w:line="142" w:lineRule="exact"/>
        <w:rPr>
          <w:sz w:val="20"/>
          <w:szCs w:val="20"/>
          <w:color w:val="auto"/>
        </w:rPr>
      </w:pPr>
    </w:p>
    <w:p>
      <w:pPr>
        <w:jc w:val="both"/>
        <w:ind w:left="543" w:right="100"/>
        <w:spacing w:after="0" w:line="265" w:lineRule="auto"/>
        <w:rPr>
          <w:sz w:val="20"/>
          <w:szCs w:val="20"/>
          <w:color w:val="auto"/>
        </w:rPr>
      </w:pPr>
      <w:r>
        <w:rPr>
          <w:rFonts w:ascii="Times New Roman" w:cs="Times New Roman" w:eastAsia="Times New Roman" w:hAnsi="Times New Roman"/>
          <w:sz w:val="16"/>
          <w:szCs w:val="16"/>
          <w:color w:val="auto"/>
        </w:rPr>
        <w:t xml:space="preserve">Finally, the Issuer states that: </w:t>
      </w:r>
      <w:r>
        <w:rPr>
          <w:rFonts w:ascii="Times New Roman" w:cs="Times New Roman" w:eastAsia="Times New Roman" w:hAnsi="Times New Roman"/>
          <w:sz w:val="16"/>
          <w:szCs w:val="16"/>
          <w:i w:val="1"/>
          <w:iCs w:val="1"/>
          <w:color w:val="auto"/>
        </w:rPr>
        <w:t>“If it were legally possible for the SMV to depart from the criterion applied in previous cases — which it is not, due to the application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the Principle of Specificity — the administration would be engaging in discriminatory treatment toward administered parties and, consequently, violating the Principle of Impartiality set forth in numeral 1.5 of Article IV of the Preliminary Title. According to this principle, administrative authorities — including investigative bodies — must act without any discrimination between administered parties, granting them equal treatment and protection in the proceeding, and resolving in accordance with the legal framework and the public interest.”</w:t>
      </w:r>
      <w:r>
        <w:rPr>
          <w:rFonts w:ascii="Times New Roman" w:cs="Times New Roman" w:eastAsia="Times New Roman" w:hAnsi="Times New Roman"/>
          <w:sz w:val="26"/>
          <w:szCs w:val="26"/>
          <w:i w:val="1"/>
          <w:iCs w:val="1"/>
          <w:color w:val="auto"/>
          <w:vertAlign w:val="superscript"/>
        </w:rPr>
        <w:t>25</w:t>
      </w:r>
    </w:p>
    <w:p>
      <w:pPr>
        <w:spacing w:after="0" w:line="47"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b w:val="1"/>
          <w:bCs w:val="1"/>
          <w:color w:val="auto"/>
        </w:rPr>
        <w:t>Violation of the Principle of Due Procedure</w:t>
      </w:r>
    </w:p>
    <w:p>
      <w:pPr>
        <w:spacing w:after="0" w:line="204" w:lineRule="exact"/>
        <w:rPr>
          <w:sz w:val="20"/>
          <w:szCs w:val="20"/>
          <w:color w:val="auto"/>
        </w:rPr>
      </w:pPr>
    </w:p>
    <w:p>
      <w:pPr>
        <w:jc w:val="both"/>
        <w:ind w:left="583"/>
        <w:spacing w:after="0" w:line="265" w:lineRule="auto"/>
        <w:rPr>
          <w:sz w:val="20"/>
          <w:szCs w:val="20"/>
          <w:color w:val="auto"/>
        </w:rPr>
      </w:pPr>
      <w:r>
        <w:rPr>
          <w:rFonts w:ascii="Times New Roman" w:cs="Times New Roman" w:eastAsia="Times New Roman" w:hAnsi="Times New Roman"/>
          <w:sz w:val="16"/>
          <w:szCs w:val="16"/>
          <w:color w:val="auto"/>
        </w:rPr>
        <w:t xml:space="preserve">With regards to the Principle of Due Procedure, the Issuer states that: </w:t>
      </w:r>
      <w:r>
        <w:rPr>
          <w:rFonts w:ascii="Times New Roman" w:cs="Times New Roman" w:eastAsia="Times New Roman" w:hAnsi="Times New Roman"/>
          <w:sz w:val="16"/>
          <w:szCs w:val="16"/>
          <w:i w:val="1"/>
          <w:iCs w:val="1"/>
          <w:color w:val="auto"/>
        </w:rPr>
        <w:t>“The Charges Letter has violated the Principle of Due Procedure, set forth in numeral 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Article IV of the LPAG, under which administered parties enjoy the rights and guarantees inherent to due administrative procedure. In the present case, the SMV’s incorrect attribution regarding the alleged infringing conduct of our company constitutes a violation of Credicorp’s right of defense. Evidently, this prevents Credicorp from fully exercising its right of defense within the sanctioning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178816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22" w:lineRule="exact"/>
        <w:rPr>
          <w:sz w:val="20"/>
          <w:szCs w:val="20"/>
          <w:color w:val="auto"/>
        </w:rPr>
      </w:pPr>
    </w:p>
    <w:p>
      <w:pPr>
        <w:ind w:left="183" w:hanging="183"/>
        <w:spacing w:after="0"/>
        <w:tabs>
          <w:tab w:leader="none" w:pos="183"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box highlight is an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31" w:name="page32"/>
    <w:bookmarkEnd w:id="31"/>
    <w:p>
      <w:pPr>
        <w:jc w:val="both"/>
        <w:ind w:left="583"/>
        <w:spacing w:after="0" w:line="271" w:lineRule="auto"/>
        <w:rPr>
          <w:sz w:val="20"/>
          <w:szCs w:val="20"/>
          <w:color w:val="auto"/>
        </w:rPr>
      </w:pPr>
      <w:r>
        <w:rPr>
          <w:rFonts w:ascii="Times New Roman" w:cs="Times New Roman" w:eastAsia="Times New Roman" w:hAnsi="Times New Roman"/>
          <w:sz w:val="16"/>
          <w:szCs w:val="16"/>
          <w:color w:val="auto"/>
        </w:rPr>
        <w:t xml:space="preserve">Accordingly, and in conclusion, the Issuer states that: </w:t>
      </w:r>
      <w:r>
        <w:rPr>
          <w:rFonts w:ascii="Times New Roman" w:cs="Times New Roman" w:eastAsia="Times New Roman" w:hAnsi="Times New Roman"/>
          <w:sz w:val="16"/>
          <w:szCs w:val="16"/>
          <w:i w:val="1"/>
          <w:iCs w:val="1"/>
          <w:color w:val="auto"/>
        </w:rPr>
        <w:t>“In sum, there is an improper typification of the conduct attributed to Credicorp in the Charges Letter. This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violates the Principles of Legality, Specificity, Speciality, Predictability, and Due Administrative Procedure. Any sanction the administration seeks to impose based on this improper typification would constitute an unlawful and null act.”</w:t>
      </w:r>
    </w:p>
    <w:p>
      <w:pPr>
        <w:spacing w:after="0" w:line="154"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b w:val="1"/>
          <w:bCs w:val="1"/>
          <w:color w:val="auto"/>
        </w:rPr>
        <w:t>6. ABSENCE OF A SPECIFIC OBLIGATION TO REPORT POLITICAL CONTRIBUTIONS</w:t>
      </w:r>
    </w:p>
    <w:p>
      <w:pPr>
        <w:spacing w:after="0" w:line="204" w:lineRule="exact"/>
        <w:rPr>
          <w:sz w:val="20"/>
          <w:szCs w:val="20"/>
          <w:color w:val="auto"/>
        </w:rPr>
      </w:pPr>
    </w:p>
    <w:p>
      <w:pPr>
        <w:jc w:val="both"/>
        <w:ind w:left="583"/>
        <w:spacing w:after="0" w:line="262" w:lineRule="auto"/>
        <w:rPr>
          <w:sz w:val="20"/>
          <w:szCs w:val="20"/>
          <w:color w:val="auto"/>
        </w:rPr>
      </w:pPr>
      <w:r>
        <w:rPr>
          <w:rFonts w:ascii="Times New Roman" w:cs="Times New Roman" w:eastAsia="Times New Roman" w:hAnsi="Times New Roman"/>
          <w:sz w:val="16"/>
          <w:szCs w:val="16"/>
          <w:color w:val="auto"/>
        </w:rPr>
        <w:t xml:space="preserve">The Issuer states the following: </w:t>
      </w:r>
      <w:r>
        <w:rPr>
          <w:rFonts w:ascii="Times New Roman" w:cs="Times New Roman" w:eastAsia="Times New Roman" w:hAnsi="Times New Roman"/>
          <w:sz w:val="16"/>
          <w:szCs w:val="16"/>
          <w:i w:val="1"/>
          <w:iCs w:val="1"/>
          <w:color w:val="auto"/>
        </w:rPr>
        <w:t>“Information regarding contributions made by an issuer to a political party does not have special or specific treatment under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securities market regulations; that is, such regulations do not specifically require the disclosure of this type of information. Therefore, under securities market regulations, information regarding these types of contributions must be disclosed only if it meets the requirements set forth in Article 28 of the LMV and Articles 3 and 4 of the Regulation on Material Events. Accordingly, only if the information regarding the contributions meets the materiality criterion would the issuer be obligated to disclose it as a material event.”</w:t>
      </w:r>
    </w:p>
    <w:p>
      <w:pPr>
        <w:spacing w:after="0" w:line="161" w:lineRule="exact"/>
        <w:rPr>
          <w:sz w:val="20"/>
          <w:szCs w:val="20"/>
          <w:color w:val="auto"/>
        </w:rPr>
      </w:pPr>
    </w:p>
    <w:p>
      <w:pPr>
        <w:jc w:val="both"/>
        <w:ind w:left="583"/>
        <w:spacing w:after="0" w:line="265" w:lineRule="auto"/>
        <w:rPr>
          <w:sz w:val="20"/>
          <w:szCs w:val="20"/>
          <w:color w:val="auto"/>
        </w:rPr>
      </w:pPr>
      <w:r>
        <w:rPr>
          <w:rFonts w:ascii="Times New Roman" w:cs="Times New Roman" w:eastAsia="Times New Roman" w:hAnsi="Times New Roman"/>
          <w:sz w:val="16"/>
          <w:szCs w:val="16"/>
          <w:color w:val="auto"/>
        </w:rPr>
        <w:t xml:space="preserve">It also states: </w:t>
      </w:r>
      <w:r>
        <w:rPr>
          <w:rFonts w:ascii="Times New Roman" w:cs="Times New Roman" w:eastAsia="Times New Roman" w:hAnsi="Times New Roman"/>
          <w:sz w:val="16"/>
          <w:szCs w:val="16"/>
          <w:i w:val="1"/>
          <w:iCs w:val="1"/>
          <w:color w:val="auto"/>
        </w:rPr>
        <w:t>“Under Peruvian law, as in many other countries, contributions made by private individuals or entities to political parties are governed by a special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electoral regulatory framework, which has its own transparency rules. The electoral system is regulated in Articles 176 and subsequent articles of the Political Constitution of Peru, as well as in other norms such as the Organic Law of Elections (Law No. 26859), the Law of Political Organizations (Law No. 28094),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112395</wp:posOffset>
            </wp:positionV>
            <wp:extent cx="6868795" cy="17576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68795" cy="1757680"/>
                    </a:xfrm>
                    <a:prstGeom prst="rect">
                      <a:avLst/>
                    </a:prstGeom>
                    <a:noFill/>
                  </pic:spPr>
                </pic:pic>
              </a:graphicData>
            </a:graphic>
          </wp:anchor>
        </w:drawing>
      </w:r>
    </w:p>
    <w:p>
      <w:pPr>
        <w:spacing w:after="0" w:line="165" w:lineRule="exact"/>
        <w:rPr>
          <w:sz w:val="20"/>
          <w:szCs w:val="20"/>
          <w:color w:val="auto"/>
        </w:rPr>
      </w:pPr>
    </w:p>
    <w:p>
      <w:pPr>
        <w:jc w:val="both"/>
        <w:ind w:left="543" w:right="120"/>
        <w:spacing w:after="0" w:line="270" w:lineRule="auto"/>
        <w:rPr>
          <w:sz w:val="20"/>
          <w:szCs w:val="20"/>
          <w:color w:val="auto"/>
        </w:rPr>
      </w:pPr>
      <w:r>
        <w:rPr>
          <w:rFonts w:ascii="Times New Roman" w:cs="Times New Roman" w:eastAsia="Times New Roman" w:hAnsi="Times New Roman"/>
          <w:sz w:val="16"/>
          <w:szCs w:val="16"/>
          <w:color w:val="auto"/>
        </w:rPr>
        <w:t xml:space="preserve">The Issuer asserts that the electoral system is independent and special, and that this electoral framework </w:t>
      </w:r>
      <w:r>
        <w:rPr>
          <w:rFonts w:ascii="Times New Roman" w:cs="Times New Roman" w:eastAsia="Times New Roman" w:hAnsi="Times New Roman"/>
          <w:sz w:val="16"/>
          <w:szCs w:val="16"/>
          <w:u w:val="single" w:color="auto"/>
          <w:color w:val="auto"/>
        </w:rPr>
        <w:t>contains its own requirements and transparency rules that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differ from those in securities market regulation</w:t>
      </w:r>
      <w:r>
        <w:rPr>
          <w:rFonts w:ascii="Times New Roman" w:cs="Times New Roman" w:eastAsia="Times New Roman" w:hAnsi="Times New Roman"/>
          <w:sz w:val="16"/>
          <w:szCs w:val="16"/>
          <w:color w:val="auto"/>
        </w:rPr>
        <w:t xml:space="preserve">. The Issuer then states: </w:t>
      </w:r>
      <w:r>
        <w:rPr>
          <w:rFonts w:ascii="Times New Roman" w:cs="Times New Roman" w:eastAsia="Times New Roman" w:hAnsi="Times New Roman"/>
          <w:sz w:val="16"/>
          <w:szCs w:val="16"/>
          <w:i w:val="1"/>
          <w:iCs w:val="1"/>
          <w:color w:val="auto"/>
        </w:rPr>
        <w:t>“…information regarding contributions to political parties has its own disclosure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publicity regime, as well as particular requirements under electoral regulations. ”</w:t>
      </w:r>
    </w:p>
    <w:p>
      <w:pPr>
        <w:spacing w:after="0" w:line="156" w:lineRule="exact"/>
        <w:rPr>
          <w:sz w:val="20"/>
          <w:szCs w:val="20"/>
          <w:color w:val="auto"/>
        </w:rPr>
      </w:pPr>
    </w:p>
    <w:p>
      <w:pPr>
        <w:jc w:val="both"/>
        <w:ind w:left="543" w:right="120"/>
        <w:spacing w:after="0" w:line="205" w:lineRule="exact"/>
        <w:rPr>
          <w:sz w:val="20"/>
          <w:szCs w:val="20"/>
          <w:color w:val="auto"/>
        </w:rPr>
      </w:pPr>
      <w:r>
        <w:rPr>
          <w:rFonts w:ascii="Times New Roman" w:cs="Times New Roman" w:eastAsia="Times New Roman" w:hAnsi="Times New Roman"/>
          <w:sz w:val="16"/>
          <w:szCs w:val="16"/>
          <w:color w:val="auto"/>
        </w:rPr>
        <w:t xml:space="preserve">It proceeds to summarize the norms regulating political contributions (the Law of Political Organizations and the Regulation on Financing and Supervision of Party Funds), concluding: </w:t>
      </w:r>
      <w:r>
        <w:rPr>
          <w:rFonts w:ascii="Times New Roman" w:cs="Times New Roman" w:eastAsia="Times New Roman" w:hAnsi="Times New Roman"/>
          <w:sz w:val="16"/>
          <w:szCs w:val="16"/>
          <w:i w:val="1"/>
          <w:iCs w:val="1"/>
          <w:color w:val="auto"/>
        </w:rPr>
        <w:t>“…that political parties were required to report, on a semi</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annual basis, a detailed breakdown of contributions classified by each natural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legal person. Therefore, </w:t>
      </w:r>
      <w:r>
        <w:rPr>
          <w:rFonts w:ascii="Times New Roman" w:cs="Times New Roman" w:eastAsia="Times New Roman" w:hAnsi="Times New Roman"/>
          <w:sz w:val="16"/>
          <w:szCs w:val="16"/>
          <w:i w:val="1"/>
          <w:iCs w:val="1"/>
          <w:u w:val="single" w:color="auto"/>
          <w:color w:val="auto"/>
        </w:rPr>
        <w:t>the obligation to report contributions to the ONPE belonged to the political party receiving them</w:t>
      </w:r>
      <w:r>
        <w:rPr>
          <w:rFonts w:ascii="Times New Roman" w:cs="Times New Roman" w:eastAsia="Times New Roman" w:hAnsi="Times New Roman"/>
          <w:sz w:val="16"/>
          <w:szCs w:val="16"/>
          <w:i w:val="1"/>
          <w:iCs w:val="1"/>
          <w:color w:val="auto"/>
        </w:rPr>
        <w:t>, not to the contributors themselves, and consequently, any sanction for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compliance fell solely on the political party as the obligated subject.”</w:t>
      </w:r>
    </w:p>
    <w:p>
      <w:pPr>
        <w:spacing w:after="0" w:line="150"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6"/>
          <w:szCs w:val="16"/>
          <w:color w:val="auto"/>
        </w:rPr>
        <w:t xml:space="preserve">Furthermore, the Issuer notes that the ONPE’s website regularly publishes: </w:t>
      </w:r>
      <w:r>
        <w:rPr>
          <w:rFonts w:ascii="Times New Roman" w:cs="Times New Roman" w:eastAsia="Times New Roman" w:hAnsi="Times New Roman"/>
          <w:sz w:val="16"/>
          <w:szCs w:val="16"/>
          <w:i w:val="1"/>
          <w:iCs w:val="1"/>
          <w:color w:val="auto"/>
        </w:rPr>
        <w:t>“…the details of private contributions made in favor of each party, including the</w:t>
      </w:r>
    </w:p>
    <w:p>
      <w:pPr>
        <w:spacing w:after="0" w:line="28" w:lineRule="exact"/>
        <w:rPr>
          <w:sz w:val="20"/>
          <w:szCs w:val="20"/>
          <w:color w:val="auto"/>
        </w:rPr>
      </w:pPr>
    </w:p>
    <w:p>
      <w:pPr>
        <w:jc w:val="both"/>
        <w:ind w:left="543" w:right="120"/>
        <w:spacing w:after="0" w:line="228" w:lineRule="exact"/>
        <w:rPr>
          <w:sz w:val="20"/>
          <w:szCs w:val="20"/>
          <w:color w:val="auto"/>
        </w:rPr>
      </w:pPr>
      <w:r>
        <w:rPr>
          <w:rFonts w:ascii="Times New Roman" w:cs="Times New Roman" w:eastAsia="Times New Roman" w:hAnsi="Times New Roman"/>
          <w:sz w:val="16"/>
          <w:szCs w:val="16"/>
          <w:i w:val="1"/>
          <w:iCs w:val="1"/>
          <w:color w:val="auto"/>
        </w:rPr>
        <w:t xml:space="preserve">identity of each contributor, as well as the supervisory reports issued by the Supervision Department.” </w:t>
      </w:r>
      <w:r>
        <w:rPr>
          <w:rFonts w:ascii="Times New Roman" w:cs="Times New Roman" w:eastAsia="Times New Roman" w:hAnsi="Times New Roman"/>
          <w:sz w:val="16"/>
          <w:szCs w:val="16"/>
          <w:color w:val="auto"/>
        </w:rPr>
        <w:t>It clarifies that it is not its responsibility: “Although it is true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that Fuerza 2011 failed to comply with its obligation to report the 2011 Information, </w:t>
      </w:r>
      <w:r>
        <w:rPr>
          <w:rFonts w:ascii="Times New Roman" w:cs="Times New Roman" w:eastAsia="Times New Roman" w:hAnsi="Times New Roman"/>
          <w:sz w:val="16"/>
          <w:szCs w:val="16"/>
          <w:u w:val="single" w:color="auto"/>
          <w:color w:val="auto"/>
        </w:rPr>
        <w:t>such non</w:t>
      </w:r>
      <w:r>
        <w:rPr>
          <w:rFonts w:ascii="MS PGothic" w:cs="MS PGothic" w:eastAsia="MS PGothic" w:hAnsi="MS PGothic"/>
          <w:sz w:val="16"/>
          <w:szCs w:val="16"/>
          <w:u w:val="single" w:color="auto"/>
          <w:color w:val="auto"/>
        </w:rPr>
        <w:t>‑</w:t>
      </w:r>
      <w:r>
        <w:rPr>
          <w:rFonts w:ascii="Times New Roman" w:cs="Times New Roman" w:eastAsia="Times New Roman" w:hAnsi="Times New Roman"/>
          <w:sz w:val="16"/>
          <w:szCs w:val="16"/>
          <w:u w:val="single" w:color="auto"/>
          <w:color w:val="auto"/>
        </w:rPr>
        <w:t>compliance pertained to an obligation of the political party, not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Credicorp</w:t>
      </w:r>
      <w:r>
        <w:rPr>
          <w:rFonts w:ascii="Times New Roman" w:cs="Times New Roman" w:eastAsia="Times New Roman" w:hAnsi="Times New Roman"/>
          <w:sz w:val="16"/>
          <w:szCs w:val="16"/>
          <w:color w:val="auto"/>
        </w:rPr>
        <w:t>. Therefore, as determined in the legal opinion issued by Zegarra &amp; Schipper Abogados Consultores, attached as Annex III, a contributor such as Credicorp could not be held responsible for the failure to report such contributions.”</w:t>
      </w:r>
      <w:r>
        <w:rPr>
          <w:rFonts w:ascii="Times New Roman" w:cs="Times New Roman" w:eastAsia="Times New Roman" w:hAnsi="Times New Roman"/>
          <w:sz w:val="26"/>
          <w:szCs w:val="26"/>
          <w:color w:val="auto"/>
          <w:vertAlign w:val="superscript"/>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178816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130" w:lineRule="exact"/>
        <w:rPr>
          <w:sz w:val="20"/>
          <w:szCs w:val="20"/>
          <w:color w:val="auto"/>
        </w:rPr>
      </w:pPr>
    </w:p>
    <w:p>
      <w:pPr>
        <w:ind w:left="183" w:hanging="183"/>
        <w:spacing w:after="0"/>
        <w:tabs>
          <w:tab w:leader="none" w:pos="183" w:val="left"/>
        </w:tabs>
        <w:numPr>
          <w:ilvl w:val="0"/>
          <w:numId w:val="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underlining and box highlight are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32" w:name="page33"/>
    <w:bookmarkEnd w:id="32"/>
    <w:p>
      <w:pPr>
        <w:jc w:val="both"/>
        <w:ind w:left="583" w:right="20"/>
        <w:spacing w:after="0" w:line="265" w:lineRule="auto"/>
        <w:rPr>
          <w:sz w:val="20"/>
          <w:szCs w:val="20"/>
          <w:color w:val="auto"/>
        </w:rPr>
      </w:pPr>
      <w:r>
        <w:rPr>
          <w:rFonts w:ascii="Times New Roman" w:cs="Times New Roman" w:eastAsia="Times New Roman" w:hAnsi="Times New Roman"/>
          <w:sz w:val="16"/>
          <w:szCs w:val="16"/>
          <w:color w:val="auto"/>
        </w:rPr>
        <w:t xml:space="preserve">Finally, the Issuer concludes this section by stating that: </w:t>
      </w:r>
      <w:r>
        <w:rPr>
          <w:rFonts w:ascii="Times New Roman" w:cs="Times New Roman" w:eastAsia="Times New Roman" w:hAnsi="Times New Roman"/>
          <w:sz w:val="16"/>
          <w:szCs w:val="16"/>
          <w:i w:val="1"/>
          <w:iCs w:val="1"/>
          <w:color w:val="auto"/>
        </w:rPr>
        <w:t>“…under the Peruvian legal framework in effect at the time the 2011 Contributions were made, there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existed a specific legal system governing the supervision of political party financing, under which the disclosure of such information was channeled and disseminated, regardless of whether such information was material or immaterial for the contributor or political party. Since, as stated, the 2011 Information and THE 2016 AGREEMENT were not material, </w:t>
      </w:r>
      <w:r>
        <w:rPr>
          <w:rFonts w:ascii="Times New Roman" w:cs="Times New Roman" w:eastAsia="Times New Roman" w:hAnsi="Times New Roman"/>
          <w:sz w:val="16"/>
          <w:szCs w:val="16"/>
          <w:i w:val="1"/>
          <w:iCs w:val="1"/>
          <w:u w:val="single" w:color="auto"/>
          <w:color w:val="auto"/>
        </w:rPr>
        <w:t>Credicorp never had an obligation to disclose them as a material event.”</w:t>
      </w:r>
    </w:p>
    <w:p>
      <w:pPr>
        <w:spacing w:after="0" w:line="159" w:lineRule="exact"/>
        <w:rPr>
          <w:sz w:val="20"/>
          <w:szCs w:val="20"/>
          <w:color w:val="auto"/>
        </w:rPr>
      </w:pPr>
    </w:p>
    <w:p>
      <w:pPr>
        <w:ind w:left="743" w:hanging="170"/>
        <w:spacing w:after="0"/>
        <w:tabs>
          <w:tab w:leader="none" w:pos="743"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SPECIFIC DEFENSES REGARDING THE FIRST CHARGE</w:t>
      </w:r>
    </w:p>
    <w:p>
      <w:pPr>
        <w:spacing w:after="0" w:line="204" w:lineRule="exact"/>
        <w:rPr>
          <w:rFonts w:ascii="Times New Roman" w:cs="Times New Roman" w:eastAsia="Times New Roman" w:hAnsi="Times New Roman"/>
          <w:sz w:val="16"/>
          <w:szCs w:val="16"/>
          <w:b w:val="1"/>
          <w:bCs w:val="1"/>
          <w:color w:val="auto"/>
        </w:rPr>
      </w:pPr>
    </w:p>
    <w:p>
      <w:pPr>
        <w:ind w:left="863" w:hanging="290"/>
        <w:spacing w:after="0"/>
        <w:tabs>
          <w:tab w:leader="none" w:pos="863"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PRESCRIPTION</w:t>
      </w:r>
    </w:p>
    <w:p>
      <w:pPr>
        <w:spacing w:after="0" w:line="204" w:lineRule="exact"/>
        <w:rPr>
          <w:sz w:val="20"/>
          <w:szCs w:val="20"/>
          <w:color w:val="auto"/>
        </w:rPr>
      </w:pPr>
    </w:p>
    <w:p>
      <w:pPr>
        <w:jc w:val="both"/>
        <w:ind w:left="583"/>
        <w:spacing w:after="0" w:line="265" w:lineRule="auto"/>
        <w:rPr>
          <w:sz w:val="20"/>
          <w:szCs w:val="20"/>
          <w:color w:val="auto"/>
        </w:rPr>
      </w:pPr>
      <w:r>
        <w:rPr>
          <w:rFonts w:ascii="Times New Roman" w:cs="Times New Roman" w:eastAsia="Times New Roman" w:hAnsi="Times New Roman"/>
          <w:sz w:val="16"/>
          <w:szCs w:val="16"/>
          <w:color w:val="auto"/>
        </w:rPr>
        <w:t xml:space="preserve">Regarding prescription, the Issuer reiterates that: </w:t>
      </w:r>
      <w:r>
        <w:rPr>
          <w:rFonts w:ascii="Times New Roman" w:cs="Times New Roman" w:eastAsia="Times New Roman" w:hAnsi="Times New Roman"/>
          <w:sz w:val="16"/>
          <w:szCs w:val="16"/>
          <w:i w:val="1"/>
          <w:iCs w:val="1"/>
          <w:color w:val="auto"/>
        </w:rPr>
        <w:t>“The conduct attributed in the Charges Letter regarding the 2011 Information is the failure to timely disclose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market the contributions made to the political party Fuerza 2011. As noted, in the Charges Letter the SMV defines the ‘2011 Information’ as: ‘Credicorp had made cash contributions totaling US$ 3.65 million to the political party Fuerza 2011 for the 2011 presidential campaign.’ According to the Charges Letter, the conduct attributed is the failure to disclose such information when the contributions to Fuerza 2011 were made (…)”.</w:t>
      </w:r>
    </w:p>
    <w:p>
      <w:pPr>
        <w:spacing w:after="0" w:line="159" w:lineRule="exact"/>
        <w:rPr>
          <w:sz w:val="20"/>
          <w:szCs w:val="20"/>
          <w:color w:val="auto"/>
        </w:rPr>
      </w:pPr>
    </w:p>
    <w:p>
      <w:pPr>
        <w:jc w:val="both"/>
        <w:ind w:left="583"/>
        <w:spacing w:after="0" w:line="271" w:lineRule="auto"/>
        <w:rPr>
          <w:sz w:val="20"/>
          <w:szCs w:val="20"/>
          <w:color w:val="auto"/>
        </w:rPr>
      </w:pPr>
      <w:r>
        <w:rPr>
          <w:rFonts w:ascii="Times New Roman" w:cs="Times New Roman" w:eastAsia="Times New Roman" w:hAnsi="Times New Roman"/>
          <w:sz w:val="16"/>
          <w:szCs w:val="16"/>
          <w:color w:val="auto"/>
        </w:rPr>
        <w:t xml:space="preserve">Accordingly, the Issuer argues that: </w:t>
      </w:r>
      <w:r>
        <w:rPr>
          <w:rFonts w:ascii="Times New Roman" w:cs="Times New Roman" w:eastAsia="Times New Roman" w:hAnsi="Times New Roman"/>
          <w:sz w:val="16"/>
          <w:szCs w:val="16"/>
          <w:i w:val="1"/>
          <w:iCs w:val="1"/>
          <w:color w:val="auto"/>
        </w:rPr>
        <w:t>“Although the SMV imputes a different infraction from that of ‘failing to disclose material events that have significant impact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market,’ typified in numerals 2.14 of Annex I of the Sanctions Regulation in force in 2011 and Annex I of the Sanctions Regulation in force in 2016, the conduct attributed corresponds solely and exclusively to this infraction type.”</w:t>
      </w:r>
    </w:p>
    <w:p>
      <w:pPr>
        <w:spacing w:after="0" w:line="154" w:lineRule="exact"/>
        <w:rPr>
          <w:sz w:val="20"/>
          <w:szCs w:val="20"/>
          <w:color w:val="auto"/>
        </w:rPr>
      </w:pPr>
    </w:p>
    <w:p>
      <w:pPr>
        <w:jc w:val="both"/>
        <w:ind w:left="583"/>
        <w:spacing w:after="0" w:line="209" w:lineRule="exact"/>
        <w:rPr>
          <w:sz w:val="20"/>
          <w:szCs w:val="20"/>
          <w:color w:val="auto"/>
        </w:rPr>
      </w:pPr>
      <w:r>
        <w:rPr>
          <w:rFonts w:ascii="Times New Roman" w:cs="Times New Roman" w:eastAsia="Times New Roman" w:hAnsi="Times New Roman"/>
          <w:sz w:val="16"/>
          <w:szCs w:val="16"/>
          <w:color w:val="auto"/>
        </w:rPr>
        <w:t xml:space="preserve">To support the argument on prescription, the Issuer states that: </w:t>
      </w:r>
      <w:r>
        <w:rPr>
          <w:rFonts w:ascii="Times New Roman" w:cs="Times New Roman" w:eastAsia="Times New Roman" w:hAnsi="Times New Roman"/>
          <w:sz w:val="16"/>
          <w:szCs w:val="16"/>
          <w:i w:val="1"/>
          <w:iCs w:val="1"/>
          <w:color w:val="auto"/>
        </w:rPr>
        <w:t>“According to Article 7 of the Regulation on Material Events in force in 2011, material events had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be disclosed as soon as possible, and no later than the business day following the date on which the agreement was adopted or the event occurred. Consequently, if an infraction had been committed, it would have occurred within twenty</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four (24) hours after the decision was made or the event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107950</wp:posOffset>
            </wp:positionV>
            <wp:extent cx="6868795" cy="400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68795" cy="400685"/>
                    </a:xfrm>
                    <a:prstGeom prst="rect">
                      <a:avLst/>
                    </a:prstGeom>
                    <a:noFill/>
                  </pic:spPr>
                </pic:pic>
              </a:graphicData>
            </a:graphic>
          </wp:anchor>
        </w:drawing>
      </w:r>
    </w:p>
    <w:p>
      <w:pPr>
        <w:spacing w:after="0" w:line="156" w:lineRule="exact"/>
        <w:rPr>
          <w:sz w:val="20"/>
          <w:szCs w:val="20"/>
          <w:color w:val="auto"/>
        </w:rPr>
      </w:pPr>
    </w:p>
    <w:p>
      <w:pPr>
        <w:jc w:val="both"/>
        <w:ind w:left="543" w:right="100"/>
        <w:spacing w:after="0" w:line="246" w:lineRule="exact"/>
        <w:rPr>
          <w:sz w:val="20"/>
          <w:szCs w:val="20"/>
          <w:color w:val="auto"/>
        </w:rPr>
      </w:pPr>
      <w:r>
        <w:rPr>
          <w:rFonts w:ascii="Times New Roman" w:cs="Times New Roman" w:eastAsia="Times New Roman" w:hAnsi="Times New Roman"/>
          <w:sz w:val="16"/>
          <w:szCs w:val="16"/>
          <w:color w:val="auto"/>
        </w:rPr>
        <w:t xml:space="preserve">Similarly, the Issuer states that: </w:t>
      </w:r>
      <w:r>
        <w:rPr>
          <w:rFonts w:ascii="Times New Roman" w:cs="Times New Roman" w:eastAsia="Times New Roman" w:hAnsi="Times New Roman"/>
          <w:sz w:val="16"/>
          <w:szCs w:val="16"/>
          <w:i w:val="1"/>
          <w:iCs w:val="1"/>
          <w:color w:val="auto"/>
        </w:rPr>
        <w:t>“Considering that the final withdrawal of funds delivered to Mr. Dionisio Romero Paoletti occurred on May 23, 2011, the deadline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to disclose such information would have been May 24, 2011. </w:t>
      </w:r>
      <w:r>
        <w:rPr>
          <w:rFonts w:ascii="Times New Roman" w:cs="Times New Roman" w:eastAsia="Times New Roman" w:hAnsi="Times New Roman"/>
          <w:sz w:val="16"/>
          <w:szCs w:val="16"/>
          <w:i w:val="1"/>
          <w:iCs w:val="1"/>
          <w:u w:val="single" w:color="auto"/>
          <w:color w:val="auto"/>
        </w:rPr>
        <w:t>Therefore, assuming —though denied— that such information should have been disclosed 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material event, the alleged non</w:t>
      </w:r>
      <w:r>
        <w:rPr>
          <w:rFonts w:ascii="MS PGothic" w:cs="MS PGothic" w:eastAsia="MS PGothic" w:hAnsi="MS PGothic"/>
          <w:sz w:val="16"/>
          <w:szCs w:val="16"/>
          <w:i w:val="1"/>
          <w:iCs w:val="1"/>
          <w:u w:val="single" w:color="auto"/>
          <w:color w:val="auto"/>
        </w:rPr>
        <w:t>‑</w:t>
      </w:r>
      <w:r>
        <w:rPr>
          <w:rFonts w:ascii="Times New Roman" w:cs="Times New Roman" w:eastAsia="Times New Roman" w:hAnsi="Times New Roman"/>
          <w:sz w:val="16"/>
          <w:szCs w:val="16"/>
          <w:i w:val="1"/>
          <w:iCs w:val="1"/>
          <w:u w:val="single" w:color="auto"/>
          <w:color w:val="auto"/>
        </w:rPr>
        <w:t>compliance would have occurred on May 24, 2011</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178816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129" w:lineRule="exact"/>
        <w:rPr>
          <w:sz w:val="20"/>
          <w:szCs w:val="20"/>
          <w:color w:val="auto"/>
        </w:rPr>
      </w:pPr>
    </w:p>
    <w:p>
      <w:pPr>
        <w:ind w:left="183" w:hanging="183"/>
        <w:spacing w:after="0"/>
        <w:tabs>
          <w:tab w:leader="none" w:pos="183"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underlining and box highlight are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33" w:name="page34"/>
    <w:bookmarkEnd w:id="33"/>
    <w:p>
      <w:pPr>
        <w:jc w:val="both"/>
        <w:ind w:left="583"/>
        <w:spacing w:after="0" w:line="265" w:lineRule="auto"/>
        <w:rPr>
          <w:sz w:val="20"/>
          <w:szCs w:val="20"/>
          <w:color w:val="auto"/>
        </w:rPr>
      </w:pPr>
      <w:r>
        <w:rPr>
          <w:rFonts w:ascii="Times New Roman" w:cs="Times New Roman" w:eastAsia="Times New Roman" w:hAnsi="Times New Roman"/>
          <w:sz w:val="16"/>
          <w:szCs w:val="16"/>
          <w:color w:val="auto"/>
        </w:rPr>
        <w:t xml:space="preserve">Therefore, despite the fact that the Charges Letter did not invoke item 2.14, numeral 2 of Annex I of the Sanctions Regulation, the Issuer argues that: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infraction consisting of ‘failing to disclose material events that have significant impact on the market,’ typified in numeral 2.14 of Annex I of the Sanctions Regulation in force in 2011, is configured instantaneously upon failure to comply with the obligation to disclose material events within the deadline established in the Regulation on Material Events in force in 2011. </w:t>
      </w:r>
      <w:r>
        <w:rPr>
          <w:rFonts w:ascii="Times New Roman" w:cs="Times New Roman" w:eastAsia="Times New Roman" w:hAnsi="Times New Roman"/>
          <w:sz w:val="16"/>
          <w:szCs w:val="16"/>
          <w:i w:val="1"/>
          <w:iCs w:val="1"/>
          <w:u w:val="single" w:color="auto"/>
          <w:color w:val="auto"/>
        </w:rPr>
        <w:t>The ‘failure to disclose a material event’ is an instantaneous infraction both due to its nature and according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the classification determined by the SMV</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26"/>
          <w:szCs w:val="26"/>
          <w:i w:val="1"/>
          <w:iCs w:val="1"/>
          <w:color w:val="auto"/>
          <w:vertAlign w:val="superscript"/>
        </w:rPr>
        <w:t>28</w:t>
      </w:r>
    </w:p>
    <w:p>
      <w:pPr>
        <w:spacing w:after="0" w:line="23" w:lineRule="exact"/>
        <w:rPr>
          <w:sz w:val="20"/>
          <w:szCs w:val="20"/>
          <w:color w:val="auto"/>
        </w:rPr>
      </w:pPr>
    </w:p>
    <w:p>
      <w:pPr>
        <w:jc w:val="both"/>
        <w:ind w:left="583"/>
        <w:spacing w:after="0" w:line="268" w:lineRule="auto"/>
        <w:rPr>
          <w:sz w:val="20"/>
          <w:szCs w:val="20"/>
          <w:color w:val="auto"/>
        </w:rPr>
      </w:pPr>
      <w:r>
        <w:rPr>
          <w:rFonts w:ascii="Times New Roman" w:cs="Times New Roman" w:eastAsia="Times New Roman" w:hAnsi="Times New Roman"/>
          <w:sz w:val="16"/>
          <w:szCs w:val="16"/>
          <w:color w:val="auto"/>
        </w:rPr>
        <w:t xml:space="preserve">The Issuer adds: </w:t>
      </w:r>
      <w:r>
        <w:rPr>
          <w:rFonts w:ascii="Times New Roman" w:cs="Times New Roman" w:eastAsia="Times New Roman" w:hAnsi="Times New Roman"/>
          <w:sz w:val="16"/>
          <w:szCs w:val="16"/>
          <w:i w:val="1"/>
          <w:iCs w:val="1"/>
          <w:color w:val="auto"/>
        </w:rPr>
        <w:t>“In an instantaneous infraction, the harm or endangerment of the protected legal interest occurs at a specific moment, at which the infraction 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consummated, without generating an ongoing unlawful situation</w:t>
      </w:r>
      <w:r>
        <w:rPr>
          <w:rFonts w:ascii="Times New Roman" w:cs="Times New Roman" w:eastAsia="Times New Roman" w:hAnsi="Times New Roman"/>
          <w:sz w:val="16"/>
          <w:szCs w:val="16"/>
          <w:i w:val="1"/>
          <w:iCs w:val="1"/>
          <w:color w:val="auto"/>
        </w:rPr>
        <w:t xml:space="preserve">. An ‘instantaneous infraction’ may have lasting effects, but that does not turn it into a ‘permanent infraction.’ </w:t>
      </w:r>
      <w:r>
        <w:rPr>
          <w:rFonts w:ascii="Times New Roman" w:cs="Times New Roman" w:eastAsia="Times New Roman" w:hAnsi="Times New Roman"/>
          <w:sz w:val="16"/>
          <w:szCs w:val="16"/>
          <w:i w:val="1"/>
          <w:iCs w:val="1"/>
          <w:u w:val="single" w:color="auto"/>
          <w:color w:val="auto"/>
        </w:rPr>
        <w:t>The infraction related to the failure to disclose a material event is consummated at the moment the obligation to disclose within the regulatory deadline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is breached</w:t>
      </w:r>
      <w:r>
        <w:rPr>
          <w:rFonts w:ascii="Times New Roman" w:cs="Times New Roman" w:eastAsia="Times New Roman" w:hAnsi="Times New Roman"/>
          <w:sz w:val="16"/>
          <w:szCs w:val="16"/>
          <w:i w:val="1"/>
          <w:iCs w:val="1"/>
          <w:color w:val="auto"/>
        </w:rPr>
        <w:t xml:space="preserve">, regardless of whether the effects persist over time. </w:t>
      </w:r>
      <w:r>
        <w:rPr>
          <w:rFonts w:ascii="Times New Roman" w:cs="Times New Roman" w:eastAsia="Times New Roman" w:hAnsi="Times New Roman"/>
          <w:sz w:val="16"/>
          <w:szCs w:val="16"/>
          <w:i w:val="1"/>
          <w:iCs w:val="1"/>
          <w:u w:val="single" w:color="auto"/>
          <w:color w:val="auto"/>
        </w:rPr>
        <w:t>Therefore, such infraction is instantaneous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26"/>
          <w:szCs w:val="26"/>
          <w:i w:val="1"/>
          <w:iCs w:val="1"/>
          <w:color w:val="auto"/>
          <w:vertAlign w:val="superscript"/>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25400</wp:posOffset>
            </wp:positionV>
            <wp:extent cx="6868795" cy="524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68795" cy="52451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-490855</wp:posOffset>
            </wp:positionV>
            <wp:extent cx="60998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99810" cy="7620"/>
                    </a:xfrm>
                    <a:prstGeom prst="rect">
                      <a:avLst/>
                    </a:prstGeom>
                    <a:noFill/>
                  </pic:spPr>
                </pic:pic>
              </a:graphicData>
            </a:graphic>
          </wp:anchor>
        </w:drawing>
      </w:r>
    </w:p>
    <w:p>
      <w:pPr>
        <w:spacing w:after="0" w:line="25" w:lineRule="exact"/>
        <w:rPr>
          <w:sz w:val="20"/>
          <w:szCs w:val="20"/>
          <w:color w:val="auto"/>
        </w:rPr>
      </w:pPr>
    </w:p>
    <w:p>
      <w:pPr>
        <w:jc w:val="both"/>
        <w:ind w:left="543" w:right="100"/>
        <w:spacing w:after="0" w:line="233" w:lineRule="exact"/>
        <w:rPr>
          <w:sz w:val="20"/>
          <w:szCs w:val="20"/>
          <w:color w:val="auto"/>
        </w:rPr>
      </w:pPr>
      <w:r>
        <w:rPr>
          <w:rFonts w:ascii="Times New Roman" w:cs="Times New Roman" w:eastAsia="Times New Roman" w:hAnsi="Times New Roman"/>
          <w:sz w:val="16"/>
          <w:szCs w:val="16"/>
          <w:color w:val="auto"/>
        </w:rPr>
        <w:t xml:space="preserve">The Issuer further adds that “the instantaneous nature of such infraction has been acknowledged in the </w:t>
      </w:r>
      <w:r>
        <w:rPr>
          <w:rFonts w:ascii="Times New Roman" w:cs="Times New Roman" w:eastAsia="Times New Roman" w:hAnsi="Times New Roman"/>
          <w:sz w:val="16"/>
          <w:szCs w:val="16"/>
          <w:i w:val="1"/>
          <w:iCs w:val="1"/>
          <w:color w:val="auto"/>
        </w:rPr>
        <w:t>“Criteria applicable to administrative sanctioning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proceedings for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compliance with regulations governing the submission of periodic or event</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 xml:space="preserve">based information,” (…) In those criteria, the SMV noted that:“The criterion of continuity in the commission of the infraction is not applicable to this type of infraction, since </w:t>
      </w:r>
      <w:r>
        <w:rPr>
          <w:rFonts w:ascii="Times New Roman" w:cs="Times New Roman" w:eastAsia="Times New Roman" w:hAnsi="Times New Roman"/>
          <w:sz w:val="16"/>
          <w:szCs w:val="16"/>
          <w:i w:val="1"/>
          <w:iCs w:val="1"/>
          <w:u w:val="single" w:color="auto"/>
          <w:color w:val="auto"/>
        </w:rPr>
        <w:t>the failure to timely submit periodic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event</w:t>
      </w:r>
      <w:r>
        <w:rPr>
          <w:rFonts w:ascii="MS PGothic" w:cs="MS PGothic" w:eastAsia="MS PGothic" w:hAnsi="MS PGothic"/>
          <w:sz w:val="16"/>
          <w:szCs w:val="16"/>
          <w:i w:val="1"/>
          <w:iCs w:val="1"/>
          <w:u w:val="single" w:color="auto"/>
          <w:color w:val="auto"/>
        </w:rPr>
        <w:t>‑</w:t>
      </w:r>
      <w:r>
        <w:rPr>
          <w:rFonts w:ascii="Times New Roman" w:cs="Times New Roman" w:eastAsia="Times New Roman" w:hAnsi="Times New Roman"/>
          <w:sz w:val="16"/>
          <w:szCs w:val="16"/>
          <w:i w:val="1"/>
          <w:iCs w:val="1"/>
          <w:u w:val="single" w:color="auto"/>
          <w:color w:val="auto"/>
        </w:rPr>
        <w:t>based information constitutes an instantaneous administrative infraction</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30</w:t>
      </w:r>
    </w:p>
    <w:p>
      <w:pPr>
        <w:spacing w:after="0" w:line="67" w:lineRule="exact"/>
        <w:rPr>
          <w:sz w:val="20"/>
          <w:szCs w:val="20"/>
          <w:color w:val="auto"/>
        </w:rPr>
      </w:pPr>
    </w:p>
    <w:p>
      <w:pPr>
        <w:jc w:val="both"/>
        <w:ind w:left="583" w:right="20"/>
        <w:spacing w:after="0" w:line="290" w:lineRule="auto"/>
        <w:rPr>
          <w:sz w:val="20"/>
          <w:szCs w:val="20"/>
          <w:color w:val="auto"/>
        </w:rPr>
      </w:pPr>
      <w:r>
        <w:rPr>
          <w:rFonts w:ascii="Times New Roman" w:cs="Times New Roman" w:eastAsia="Times New Roman" w:hAnsi="Times New Roman"/>
          <w:sz w:val="16"/>
          <w:szCs w:val="16"/>
          <w:color w:val="auto"/>
        </w:rPr>
        <w:t xml:space="preserve">The Issuer also states that: </w:t>
      </w:r>
      <w:r>
        <w:rPr>
          <w:rFonts w:ascii="Times New Roman" w:cs="Times New Roman" w:eastAsia="Times New Roman" w:hAnsi="Times New Roman"/>
          <w:sz w:val="16"/>
          <w:szCs w:val="16"/>
          <w:i w:val="1"/>
          <w:iCs w:val="1"/>
          <w:color w:val="auto"/>
        </w:rPr>
        <w:t>“According to Article 28 of the New Sanctions Regulation, the untimely submission of material events cannot be remedied for purposes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subsection (f) of Article 27 of said Regulation. This provision is consistent with the instantaneous nature of the infraction.”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99695</wp:posOffset>
            </wp:positionV>
            <wp:extent cx="6868795" cy="277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68795" cy="277495"/>
                    </a:xfrm>
                    <a:prstGeom prst="rect">
                      <a:avLst/>
                    </a:prstGeom>
                    <a:noFill/>
                  </pic:spPr>
                </pic:pic>
              </a:graphicData>
            </a:graphic>
          </wp:anchor>
        </w:drawing>
      </w:r>
    </w:p>
    <w:p>
      <w:pPr>
        <w:spacing w:after="0" w:line="142" w:lineRule="exact"/>
        <w:rPr>
          <w:sz w:val="20"/>
          <w:szCs w:val="20"/>
          <w:color w:val="auto"/>
        </w:rPr>
      </w:pPr>
    </w:p>
    <w:p>
      <w:pPr>
        <w:ind w:left="543" w:right="100"/>
        <w:spacing w:after="0" w:line="290" w:lineRule="auto"/>
        <w:rPr>
          <w:sz w:val="20"/>
          <w:szCs w:val="20"/>
          <w:color w:val="auto"/>
        </w:rPr>
      </w:pPr>
      <w:r>
        <w:rPr>
          <w:rFonts w:ascii="Times New Roman" w:cs="Times New Roman" w:eastAsia="Times New Roman" w:hAnsi="Times New Roman"/>
          <w:sz w:val="16"/>
          <w:szCs w:val="16"/>
          <w:color w:val="auto"/>
        </w:rPr>
        <w:t xml:space="preserve">The Issuer concludes that: </w:t>
      </w:r>
      <w:r>
        <w:rPr>
          <w:rFonts w:ascii="Times New Roman" w:cs="Times New Roman" w:eastAsia="Times New Roman" w:hAnsi="Times New Roman"/>
          <w:sz w:val="16"/>
          <w:szCs w:val="16"/>
          <w:i w:val="1"/>
          <w:iCs w:val="1"/>
          <w:color w:val="auto"/>
        </w:rPr>
        <w:t>“In the hypothetical and denied case that an administrative infraction had been committed, it would not be permanent, but rather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instantaneous.”</w:t>
      </w:r>
    </w:p>
    <w:p>
      <w:pPr>
        <w:spacing w:after="0" w:line="162" w:lineRule="exact"/>
        <w:rPr>
          <w:sz w:val="20"/>
          <w:szCs w:val="20"/>
          <w:color w:val="auto"/>
        </w:rPr>
      </w:pPr>
    </w:p>
    <w:p>
      <w:pPr>
        <w:jc w:val="both"/>
        <w:ind w:left="583" w:right="20"/>
        <w:spacing w:after="0" w:line="265" w:lineRule="auto"/>
        <w:rPr>
          <w:sz w:val="20"/>
          <w:szCs w:val="20"/>
          <w:color w:val="auto"/>
        </w:rPr>
      </w:pPr>
      <w:r>
        <w:rPr>
          <w:rFonts w:ascii="Times New Roman" w:cs="Times New Roman" w:eastAsia="Times New Roman" w:hAnsi="Times New Roman"/>
          <w:sz w:val="16"/>
          <w:szCs w:val="16"/>
          <w:color w:val="auto"/>
        </w:rPr>
        <w:t xml:space="preserve">It adds that: </w:t>
      </w:r>
      <w:r>
        <w:rPr>
          <w:rFonts w:ascii="Times New Roman" w:cs="Times New Roman" w:eastAsia="Times New Roman" w:hAnsi="Times New Roman"/>
          <w:sz w:val="16"/>
          <w:szCs w:val="16"/>
          <w:i w:val="1"/>
          <w:iCs w:val="1"/>
          <w:color w:val="auto"/>
        </w:rPr>
        <w:t>“According to numeral 252.2 of the LPAG, the computation of the prescription period for determining the existence of infractions begins on the day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infraction was committed in the case of instantaneous infractions. Accordingly, the prescription period in the case of the 2011 Contributions would have begun on May 24, 2011. As the applicable prescription period is four (4) years, </w:t>
      </w:r>
      <w:r>
        <w:rPr>
          <w:rFonts w:ascii="Times New Roman" w:cs="Times New Roman" w:eastAsia="Times New Roman" w:hAnsi="Times New Roman"/>
          <w:sz w:val="16"/>
          <w:szCs w:val="16"/>
          <w:i w:val="1"/>
          <w:iCs w:val="1"/>
          <w:u w:val="single" w:color="auto"/>
          <w:color w:val="auto"/>
        </w:rPr>
        <w:t>the authority’s power to determine the existence of the infraction of failing to disclose the 2011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Contributions expired on May 24, 2015.”</w:t>
      </w:r>
    </w:p>
    <w:p>
      <w:pPr>
        <w:spacing w:after="0" w:line="159" w:lineRule="exact"/>
        <w:rPr>
          <w:sz w:val="20"/>
          <w:szCs w:val="20"/>
          <w:color w:val="auto"/>
        </w:rPr>
      </w:pPr>
    </w:p>
    <w:p>
      <w:pPr>
        <w:jc w:val="both"/>
        <w:ind w:left="583" w:right="20"/>
        <w:spacing w:after="0" w:line="290" w:lineRule="auto"/>
        <w:rPr>
          <w:sz w:val="20"/>
          <w:szCs w:val="20"/>
          <w:color w:val="auto"/>
        </w:rPr>
      </w:pPr>
      <w:r>
        <w:rPr>
          <w:rFonts w:ascii="Times New Roman" w:cs="Times New Roman" w:eastAsia="Times New Roman" w:hAnsi="Times New Roman"/>
          <w:sz w:val="16"/>
          <w:szCs w:val="16"/>
          <w:color w:val="auto"/>
        </w:rPr>
        <w:t xml:space="preserve">Finally, the Issuer states that: </w:t>
      </w:r>
      <w:r>
        <w:rPr>
          <w:rFonts w:ascii="Times New Roman" w:cs="Times New Roman" w:eastAsia="Times New Roman" w:hAnsi="Times New Roman"/>
          <w:sz w:val="16"/>
          <w:szCs w:val="16"/>
          <w:i w:val="1"/>
          <w:iCs w:val="1"/>
          <w:color w:val="auto"/>
        </w:rPr>
        <w:t>“In accordance with the applicable regulations, we respectfully request that the investigating authority order the definitive closure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sanctioning proceeding with respect to the First Charge concerning the 2011 Information, pursuant to Article 42 of the New Sanctions Regulation.”</w:t>
      </w:r>
    </w:p>
    <w:p>
      <w:pPr>
        <w:spacing w:after="0" w:line="138"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b w:val="1"/>
          <w:bCs w:val="1"/>
          <w:color w:val="auto"/>
        </w:rPr>
        <w:t>7.2. THE 2011 INFORMATION IS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195580</wp:posOffset>
            </wp:positionV>
            <wp:extent cx="178816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68" w:lineRule="exact"/>
        <w:rPr>
          <w:sz w:val="20"/>
          <w:szCs w:val="20"/>
          <w:color w:val="auto"/>
        </w:rPr>
      </w:pPr>
    </w:p>
    <w:p>
      <w:pPr>
        <w:ind w:left="183" w:hanging="183"/>
        <w:spacing w:after="0"/>
        <w:tabs>
          <w:tab w:leader="none" w:pos="183" w:val="left"/>
        </w:tabs>
        <w:numPr>
          <w:ilvl w:val="0"/>
          <w:numId w:val="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underlining is an addition.</w:t>
      </w:r>
    </w:p>
    <w:p>
      <w:pPr>
        <w:spacing w:after="0" w:line="2" w:lineRule="exact"/>
        <w:rPr>
          <w:rFonts w:ascii="Times New Roman" w:cs="Times New Roman" w:eastAsia="Times New Roman" w:hAnsi="Times New Roman"/>
          <w:sz w:val="27"/>
          <w:szCs w:val="27"/>
          <w:color w:val="auto"/>
          <w:vertAlign w:val="superscript"/>
        </w:rPr>
      </w:pPr>
    </w:p>
    <w:p>
      <w:pPr>
        <w:ind w:left="183" w:hanging="183"/>
        <w:spacing w:after="0" w:line="182" w:lineRule="auto"/>
        <w:tabs>
          <w:tab w:leader="none" w:pos="183" w:val="left"/>
        </w:tabs>
        <w:numPr>
          <w:ilvl w:val="0"/>
          <w:numId w:val="6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underlining is an addition.</w:t>
      </w:r>
    </w:p>
    <w:p>
      <w:pPr>
        <w:spacing w:after="0" w:line="2" w:lineRule="exact"/>
        <w:rPr>
          <w:rFonts w:ascii="Times New Roman" w:cs="Times New Roman" w:eastAsia="Times New Roman" w:hAnsi="Times New Roman"/>
          <w:sz w:val="22"/>
          <w:szCs w:val="22"/>
          <w:color w:val="auto"/>
          <w:vertAlign w:val="superscript"/>
        </w:rPr>
      </w:pPr>
    </w:p>
    <w:p>
      <w:pPr>
        <w:ind w:left="183" w:hanging="183"/>
        <w:spacing w:after="0" w:line="182" w:lineRule="auto"/>
        <w:tabs>
          <w:tab w:leader="none" w:pos="183" w:val="left"/>
        </w:tabs>
        <w:numPr>
          <w:ilvl w:val="0"/>
          <w:numId w:val="6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underlining and box highlight are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6"/>
          <w:szCs w:val="16"/>
          <w:b w:val="1"/>
          <w:bCs w:val="1"/>
          <w:color w:val="auto"/>
        </w:rPr>
        <w:t>7.2.1. MATERIALITY IS THE BASIC REQUIREMENT FOR THE DISCLOSURE OBLIGATION</w:t>
      </w:r>
    </w:p>
    <w:p>
      <w:pPr>
        <w:spacing w:after="0" w:line="204" w:lineRule="exact"/>
        <w:rPr>
          <w:sz w:val="20"/>
          <w:szCs w:val="20"/>
          <w:color w:val="auto"/>
        </w:rPr>
      </w:pPr>
    </w:p>
    <w:p>
      <w:pPr>
        <w:jc w:val="both"/>
        <w:ind w:left="40"/>
        <w:spacing w:after="0" w:line="259" w:lineRule="auto"/>
        <w:rPr>
          <w:sz w:val="20"/>
          <w:szCs w:val="20"/>
          <w:color w:val="auto"/>
        </w:rPr>
      </w:pPr>
      <w:r>
        <w:rPr>
          <w:rFonts w:ascii="Times New Roman" w:cs="Times New Roman" w:eastAsia="Times New Roman" w:hAnsi="Times New Roman"/>
          <w:sz w:val="16"/>
          <w:szCs w:val="16"/>
          <w:color w:val="auto"/>
        </w:rPr>
        <w:t xml:space="preserve">Regarding the argument on materiality, the Issuer states: </w:t>
      </w:r>
      <w:r>
        <w:rPr>
          <w:rFonts w:ascii="Times New Roman" w:cs="Times New Roman" w:eastAsia="Times New Roman" w:hAnsi="Times New Roman"/>
          <w:sz w:val="16"/>
          <w:szCs w:val="16"/>
          <w:i w:val="1"/>
          <w:iCs w:val="1"/>
          <w:color w:val="auto"/>
        </w:rPr>
        <w:t>“As is known, the basic requirement for an issuer to be obligated to disclose a material event is that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information be material in nature</w:t>
      </w:r>
      <w:r>
        <w:rPr>
          <w:rFonts w:ascii="Times New Roman" w:cs="Times New Roman" w:eastAsia="Times New Roman" w:hAnsi="Times New Roman"/>
          <w:sz w:val="16"/>
          <w:szCs w:val="16"/>
          <w:i w:val="1"/>
          <w:iCs w:val="1"/>
          <w:color w:val="auto"/>
        </w:rPr>
        <w:t xml:space="preserve">. The purpose or intent of securities market regulation is to ensure that investors have access to relevant information in order to make adequately informed investment decisions. </w:t>
      </w:r>
      <w:r>
        <w:rPr>
          <w:rFonts w:ascii="Times New Roman" w:cs="Times New Roman" w:eastAsia="Times New Roman" w:hAnsi="Times New Roman"/>
          <w:sz w:val="16"/>
          <w:szCs w:val="16"/>
          <w:i w:val="1"/>
          <w:iCs w:val="1"/>
          <w:u w:val="single" w:color="auto"/>
          <w:color w:val="auto"/>
        </w:rPr>
        <w:t>Relevance is determined based on the requirement of materiality</w:t>
      </w:r>
      <w:r>
        <w:rPr>
          <w:rFonts w:ascii="Times New Roman" w:cs="Times New Roman" w:eastAsia="Times New Roman" w:hAnsi="Times New Roman"/>
          <w:sz w:val="16"/>
          <w:szCs w:val="16"/>
          <w:i w:val="1"/>
          <w:iCs w:val="1"/>
          <w:color w:val="auto"/>
        </w:rPr>
        <w:t>. Thus, an issuer is not required to disclose all information about itself and the securities it issues, but only that which is material. In this way, with respect to disclosure obligations, the materiality requirement functions as a filter that defines when there is, and when there is not, an obligation to disclose. As Oesterle explains in reference to U.S. federal legislation: ‘Basic doctrine in federal securities law rests on a single word — material. Federal securities statutes, antifraud regulations, and disclosure requirements include that term as an essential qualifier and identifier. Facts or information must be material before a legal obligation to disclose arises.’”</w:t>
      </w:r>
    </w:p>
    <w:p>
      <w:pPr>
        <w:spacing w:after="0" w:line="164" w:lineRule="exact"/>
        <w:rPr>
          <w:sz w:val="20"/>
          <w:szCs w:val="20"/>
          <w:color w:val="auto"/>
        </w:rPr>
      </w:pPr>
    </w:p>
    <w:p>
      <w:pPr>
        <w:jc w:val="both"/>
        <w:ind w:left="40"/>
        <w:spacing w:after="0" w:line="262" w:lineRule="auto"/>
        <w:rPr>
          <w:sz w:val="20"/>
          <w:szCs w:val="20"/>
          <w:color w:val="auto"/>
        </w:rPr>
      </w:pPr>
      <w:r>
        <w:rPr>
          <w:rFonts w:ascii="Times New Roman" w:cs="Times New Roman" w:eastAsia="Times New Roman" w:hAnsi="Times New Roman"/>
          <w:sz w:val="16"/>
          <w:szCs w:val="16"/>
          <w:color w:val="auto"/>
        </w:rPr>
        <w:t xml:space="preserve">In that regard, the Issuer states that: </w:t>
      </w:r>
      <w:r>
        <w:rPr>
          <w:rFonts w:ascii="Times New Roman" w:cs="Times New Roman" w:eastAsia="Times New Roman" w:hAnsi="Times New Roman"/>
          <w:sz w:val="16"/>
          <w:szCs w:val="16"/>
          <w:i w:val="1"/>
          <w:iCs w:val="1"/>
          <w:color w:val="auto"/>
        </w:rPr>
        <w:t>“In Peru, the materiality requirement is established, at the legal level, in Article 28 of the LMV, which obligates issuers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disclose material events regarding themselves or the securities they issue. The law limits the disclosure obligation to material events, also indicating that ‘the importance of an event is measured </w:t>
      </w:r>
      <w:r>
        <w:rPr>
          <w:rFonts w:ascii="Times New Roman" w:cs="Times New Roman" w:eastAsia="Times New Roman" w:hAnsi="Times New Roman"/>
          <w:sz w:val="16"/>
          <w:szCs w:val="16"/>
          <w:i w:val="1"/>
          <w:iCs w:val="1"/>
          <w:u w:val="single" w:color="auto"/>
          <w:color w:val="auto"/>
        </w:rPr>
        <w:t>by the influence it may have on a reasonable investor</w:t>
      </w:r>
      <w:r>
        <w:rPr>
          <w:rFonts w:ascii="Times New Roman" w:cs="Times New Roman" w:eastAsia="Times New Roman" w:hAnsi="Times New Roman"/>
          <w:sz w:val="16"/>
          <w:szCs w:val="16"/>
          <w:i w:val="1"/>
          <w:iCs w:val="1"/>
          <w:color w:val="auto"/>
        </w:rPr>
        <w:t xml:space="preserve"> in deciding whether to invest in the security.’ Consequently, an issuer is not obligated to disclose facts that lack materiality. Moreover, an issuer has the affirmative obligation to ensure that the material events it discloses are indeed material facts and, therefore, to refrain from disclosing facts that are not material.”</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7.2.2. THE LEGAL CONCEPT OF MATERIALITY</w:t>
      </w:r>
    </w:p>
    <w:p>
      <w:pPr>
        <w:spacing w:after="0" w:line="204" w:lineRule="exact"/>
        <w:rPr>
          <w:sz w:val="20"/>
          <w:szCs w:val="20"/>
          <w:color w:val="auto"/>
        </w:rPr>
      </w:pPr>
    </w:p>
    <w:p>
      <w:pPr>
        <w:jc w:val="both"/>
        <w:ind w:left="40"/>
        <w:spacing w:after="0" w:line="271" w:lineRule="auto"/>
        <w:rPr>
          <w:sz w:val="20"/>
          <w:szCs w:val="20"/>
          <w:color w:val="auto"/>
        </w:rPr>
      </w:pPr>
      <w:r>
        <w:rPr>
          <w:rFonts w:ascii="Times New Roman" w:cs="Times New Roman" w:eastAsia="Times New Roman" w:hAnsi="Times New Roman"/>
          <w:sz w:val="16"/>
          <w:szCs w:val="16"/>
          <w:color w:val="auto"/>
        </w:rPr>
        <w:t xml:space="preserve">Regarding this argument, the Issuer explicitly states: </w:t>
      </w:r>
      <w:r>
        <w:rPr>
          <w:rFonts w:ascii="Times New Roman" w:cs="Times New Roman" w:eastAsia="Times New Roman" w:hAnsi="Times New Roman"/>
          <w:sz w:val="16"/>
          <w:szCs w:val="16"/>
          <w:i w:val="1"/>
          <w:iCs w:val="1"/>
          <w:color w:val="auto"/>
        </w:rPr>
        <w:t>“The concept used in modern comparative law to define materiality originates in the decision of the Supreme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Court of the United States in TSC Industries, Inc. v. Northway, Inc. The case concerned whether proxy statements distributed for a shareholders’ meeting had omitted material information. In this regard, the Court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109220</wp:posOffset>
            </wp:positionV>
            <wp:extent cx="6868795" cy="647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68795" cy="647700"/>
                    </a:xfrm>
                    <a:prstGeom prst="rect">
                      <a:avLst/>
                    </a:prstGeom>
                    <a:noFill/>
                  </pic:spPr>
                </pic:pic>
              </a:graphicData>
            </a:graphic>
          </wp:anchor>
        </w:drawing>
      </w:r>
    </w:p>
    <w:p>
      <w:pPr>
        <w:spacing w:after="0" w:line="158"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‘[A]n omitted fact is material if there is a substantial likelihood that a reasonable shareholder would consider it important in deciding how to vote (…). It does not require proof that disclosure of the omitted fact would have caused the reasonable shareholder to change his vote. What the standard does contemplate is a demonstration that, under all the circumstances, </w:t>
      </w:r>
      <w:r>
        <w:rPr>
          <w:rFonts w:ascii="Times New Roman" w:cs="Times New Roman" w:eastAsia="Times New Roman" w:hAnsi="Times New Roman"/>
          <w:sz w:val="16"/>
          <w:szCs w:val="16"/>
          <w:i w:val="1"/>
          <w:iCs w:val="1"/>
          <w:u w:val="single" w:color="auto"/>
          <w:color w:val="auto"/>
        </w:rPr>
        <w:t>the omitted fact would have assumed actual significance in the deliberations of a reasonable shareholder</w:t>
      </w:r>
      <w:r>
        <w:rPr>
          <w:rFonts w:ascii="Times New Roman" w:cs="Times New Roman" w:eastAsia="Times New Roman" w:hAnsi="Times New Roman"/>
          <w:sz w:val="16"/>
          <w:szCs w:val="16"/>
          <w:i w:val="1"/>
          <w:iCs w:val="1"/>
          <w:color w:val="auto"/>
        </w:rPr>
        <w:t xml:space="preserve">. Put another way, there must be a </w:t>
      </w:r>
      <w:r>
        <w:rPr>
          <w:rFonts w:ascii="Times New Roman" w:cs="Times New Roman" w:eastAsia="Times New Roman" w:hAnsi="Times New Roman"/>
          <w:sz w:val="16"/>
          <w:szCs w:val="16"/>
          <w:i w:val="1"/>
          <w:iCs w:val="1"/>
          <w:u w:val="single" w:color="auto"/>
          <w:color w:val="auto"/>
        </w:rPr>
        <w:t>substantial likelihood</w:t>
      </w:r>
      <w:r>
        <w:rPr>
          <w:rFonts w:ascii="Times New Roman" w:cs="Times New Roman" w:eastAsia="Times New Roman" w:hAnsi="Times New Roman"/>
          <w:sz w:val="16"/>
          <w:szCs w:val="16"/>
          <w:i w:val="1"/>
          <w:iCs w:val="1"/>
          <w:color w:val="auto"/>
        </w:rPr>
        <w:t xml:space="preserve"> that the disclosure of the omitted fact would have been viewed by the reasonable investor as having </w:t>
      </w:r>
      <w:r>
        <w:rPr>
          <w:rFonts w:ascii="Times New Roman" w:cs="Times New Roman" w:eastAsia="Times New Roman" w:hAnsi="Times New Roman"/>
          <w:sz w:val="16"/>
          <w:szCs w:val="16"/>
          <w:i w:val="1"/>
          <w:iCs w:val="1"/>
          <w:u w:val="single" w:color="auto"/>
          <w:color w:val="auto"/>
        </w:rPr>
        <w:t>significantly</w:t>
      </w:r>
      <w:r>
        <w:rPr>
          <w:rFonts w:ascii="Times New Roman" w:cs="Times New Roman" w:eastAsia="Times New Roman" w:hAnsi="Times New Roman"/>
          <w:sz w:val="16"/>
          <w:szCs w:val="16"/>
          <w:i w:val="1"/>
          <w:iCs w:val="1"/>
          <w:color w:val="auto"/>
        </w:rPr>
        <w:t xml:space="preserve"> altered the “total mix” of information made available.’”</w:t>
      </w:r>
    </w:p>
    <w:p>
      <w:pPr>
        <w:spacing w:after="0" w:line="185" w:lineRule="exact"/>
        <w:rPr>
          <w:sz w:val="20"/>
          <w:szCs w:val="20"/>
          <w:color w:val="auto"/>
        </w:rPr>
      </w:pPr>
    </w:p>
    <w:p>
      <w:pPr>
        <w:jc w:val="both"/>
        <w:ind w:left="40"/>
        <w:spacing w:after="0" w:line="265" w:lineRule="auto"/>
        <w:rPr>
          <w:sz w:val="20"/>
          <w:szCs w:val="20"/>
          <w:color w:val="auto"/>
        </w:rPr>
      </w:pPr>
      <w:r>
        <w:rPr>
          <w:rFonts w:ascii="Times New Roman" w:cs="Times New Roman" w:eastAsia="Times New Roman" w:hAnsi="Times New Roman"/>
          <w:sz w:val="16"/>
          <w:szCs w:val="16"/>
          <w:color w:val="auto"/>
        </w:rPr>
        <w:t xml:space="preserve">The Issuer then adds: </w:t>
      </w:r>
      <w:r>
        <w:rPr>
          <w:rFonts w:ascii="Times New Roman" w:cs="Times New Roman" w:eastAsia="Times New Roman" w:hAnsi="Times New Roman"/>
          <w:sz w:val="16"/>
          <w:szCs w:val="16"/>
          <w:i w:val="1"/>
          <w:iCs w:val="1"/>
          <w:color w:val="auto"/>
        </w:rPr>
        <w:t>“In Europe, the relevant concept is ‘inside information,’ which triggers issuers’ disclosure obligation under Article 17.1 of the EU Market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Abuse Regulation. This concept is defined under numeral 1 of Article 7 of the Market Abuse Regulation as ‘information of a precise nature which has not been made public, relating directly or indirectly to one or more issuers or to one or more financial instruments, and which, </w:t>
      </w:r>
      <w:r>
        <w:rPr>
          <w:rFonts w:ascii="Times New Roman" w:cs="Times New Roman" w:eastAsia="Times New Roman" w:hAnsi="Times New Roman"/>
          <w:sz w:val="16"/>
          <w:szCs w:val="16"/>
          <w:i w:val="1"/>
          <w:iCs w:val="1"/>
          <w:u w:val="single" w:color="auto"/>
          <w:color w:val="auto"/>
        </w:rPr>
        <w:t>if it were made public, would be likely to have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significant effect on the prices</w:t>
      </w:r>
      <w:r>
        <w:rPr>
          <w:rFonts w:ascii="Times New Roman" w:cs="Times New Roman" w:eastAsia="Times New Roman" w:hAnsi="Times New Roman"/>
          <w:sz w:val="16"/>
          <w:szCs w:val="16"/>
          <w:i w:val="1"/>
          <w:iCs w:val="1"/>
          <w:color w:val="auto"/>
        </w:rPr>
        <w:t xml:space="preserve"> of those financial instruments or on the prices of related derivative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212725</wp:posOffset>
            </wp:positionV>
            <wp:extent cx="714629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700"/>
          </w:cols>
          <w:pgMar w:left="860" w:top="121" w:right="339" w:bottom="1440" w:gutter="0" w:footer="0" w:header="0"/>
        </w:sectPr>
      </w:pPr>
    </w:p>
    <w:bookmarkStart w:id="35" w:name="page36"/>
    <w:bookmarkEnd w:id="35"/>
    <w:p>
      <w:pPr>
        <w:jc w:val="both"/>
        <w:ind w:left="583"/>
        <w:spacing w:after="0" w:line="265" w:lineRule="auto"/>
        <w:rPr>
          <w:sz w:val="20"/>
          <w:szCs w:val="20"/>
          <w:color w:val="auto"/>
        </w:rPr>
      </w:pPr>
      <w:r>
        <w:rPr>
          <w:rFonts w:ascii="Times New Roman" w:cs="Times New Roman" w:eastAsia="Times New Roman" w:hAnsi="Times New Roman"/>
          <w:sz w:val="16"/>
          <w:szCs w:val="16"/>
          <w:color w:val="auto"/>
        </w:rPr>
        <w:t xml:space="preserve">The Issuer further explains: </w:t>
      </w:r>
      <w:r>
        <w:rPr>
          <w:rFonts w:ascii="Times New Roman" w:cs="Times New Roman" w:eastAsia="Times New Roman" w:hAnsi="Times New Roman"/>
          <w:sz w:val="16"/>
          <w:szCs w:val="16"/>
          <w:i w:val="1"/>
          <w:iCs w:val="1"/>
          <w:color w:val="auto"/>
        </w:rPr>
        <w:t>“Numeral 2 of the same Article 7 adds that, ‘for the purposes of paragraph 1, information shall be deemed to be of a precise nature if 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refers to a set of circumstances which exists or may reasonably be expected to come into existence, or to an event which has occurred or may reasonably be expected to occur, where this information is sufficiently specific to enable a conclusion to be drawn as to the possible effect of that set of circumstances or event on the prices of financial instruments or related derivative financial instruments (…)’.”</w:t>
      </w:r>
    </w:p>
    <w:p>
      <w:pPr>
        <w:spacing w:after="0" w:line="159" w:lineRule="exact"/>
        <w:rPr>
          <w:sz w:val="20"/>
          <w:szCs w:val="20"/>
          <w:color w:val="auto"/>
        </w:rPr>
      </w:pPr>
    </w:p>
    <w:p>
      <w:pPr>
        <w:jc w:val="both"/>
        <w:ind w:left="583"/>
        <w:spacing w:after="0" w:line="271" w:lineRule="auto"/>
        <w:rPr>
          <w:sz w:val="20"/>
          <w:szCs w:val="20"/>
          <w:color w:val="auto"/>
        </w:rPr>
      </w:pPr>
      <w:r>
        <w:rPr>
          <w:rFonts w:ascii="Times New Roman" w:cs="Times New Roman" w:eastAsia="Times New Roman" w:hAnsi="Times New Roman"/>
          <w:sz w:val="16"/>
          <w:szCs w:val="16"/>
          <w:color w:val="auto"/>
        </w:rPr>
        <w:t xml:space="preserve">After citing these standards, the Issuer states: </w:t>
      </w:r>
      <w:r>
        <w:rPr>
          <w:rFonts w:ascii="Times New Roman" w:cs="Times New Roman" w:eastAsia="Times New Roman" w:hAnsi="Times New Roman"/>
          <w:sz w:val="16"/>
          <w:szCs w:val="16"/>
          <w:i w:val="1"/>
          <w:iCs w:val="1"/>
          <w:color w:val="auto"/>
        </w:rPr>
        <w:t>“Thus, material information is that which, if disclosed, has the capacity to significantly influence the investment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decisions of a reasonable investor regarding the relevant securities, or, in other words, that has the capacity to significantly influence the price or liquidity of such securities.”</w:t>
      </w:r>
    </w:p>
    <w:p>
      <w:pPr>
        <w:spacing w:after="0" w:line="154" w:lineRule="exact"/>
        <w:rPr>
          <w:sz w:val="20"/>
          <w:szCs w:val="20"/>
          <w:color w:val="auto"/>
        </w:rPr>
      </w:pPr>
    </w:p>
    <w:p>
      <w:pPr>
        <w:jc w:val="both"/>
        <w:ind w:left="583"/>
        <w:spacing w:after="0" w:line="265" w:lineRule="auto"/>
        <w:rPr>
          <w:sz w:val="20"/>
          <w:szCs w:val="20"/>
          <w:color w:val="auto"/>
        </w:rPr>
      </w:pPr>
      <w:r>
        <w:rPr>
          <w:rFonts w:ascii="Times New Roman" w:cs="Times New Roman" w:eastAsia="Times New Roman" w:hAnsi="Times New Roman"/>
          <w:sz w:val="16"/>
          <w:szCs w:val="16"/>
          <w:color w:val="auto"/>
        </w:rPr>
        <w:t xml:space="preserve">The Issuer finally refers to Articles 3 and 4 of the Regulation on Material Events, emphasizing that: </w:t>
      </w:r>
      <w:r>
        <w:rPr>
          <w:rFonts w:ascii="Times New Roman" w:cs="Times New Roman" w:eastAsia="Times New Roman" w:hAnsi="Times New Roman"/>
          <w:sz w:val="16"/>
          <w:szCs w:val="16"/>
          <w:i w:val="1"/>
          <w:iCs w:val="1"/>
          <w:color w:val="auto"/>
        </w:rPr>
        <w:t>“The information must have the capacity to influence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investment decisions of a reasonable investor or the liquidity or price of the security; such influence must be significant. Not every fact or data qualifies as a material event. For a fact or information to constitute a material event, the following must be met: It must have the capacity to influence the investment decisions of a reasonable investor or the liquidity or price of the security. Such influence must be significant.”</w:t>
      </w:r>
    </w:p>
    <w:p>
      <w:pPr>
        <w:spacing w:after="0" w:line="149" w:lineRule="exact"/>
        <w:rPr>
          <w:sz w:val="20"/>
          <w:szCs w:val="20"/>
          <w:color w:val="auto"/>
        </w:rPr>
      </w:pPr>
    </w:p>
    <w:p>
      <w:pPr>
        <w:ind w:left="543"/>
        <w:spacing w:after="0" w:line="184" w:lineRule="exact"/>
        <w:rPr>
          <w:sz w:val="20"/>
          <w:szCs w:val="20"/>
          <w:color w:val="auto"/>
        </w:rPr>
      </w:pPr>
      <w:r>
        <w:rPr>
          <w:rFonts w:ascii="Times New Roman" w:cs="Times New Roman" w:eastAsia="Times New Roman" w:hAnsi="Times New Roman"/>
          <w:sz w:val="16"/>
          <w:szCs w:val="16"/>
          <w:color w:val="auto"/>
        </w:rPr>
        <w:t>The Issuer also states: “</w:t>
      </w:r>
      <w:r>
        <w:rPr>
          <w:rFonts w:ascii="Times New Roman" w:cs="Times New Roman" w:eastAsia="Times New Roman" w:hAnsi="Times New Roman"/>
          <w:sz w:val="16"/>
          <w:szCs w:val="16"/>
          <w:i w:val="1"/>
          <w:iCs w:val="1"/>
          <w:color w:val="auto"/>
        </w:rPr>
        <w:t>The significance of the event is not assessed based on political, media</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related, or similar criteria, but exclusively on its impact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-98425</wp:posOffset>
            </wp:positionV>
            <wp:extent cx="6868795" cy="8940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68795" cy="894080"/>
                    </a:xfrm>
                    <a:prstGeom prst="rect">
                      <a:avLst/>
                    </a:prstGeom>
                    <a:noFill/>
                  </pic:spPr>
                </pic:pic>
              </a:graphicData>
            </a:graphic>
          </wp:anchor>
        </w:drawing>
      </w:r>
    </w:p>
    <w:p>
      <w:pPr>
        <w:spacing w:after="0" w:line="44" w:lineRule="exact"/>
        <w:rPr>
          <w:sz w:val="20"/>
          <w:szCs w:val="20"/>
          <w:color w:val="auto"/>
        </w:rPr>
      </w:pPr>
    </w:p>
    <w:p>
      <w:pPr>
        <w:jc w:val="both"/>
        <w:ind w:left="543" w:right="80"/>
        <w:spacing w:after="0" w:line="271" w:lineRule="auto"/>
        <w:rPr>
          <w:sz w:val="20"/>
          <w:szCs w:val="20"/>
          <w:color w:val="auto"/>
        </w:rPr>
      </w:pPr>
      <w:r>
        <w:rPr>
          <w:rFonts w:ascii="Times New Roman" w:cs="Times New Roman" w:eastAsia="Times New Roman" w:hAnsi="Times New Roman"/>
          <w:sz w:val="16"/>
          <w:szCs w:val="16"/>
          <w:i w:val="1"/>
          <w:iCs w:val="1"/>
          <w:color w:val="auto"/>
        </w:rPr>
        <w:t>issuer’s business: on its operations, assets, results, financial situation, or general business or commercial position; or on its securities or their offering; as well as on the price or trading of its securities</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31</w:t>
      </w:r>
    </w:p>
    <w:p>
      <w:pPr>
        <w:spacing w:after="0" w:line="17" w:lineRule="exact"/>
        <w:rPr>
          <w:sz w:val="20"/>
          <w:szCs w:val="20"/>
          <w:color w:val="auto"/>
        </w:rPr>
      </w:pPr>
    </w:p>
    <w:p>
      <w:pPr>
        <w:jc w:val="both"/>
        <w:ind w:left="543" w:right="100"/>
        <w:spacing w:after="0" w:line="271" w:lineRule="auto"/>
        <w:rPr>
          <w:sz w:val="20"/>
          <w:szCs w:val="20"/>
          <w:color w:val="auto"/>
        </w:rPr>
      </w:pPr>
      <w:r>
        <w:rPr>
          <w:rFonts w:ascii="Times New Roman" w:cs="Times New Roman" w:eastAsia="Times New Roman" w:hAnsi="Times New Roman"/>
          <w:sz w:val="16"/>
          <w:szCs w:val="16"/>
          <w:color w:val="auto"/>
        </w:rPr>
        <w:t xml:space="preserve">The Issuer adds that the Regulation on Material Events contains an illustrative list of events, acts, agreements, and decisions, noting that: </w:t>
      </w:r>
      <w:r>
        <w:rPr>
          <w:rFonts w:ascii="Times New Roman" w:cs="Times New Roman" w:eastAsia="Times New Roman" w:hAnsi="Times New Roman"/>
          <w:sz w:val="16"/>
          <w:szCs w:val="16"/>
          <w:i w:val="1"/>
          <w:iCs w:val="1"/>
          <w:color w:val="auto"/>
        </w:rPr>
        <w:t>“In this list,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political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contributions are not included</w:t>
      </w:r>
      <w:r>
        <w:rPr>
          <w:rFonts w:ascii="Times New Roman" w:cs="Times New Roman" w:eastAsia="Times New Roman" w:hAnsi="Times New Roman"/>
          <w:sz w:val="16"/>
          <w:szCs w:val="16"/>
          <w:i w:val="1"/>
          <w:iCs w:val="1"/>
          <w:color w:val="auto"/>
        </w:rPr>
        <w:t>. Nor does any SMV regulation classify political contributions as material events regardless of their materiality, or establish an obligation to disclose them even if they are not material.”</w:t>
      </w:r>
    </w:p>
    <w:p>
      <w:pPr>
        <w:spacing w:after="0" w:line="178" w:lineRule="exact"/>
        <w:rPr>
          <w:sz w:val="20"/>
          <w:szCs w:val="20"/>
          <w:color w:val="auto"/>
        </w:rPr>
      </w:pPr>
    </w:p>
    <w:p>
      <w:pPr>
        <w:jc w:val="both"/>
        <w:ind w:left="583"/>
        <w:spacing w:after="0" w:line="271" w:lineRule="auto"/>
        <w:rPr>
          <w:sz w:val="20"/>
          <w:szCs w:val="20"/>
          <w:color w:val="auto"/>
        </w:rPr>
      </w:pPr>
      <w:r>
        <w:rPr>
          <w:rFonts w:ascii="Times New Roman" w:cs="Times New Roman" w:eastAsia="Times New Roman" w:hAnsi="Times New Roman"/>
          <w:sz w:val="16"/>
          <w:szCs w:val="16"/>
          <w:color w:val="auto"/>
        </w:rPr>
        <w:t xml:space="preserve">The Issuer concludes this section by stating: </w:t>
      </w:r>
      <w:r>
        <w:rPr>
          <w:rFonts w:ascii="Times New Roman" w:cs="Times New Roman" w:eastAsia="Times New Roman" w:hAnsi="Times New Roman"/>
          <w:sz w:val="16"/>
          <w:szCs w:val="16"/>
          <w:i w:val="1"/>
          <w:iCs w:val="1"/>
          <w:color w:val="auto"/>
        </w:rPr>
        <w:t>“Credicorp was not obligated — indeed, was prohibited by Article 6 of the Regulation on Material Events — from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disclosing the 2011 Information as a material event unless it had first determined that such information was material, in accordance with Articles 3 and 4 of the same Regulation. As explained below, </w:t>
      </w:r>
      <w:r>
        <w:rPr>
          <w:rFonts w:ascii="Times New Roman" w:cs="Times New Roman" w:eastAsia="Times New Roman" w:hAnsi="Times New Roman"/>
          <w:sz w:val="16"/>
          <w:szCs w:val="16"/>
          <w:i w:val="1"/>
          <w:iCs w:val="1"/>
          <w:u w:val="single" w:color="auto"/>
          <w:color w:val="auto"/>
        </w:rPr>
        <w:t>the 2011 Information lacked materiality and therefore should not have been disclosed to the market.”</w:t>
      </w:r>
    </w:p>
    <w:p>
      <w:pPr>
        <w:spacing w:after="0" w:line="154"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b w:val="1"/>
          <w:bCs w:val="1"/>
          <w:color w:val="auto"/>
        </w:rPr>
        <w:t>7.2.3. LACK OF MATERIALITY OF THE 2011 INFORMATION</w:t>
      </w:r>
    </w:p>
    <w:p>
      <w:pPr>
        <w:spacing w:after="0" w:line="206" w:lineRule="exact"/>
        <w:rPr>
          <w:sz w:val="20"/>
          <w:szCs w:val="20"/>
          <w:color w:val="auto"/>
        </w:rPr>
      </w:pPr>
    </w:p>
    <w:p>
      <w:pPr>
        <w:jc w:val="both"/>
        <w:ind w:left="583"/>
        <w:spacing w:after="0" w:line="287" w:lineRule="auto"/>
        <w:rPr>
          <w:sz w:val="20"/>
          <w:szCs w:val="20"/>
          <w:color w:val="auto"/>
        </w:rPr>
      </w:pPr>
      <w:r>
        <w:rPr>
          <w:rFonts w:ascii="Times New Roman" w:cs="Times New Roman" w:eastAsia="Times New Roman" w:hAnsi="Times New Roman"/>
          <w:sz w:val="16"/>
          <w:szCs w:val="16"/>
          <w:color w:val="auto"/>
        </w:rPr>
        <w:t>The Issuer states that, according to the Charges Letter, the SMV considers that THE 2011 INFORMATION — the cash contributions totaling US$ 3.65 million to FUERZA 2011 — met the criteria of materiality, and also asserts that its disclosure in November 2019 constituted “</w:t>
      </w:r>
      <w:r>
        <w:rPr>
          <w:rFonts w:ascii="Times New Roman" w:cs="Times New Roman" w:eastAsia="Times New Roman" w:hAnsi="Times New Roman"/>
          <w:sz w:val="16"/>
          <w:szCs w:val="16"/>
          <w:i w:val="1"/>
          <w:iCs w:val="1"/>
          <w:color w:val="auto"/>
        </w:rPr>
        <w:t>belated disclosure</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left="583"/>
        <w:spacing w:after="0" w:line="290" w:lineRule="auto"/>
        <w:rPr>
          <w:sz w:val="20"/>
          <w:szCs w:val="20"/>
          <w:color w:val="auto"/>
        </w:rPr>
      </w:pPr>
      <w:r>
        <w:rPr>
          <w:rFonts w:ascii="Times New Roman" w:cs="Times New Roman" w:eastAsia="Times New Roman" w:hAnsi="Times New Roman"/>
          <w:sz w:val="16"/>
          <w:szCs w:val="16"/>
          <w:color w:val="auto"/>
        </w:rPr>
        <w:t xml:space="preserve">Regarding this, the Issuer states: </w:t>
      </w:r>
      <w:r>
        <w:rPr>
          <w:rFonts w:ascii="Times New Roman" w:cs="Times New Roman" w:eastAsia="Times New Roman" w:hAnsi="Times New Roman"/>
          <w:sz w:val="16"/>
          <w:szCs w:val="16"/>
          <w:i w:val="1"/>
          <w:iCs w:val="1"/>
          <w:color w:val="auto"/>
        </w:rPr>
        <w:t>“We respectfully disagree with the position stated in the Charges Letter. In our view,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2011 Information did not have materiality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therefore Credicorp had no obligation to disclose it to the market, neither at the time the 2011 Contributions were made nor at any later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178816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02" w:lineRule="exact"/>
        <w:rPr>
          <w:sz w:val="20"/>
          <w:szCs w:val="20"/>
          <w:color w:val="auto"/>
        </w:rPr>
      </w:pPr>
    </w:p>
    <w:p>
      <w:pPr>
        <w:ind w:left="183" w:hanging="183"/>
        <w:spacing w:after="0"/>
        <w:tabs>
          <w:tab w:leader="none" w:pos="183" w:val="left"/>
        </w:tabs>
        <w:numPr>
          <w:ilvl w:val="0"/>
          <w:numId w:val="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box highlight is an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6"/>
          <w:szCs w:val="16"/>
          <w:b w:val="1"/>
          <w:bCs w:val="1"/>
          <w:color w:val="auto"/>
        </w:rPr>
        <w:t>7.2.4. FINANCIAL IMPACT OF THE 2011 CONTRIBUTIONS</w:t>
      </w:r>
    </w:p>
    <w:p>
      <w:pPr>
        <w:spacing w:after="0" w:line="204" w:lineRule="exact"/>
        <w:rPr>
          <w:sz w:val="20"/>
          <w:szCs w:val="20"/>
          <w:color w:val="auto"/>
        </w:rPr>
      </w:pPr>
    </w:p>
    <w:p>
      <w:pPr>
        <w:ind w:left="40"/>
        <w:spacing w:after="0" w:line="290" w:lineRule="auto"/>
        <w:rPr>
          <w:sz w:val="20"/>
          <w:szCs w:val="20"/>
          <w:color w:val="auto"/>
        </w:rPr>
      </w:pPr>
      <w:r>
        <w:rPr>
          <w:rFonts w:ascii="Times New Roman" w:cs="Times New Roman" w:eastAsia="Times New Roman" w:hAnsi="Times New Roman"/>
          <w:sz w:val="16"/>
          <w:szCs w:val="16"/>
          <w:color w:val="auto"/>
        </w:rPr>
        <w:t xml:space="preserve">Regarding this argument, the Issuer notes that the cash contributions to FUERZA 2011 constituted: </w:t>
      </w:r>
      <w:r>
        <w:rPr>
          <w:rFonts w:ascii="Times New Roman" w:cs="Times New Roman" w:eastAsia="Times New Roman" w:hAnsi="Times New Roman"/>
          <w:sz w:val="16"/>
          <w:szCs w:val="16"/>
          <w:i w:val="1"/>
          <w:iCs w:val="1"/>
          <w:color w:val="auto"/>
        </w:rPr>
        <w:t>“contributions or donations to a political party which, from an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economic or financial standpoint, constitute an expense that affects the results of the corresponding fiscal year.”</w:t>
      </w:r>
    </w:p>
    <w:p>
      <w:pPr>
        <w:spacing w:after="0" w:line="138" w:lineRule="exact"/>
        <w:rPr>
          <w:sz w:val="20"/>
          <w:szCs w:val="20"/>
          <w:color w:val="auto"/>
        </w:rPr>
      </w:pPr>
    </w:p>
    <w:p>
      <w:pPr>
        <w:ind w:left="40"/>
        <w:spacing w:after="0" w:line="290" w:lineRule="auto"/>
        <w:rPr>
          <w:sz w:val="20"/>
          <w:szCs w:val="20"/>
          <w:color w:val="auto"/>
        </w:rPr>
      </w:pPr>
      <w:r>
        <w:rPr>
          <w:rFonts w:ascii="Times New Roman" w:cs="Times New Roman" w:eastAsia="Times New Roman" w:hAnsi="Times New Roman"/>
          <w:sz w:val="16"/>
          <w:szCs w:val="16"/>
          <w:color w:val="auto"/>
        </w:rPr>
        <w:t>Based on this, the Issuer argues that the contributions lacked materiality because they were: “</w:t>
      </w:r>
      <w:r>
        <w:rPr>
          <w:rFonts w:ascii="Times New Roman" w:cs="Times New Roman" w:eastAsia="Times New Roman" w:hAnsi="Times New Roman"/>
          <w:sz w:val="16"/>
          <w:szCs w:val="16"/>
          <w:i w:val="1"/>
          <w:iCs w:val="1"/>
          <w:color w:val="auto"/>
        </w:rPr>
        <w:t>an extraordinary expense totaling US$ 3,650,000.00, representing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very small fraction compared to Credicorp’s operations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99695</wp:posOffset>
            </wp:positionV>
            <wp:extent cx="6868795" cy="400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68795" cy="400685"/>
                    </a:xfrm>
                    <a:prstGeom prst="rect">
                      <a:avLst/>
                    </a:prstGeom>
                    <a:noFill/>
                  </pic:spPr>
                </pic:pic>
              </a:graphicData>
            </a:graphic>
          </wp:anchor>
        </w:drawing>
      </w:r>
    </w:p>
    <w:p>
      <w:pPr>
        <w:spacing w:after="0" w:line="142"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6"/>
          <w:szCs w:val="16"/>
          <w:color w:val="auto"/>
        </w:rPr>
        <w:t>The Issuer further states that the amount of such contributions recorded in Credicorp’s 2010 financial statements: “</w:t>
      </w:r>
      <w:r>
        <w:rPr>
          <w:rFonts w:ascii="Times New Roman" w:cs="Times New Roman" w:eastAsia="Times New Roman" w:hAnsi="Times New Roman"/>
          <w:sz w:val="16"/>
          <w:szCs w:val="16"/>
          <w:i w:val="1"/>
          <w:iCs w:val="1"/>
          <w:u w:val="single" w:color="auto"/>
          <w:color w:val="auto"/>
        </w:rPr>
        <w:t>represented only 0.075% of Credicorp’s total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revenues</w:t>
      </w:r>
      <w:r>
        <w:rPr>
          <w:rFonts w:ascii="Times New Roman" w:cs="Times New Roman" w:eastAsia="Times New Roman" w:hAnsi="Times New Roman"/>
          <w:sz w:val="16"/>
          <w:szCs w:val="16"/>
          <w:i w:val="1"/>
          <w:iCs w:val="1"/>
          <w:color w:val="auto"/>
        </w:rPr>
        <w:t xml:space="preserve"> for fiscal year 2010 and </w:t>
      </w:r>
      <w:r>
        <w:rPr>
          <w:rFonts w:ascii="Times New Roman" w:cs="Times New Roman" w:eastAsia="Times New Roman" w:hAnsi="Times New Roman"/>
          <w:sz w:val="16"/>
          <w:szCs w:val="16"/>
          <w:i w:val="1"/>
          <w:iCs w:val="1"/>
          <w:u w:val="single" w:color="auto"/>
          <w:color w:val="auto"/>
        </w:rPr>
        <w:t>0.157% of total expenses for that year</w:t>
      </w:r>
      <w:r>
        <w:rPr>
          <w:rFonts w:ascii="Times New Roman" w:cs="Times New Roman" w:eastAsia="Times New Roman" w:hAnsi="Times New Roman"/>
          <w:sz w:val="16"/>
          <w:szCs w:val="16"/>
          <w:i w:val="1"/>
          <w:iCs w:val="1"/>
          <w:color w:val="auto"/>
        </w:rPr>
        <w:t>. Likewise, the amount of the 2011 Contributions recorded in Credicorp’s 2011 financial statements represented only 0.073% of total revenues for fiscal year 2011 and 0.159% of total expenses for that same fiscal year</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both"/>
        <w:ind w:left="40"/>
        <w:spacing w:after="0" w:line="265" w:lineRule="auto"/>
        <w:rPr>
          <w:sz w:val="20"/>
          <w:szCs w:val="20"/>
          <w:color w:val="auto"/>
        </w:rPr>
      </w:pPr>
      <w:r>
        <w:rPr>
          <w:rFonts w:ascii="Times New Roman" w:cs="Times New Roman" w:eastAsia="Times New Roman" w:hAnsi="Times New Roman"/>
          <w:sz w:val="16"/>
          <w:szCs w:val="16"/>
          <w:color w:val="auto"/>
        </w:rPr>
        <w:t>Finally, the Issuer states: “</w:t>
      </w:r>
      <w:r>
        <w:rPr>
          <w:rFonts w:ascii="Times New Roman" w:cs="Times New Roman" w:eastAsia="Times New Roman" w:hAnsi="Times New Roman"/>
          <w:sz w:val="16"/>
          <w:szCs w:val="16"/>
          <w:i w:val="1"/>
          <w:iCs w:val="1"/>
          <w:color w:val="auto"/>
        </w:rPr>
        <w:t>From a financial standpoint, materiality is generally determined, at least preliminarily,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when the impact of the item in question reaches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5% or more of the issuer’s revenues, expenses, assets, or liabilities, as applicable</w:t>
      </w:r>
      <w:r>
        <w:rPr>
          <w:rFonts w:ascii="Times New Roman" w:cs="Times New Roman" w:eastAsia="Times New Roman" w:hAnsi="Times New Roman"/>
          <w:sz w:val="16"/>
          <w:szCs w:val="16"/>
          <w:i w:val="1"/>
          <w:iCs w:val="1"/>
          <w:color w:val="auto"/>
        </w:rPr>
        <w:t>. In this regard, it is unreasonable to think that information relating to an expense of such small magnitude compared to the volume of our operations, had it been made public, would have had the capacity to significantly influence a reasonable investor’s investment decision regarding Credicorp shares or their liquidity, price, or trading value.</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7.2.5. PROPER ACCOUNTING RECORD OF THE 2011 CONTRIBUTIONS</w:t>
      </w:r>
    </w:p>
    <w:p>
      <w:pPr>
        <w:spacing w:after="0" w:line="204" w:lineRule="exact"/>
        <w:rPr>
          <w:sz w:val="20"/>
          <w:szCs w:val="20"/>
          <w:color w:val="auto"/>
        </w:rPr>
      </w:pPr>
    </w:p>
    <w:p>
      <w:pPr>
        <w:jc w:val="both"/>
        <w:ind w:left="40"/>
        <w:spacing w:after="0" w:line="271" w:lineRule="auto"/>
        <w:rPr>
          <w:sz w:val="20"/>
          <w:szCs w:val="20"/>
          <w:color w:val="auto"/>
        </w:rPr>
      </w:pPr>
      <w:r>
        <w:rPr>
          <w:rFonts w:ascii="Times New Roman" w:cs="Times New Roman" w:eastAsia="Times New Roman" w:hAnsi="Times New Roman"/>
          <w:sz w:val="16"/>
          <w:szCs w:val="16"/>
          <w:color w:val="auto"/>
        </w:rPr>
        <w:t xml:space="preserve">Regarding this argument, the Issuer states that: </w:t>
      </w:r>
      <w:r>
        <w:rPr>
          <w:rFonts w:ascii="Times New Roman" w:cs="Times New Roman" w:eastAsia="Times New Roman" w:hAnsi="Times New Roman"/>
          <w:sz w:val="16"/>
          <w:szCs w:val="16"/>
          <w:i w:val="1"/>
          <w:iCs w:val="1"/>
          <w:color w:val="auto"/>
        </w:rPr>
        <w:t>“…the expense represented by the 2011 Contributions was duly recorded in Credicorp’s accounting records.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Consequently, such expense was reflected in the quarterly and annual results reported by our company both to the New York Stock Exchange and the U.S. Securities and Exchange Commission, as well as in Peru</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109220</wp:posOffset>
            </wp:positionV>
            <wp:extent cx="6868795" cy="277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68795" cy="277495"/>
                    </a:xfrm>
                    <a:prstGeom prst="rect">
                      <a:avLst/>
                    </a:prstGeom>
                    <a:noFill/>
                  </pic:spPr>
                </pic:pic>
              </a:graphicData>
            </a:graphic>
          </wp:anchor>
        </w:drawing>
      </w:r>
    </w:p>
    <w:p>
      <w:pPr>
        <w:spacing w:after="0" w:line="158"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6"/>
          <w:szCs w:val="16"/>
          <w:color w:val="auto"/>
        </w:rPr>
        <w:t>The Issuer further states that: “</w:t>
      </w:r>
      <w:r>
        <w:rPr>
          <w:rFonts w:ascii="Times New Roman" w:cs="Times New Roman" w:eastAsia="Times New Roman" w:hAnsi="Times New Roman"/>
          <w:sz w:val="16"/>
          <w:szCs w:val="16"/>
          <w:i w:val="1"/>
          <w:iCs w:val="1"/>
          <w:color w:val="auto"/>
        </w:rPr>
        <w:t>In this way, the impact of the 2011 Contributions on Credicorp’s results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became known to the market through the disclosure 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corresponding interim and annual Financial Statements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40"/>
        <w:spacing w:after="0" w:line="217" w:lineRule="exact"/>
        <w:rPr>
          <w:sz w:val="20"/>
          <w:szCs w:val="20"/>
          <w:color w:val="auto"/>
        </w:rPr>
      </w:pPr>
      <w:r>
        <w:rPr>
          <w:rFonts w:ascii="Times New Roman" w:cs="Times New Roman" w:eastAsia="Times New Roman" w:hAnsi="Times New Roman"/>
          <w:sz w:val="16"/>
          <w:szCs w:val="16"/>
          <w:color w:val="auto"/>
        </w:rPr>
        <w:t>The Issuer adds that: “</w:t>
      </w:r>
      <w:r>
        <w:rPr>
          <w:rFonts w:ascii="Times New Roman" w:cs="Times New Roman" w:eastAsia="Times New Roman" w:hAnsi="Times New Roman"/>
          <w:sz w:val="16"/>
          <w:szCs w:val="16"/>
          <w:i w:val="1"/>
          <w:iCs w:val="1"/>
          <w:color w:val="auto"/>
        </w:rPr>
        <w:t>Thus, it would be incorrect to consider that there was an omission in disclosing information regarding the 2011 Contributions, or an intention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to conceal it, when such contributions </w:t>
      </w:r>
      <w:r>
        <w:rPr>
          <w:rFonts w:ascii="Times New Roman" w:cs="Times New Roman" w:eastAsia="Times New Roman" w:hAnsi="Times New Roman"/>
          <w:sz w:val="16"/>
          <w:szCs w:val="16"/>
          <w:i w:val="1"/>
          <w:iCs w:val="1"/>
          <w:u w:val="single" w:color="auto"/>
          <w:color w:val="auto"/>
        </w:rPr>
        <w:t>were not only non</w:t>
      </w:r>
      <w:r>
        <w:rPr>
          <w:rFonts w:ascii="MS PGothic" w:cs="MS PGothic" w:eastAsia="MS PGothic" w:hAnsi="MS PGothic"/>
          <w:sz w:val="16"/>
          <w:szCs w:val="16"/>
          <w:i w:val="1"/>
          <w:iCs w:val="1"/>
          <w:u w:val="single" w:color="auto"/>
          <w:color w:val="auto"/>
        </w:rPr>
        <w:t>‑</w:t>
      </w:r>
      <w:r>
        <w:rPr>
          <w:rFonts w:ascii="Times New Roman" w:cs="Times New Roman" w:eastAsia="Times New Roman" w:hAnsi="Times New Roman"/>
          <w:sz w:val="16"/>
          <w:szCs w:val="16"/>
          <w:i w:val="1"/>
          <w:iCs w:val="1"/>
          <w:u w:val="single" w:color="auto"/>
          <w:color w:val="auto"/>
        </w:rPr>
        <w:t>material</w:t>
      </w:r>
      <w:r>
        <w:rPr>
          <w:rFonts w:ascii="Times New Roman" w:cs="Times New Roman" w:eastAsia="Times New Roman" w:hAnsi="Times New Roman"/>
          <w:sz w:val="16"/>
          <w:szCs w:val="16"/>
          <w:i w:val="1"/>
          <w:iCs w:val="1"/>
          <w:color w:val="auto"/>
        </w:rPr>
        <w:t xml:space="preserve"> but were duly </w:t>
      </w:r>
      <w:r>
        <w:rPr>
          <w:rFonts w:ascii="Times New Roman" w:cs="Times New Roman" w:eastAsia="Times New Roman" w:hAnsi="Times New Roman"/>
          <w:sz w:val="16"/>
          <w:szCs w:val="16"/>
          <w:i w:val="1"/>
          <w:iCs w:val="1"/>
          <w:u w:val="single" w:color="auto"/>
          <w:color w:val="auto"/>
        </w:rPr>
        <w:t>recorded in the Financial Statements disclosed</w:t>
      </w:r>
      <w:r>
        <w:rPr>
          <w:rFonts w:ascii="Times New Roman" w:cs="Times New Roman" w:eastAsia="Times New Roman" w:hAnsi="Times New Roman"/>
          <w:sz w:val="16"/>
          <w:szCs w:val="16"/>
          <w:i w:val="1"/>
          <w:iCs w:val="1"/>
          <w:color w:val="auto"/>
        </w:rPr>
        <w:t xml:space="preserve"> in the relevant markets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207645</wp:posOffset>
            </wp:positionV>
            <wp:extent cx="714629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700"/>
          </w:cols>
          <w:pgMar w:left="860" w:top="121" w:right="339"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6"/>
          <w:szCs w:val="16"/>
          <w:b w:val="1"/>
          <w:bCs w:val="1"/>
          <w:color w:val="auto"/>
        </w:rPr>
        <w:t>7.2.6. THE 2011 CONTRIBUTIONS WERE LAWFUL CONTRIBUTIONS</w:t>
      </w:r>
    </w:p>
    <w:p>
      <w:pPr>
        <w:spacing w:after="0" w:line="204" w:lineRule="exact"/>
        <w:rPr>
          <w:sz w:val="20"/>
          <w:szCs w:val="20"/>
          <w:color w:val="auto"/>
        </w:rPr>
      </w:pPr>
    </w:p>
    <w:p>
      <w:pPr>
        <w:jc w:val="both"/>
        <w:ind w:left="40"/>
        <w:spacing w:after="0" w:line="265" w:lineRule="auto"/>
        <w:rPr>
          <w:sz w:val="20"/>
          <w:szCs w:val="20"/>
          <w:color w:val="auto"/>
        </w:rPr>
      </w:pPr>
      <w:r>
        <w:rPr>
          <w:rFonts w:ascii="Times New Roman" w:cs="Times New Roman" w:eastAsia="Times New Roman" w:hAnsi="Times New Roman"/>
          <w:sz w:val="16"/>
          <w:szCs w:val="16"/>
          <w:color w:val="auto"/>
        </w:rPr>
        <w:t>The Issuer states that: “</w:t>
      </w:r>
      <w:r>
        <w:rPr>
          <w:rFonts w:ascii="Times New Roman" w:cs="Times New Roman" w:eastAsia="Times New Roman" w:hAnsi="Times New Roman"/>
          <w:sz w:val="16"/>
          <w:szCs w:val="16"/>
          <w:i w:val="1"/>
          <w:iCs w:val="1"/>
          <w:color w:val="auto"/>
        </w:rPr>
        <w:t>The 2011 Contributions were donations or contributions made to a political organization registered before the electoral authorities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authorized to receive contributions. In this regard, they did not constitute transactions that, by their nature, could have significantly and negatively affected Credicorp, nor is there any additional element to suggest that their execution could have generated any material contingency for Credicorp that could significantly impact the price or liquidity of its shares or the investment decisions of a reasonable investor</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In addition, the Issuer cites legal opinions issued by attorneys </w:t>
      </w:r>
      <w:r>
        <w:rPr>
          <w:rFonts w:ascii="Times New Roman" w:cs="Times New Roman" w:eastAsia="Times New Roman" w:hAnsi="Times New Roman"/>
          <w:sz w:val="16"/>
          <w:szCs w:val="16"/>
          <w:b w:val="1"/>
          <w:bCs w:val="1"/>
          <w:color w:val="auto"/>
        </w:rPr>
        <w:t>Diego Zegarra Valdivia, Juan Luis Avendaño Cisneros, and Luis Vargas Valdivia</w:t>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6"/>
          <w:szCs w:val="16"/>
          <w:color w:val="auto"/>
        </w:rPr>
        <w:t>Attorney Zegarra states that: “</w:t>
      </w:r>
      <w:r>
        <w:rPr>
          <w:rFonts w:ascii="Times New Roman" w:cs="Times New Roman" w:eastAsia="Times New Roman" w:hAnsi="Times New Roman"/>
          <w:sz w:val="16"/>
          <w:szCs w:val="16"/>
          <w:i w:val="1"/>
          <w:iCs w:val="1"/>
          <w:color w:val="auto"/>
        </w:rPr>
        <w:t>The Law on Political Organizations establishes an institutional framework based on a mixed financing model in which political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parties may receive public and private financing, pursuant to Article 9 of said law</w:t>
      </w:r>
      <w:r>
        <w:rPr>
          <w:rFonts w:ascii="Times New Roman" w:cs="Times New Roman" w:eastAsia="Times New Roman" w:hAnsi="Times New Roman"/>
          <w:sz w:val="16"/>
          <w:szCs w:val="16"/>
          <w:color w:val="auto"/>
        </w:rPr>
        <w:t>,”and then adds: “</w:t>
      </w:r>
      <w:r>
        <w:rPr>
          <w:rFonts w:ascii="Times New Roman" w:cs="Times New Roman" w:eastAsia="Times New Roman" w:hAnsi="Times New Roman"/>
          <w:sz w:val="16"/>
          <w:szCs w:val="16"/>
          <w:i w:val="1"/>
          <w:iCs w:val="1"/>
          <w:color w:val="auto"/>
        </w:rPr>
        <w:t>Applying the principle of causality to Article 81 of the Regulation on Financing and Supervision of Party Funds, in conjunction with subsection (c) of Article 36 of the Law on Political Organizations, allows determining that the party responsible for committing the infringing conduct is the political party receiving individual contributions that exceed the maximum limit of 60 UIT</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ind w:left="40" w:right="20"/>
        <w:spacing w:after="0" w:line="268" w:lineRule="auto"/>
        <w:rPr>
          <w:sz w:val="20"/>
          <w:szCs w:val="20"/>
          <w:color w:val="auto"/>
        </w:rPr>
      </w:pPr>
      <w:r>
        <w:rPr>
          <w:rFonts w:ascii="Times New Roman" w:cs="Times New Roman" w:eastAsia="Times New Roman" w:hAnsi="Times New Roman"/>
          <w:sz w:val="16"/>
          <w:szCs w:val="16"/>
          <w:color w:val="auto"/>
        </w:rPr>
        <w:t xml:space="preserve">Attorney Avendaño states that the </w:t>
      </w: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16"/>
          <w:szCs w:val="16"/>
          <w:color w:val="auto"/>
        </w:rPr>
        <w:t xml:space="preserve"> delivery of the </w:t>
      </w:r>
      <w:r>
        <w:rPr>
          <w:rFonts w:ascii="Times New Roman" w:cs="Times New Roman" w:eastAsia="Times New Roman" w:hAnsi="Times New Roman"/>
          <w:sz w:val="16"/>
          <w:szCs w:val="16"/>
          <w:b w:val="1"/>
          <w:bCs w:val="1"/>
          <w:color w:val="auto"/>
        </w:rPr>
        <w:t>2011 Contributions</w:t>
      </w:r>
      <w:r>
        <w:rPr>
          <w:rFonts w:ascii="Times New Roman" w:cs="Times New Roman" w:eastAsia="Times New Roman" w:hAnsi="Times New Roman"/>
          <w:sz w:val="16"/>
          <w:szCs w:val="16"/>
          <w:color w:val="auto"/>
        </w:rPr>
        <w:t xml:space="preserve"> did not constitute a violation of Law No. 28094, stating: “</w:t>
      </w:r>
      <w:r>
        <w:rPr>
          <w:rFonts w:ascii="Times New Roman" w:cs="Times New Roman" w:eastAsia="Times New Roman" w:hAnsi="Times New Roman"/>
          <w:sz w:val="16"/>
          <w:szCs w:val="16"/>
          <w:i w:val="1"/>
          <w:iCs w:val="1"/>
          <w:color w:val="auto"/>
        </w:rPr>
        <w:t>As can be seen, the Law 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not require cash donations to be made using the Means of Payment established in Article 5 of the same Law. Therefore, it must be concluded that the act of gratuitously transferring money, carried out by your Company in 2010 and 2011, did not need to be executed using the Means of Payment referred to in the General Law</w:t>
      </w:r>
      <w:r>
        <w:rPr>
          <w:rFonts w:ascii="Times New Roman" w:cs="Times New Roman" w:eastAsia="Times New Roman" w:hAnsi="Times New Roman"/>
          <w:sz w:val="16"/>
          <w:szCs w:val="16"/>
          <w:color w:val="auto"/>
        </w:rPr>
        <w:t>.”</w:t>
      </w:r>
    </w:p>
    <w:p>
      <w:pPr>
        <w:spacing w:after="0" w:line="355" w:lineRule="exact"/>
        <w:rPr>
          <w:sz w:val="20"/>
          <w:szCs w:val="20"/>
          <w:color w:val="auto"/>
        </w:rPr>
      </w:pPr>
    </w:p>
    <w:p>
      <w:pPr>
        <w:jc w:val="both"/>
        <w:ind w:left="40"/>
        <w:spacing w:after="0" w:line="265" w:lineRule="auto"/>
        <w:rPr>
          <w:sz w:val="20"/>
          <w:szCs w:val="20"/>
          <w:color w:val="auto"/>
        </w:rPr>
      </w:pPr>
      <w:r>
        <w:rPr>
          <w:rFonts w:ascii="Times New Roman" w:cs="Times New Roman" w:eastAsia="Times New Roman" w:hAnsi="Times New Roman"/>
          <w:sz w:val="16"/>
          <w:szCs w:val="16"/>
          <w:color w:val="auto"/>
        </w:rPr>
        <w:t>Finally, the Issuer concludes: “</w:t>
      </w:r>
      <w:r>
        <w:rPr>
          <w:rFonts w:ascii="Times New Roman" w:cs="Times New Roman" w:eastAsia="Times New Roman" w:hAnsi="Times New Roman"/>
          <w:sz w:val="16"/>
          <w:szCs w:val="16"/>
          <w:i w:val="1"/>
          <w:iCs w:val="1"/>
          <w:color w:val="auto"/>
        </w:rPr>
        <w:t>As has been demonstrated, the 2011 Information did not possess materiality. There is no element indicating that its potential impact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on Credicorp’s ‘operations, assets, results, financial situation, or general business or commercial position,’ or ‘on its securities or their offering; or on the price or trading of its securities,’ would have been such that it would significantly influence the price or liquidity of Credicorp’s shares or the investment decisions of a reasonable investor regarding them. Consequently, there was no obligation to disclose such information to the market</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ind w:left="40" w:right="20"/>
        <w:spacing w:after="0" w:line="290" w:lineRule="auto"/>
        <w:rPr>
          <w:sz w:val="20"/>
          <w:szCs w:val="20"/>
          <w:color w:val="auto"/>
        </w:rPr>
      </w:pPr>
      <w:r>
        <w:rPr>
          <w:rFonts w:ascii="Times New Roman" w:cs="Times New Roman" w:eastAsia="Times New Roman" w:hAnsi="Times New Roman"/>
          <w:sz w:val="16"/>
          <w:szCs w:val="16"/>
          <w:color w:val="auto"/>
        </w:rPr>
        <w:t>Based on the legal opinion of attorney Luis Vargas, the Issuer states that:“</w:t>
      </w:r>
      <w:r>
        <w:rPr>
          <w:rFonts w:ascii="Times New Roman" w:cs="Times New Roman" w:eastAsia="Times New Roman" w:hAnsi="Times New Roman"/>
          <w:sz w:val="16"/>
          <w:szCs w:val="16"/>
          <w:i w:val="1"/>
          <w:iCs w:val="1"/>
          <w:color w:val="auto"/>
        </w:rPr>
        <w:t>the information provided to the Public Prosecutor’s Office by Mr. Dionisio Romero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Paoletti did not generate any adverse consequence for Credicorp in relation to the investigations being conducted by that entity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99695</wp:posOffset>
            </wp:positionV>
            <wp:extent cx="6868795" cy="524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68795" cy="524510"/>
                    </a:xfrm>
                    <a:prstGeom prst="rect">
                      <a:avLst/>
                    </a:prstGeom>
                    <a:noFill/>
                  </pic:spPr>
                </pic:pic>
              </a:graphicData>
            </a:graphic>
          </wp:anchor>
        </w:drawing>
      </w:r>
    </w:p>
    <w:p>
      <w:pPr>
        <w:spacing w:after="0" w:line="142"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6"/>
          <w:szCs w:val="16"/>
          <w:color w:val="auto"/>
        </w:rPr>
        <w:t>The Issuer concludes: “</w:t>
      </w:r>
      <w:r>
        <w:rPr>
          <w:rFonts w:ascii="Times New Roman" w:cs="Times New Roman" w:eastAsia="Times New Roman" w:hAnsi="Times New Roman"/>
          <w:sz w:val="16"/>
          <w:szCs w:val="16"/>
          <w:i w:val="1"/>
          <w:iCs w:val="1"/>
          <w:color w:val="auto"/>
        </w:rPr>
        <w:t>As has been demonstrated, the 2011 Information did not possess materiality. There is no element indicating that its potential impact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Credicorp’s ‘operations, assets, results, financial situation, or general business or commercial position,’ or ‘on its securities or their offering; or on the price or trading of its securities,’ would have been such that it would significantly influence the price or liquidity of Credicorp’s shares or the investment decisions of a reasonable investor regarding them. Consequently, there was no obligation to disclose such information to the market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227965</wp:posOffset>
            </wp:positionV>
            <wp:extent cx="714629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720"/>
          </w:cols>
          <w:pgMar w:left="860" w:top="12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color w:val="auto"/>
        </w:rPr>
        <w:t>7.2.7. THE EVOLUTION OF THE SHARE PRICE</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Regarding this argument and in order to dispute the Charges Letter, the Issuer uses exclusively information about trading of the BAP share on November 19, 2019, stating that: “…</w:t>
      </w:r>
      <w:r>
        <w:rPr>
          <w:rFonts w:ascii="Times New Roman" w:cs="Times New Roman" w:eastAsia="Times New Roman" w:hAnsi="Times New Roman"/>
          <w:sz w:val="16"/>
          <w:szCs w:val="16"/>
          <w:i w:val="1"/>
          <w:iCs w:val="1"/>
          <w:color w:val="auto"/>
        </w:rPr>
        <w:t>during the first hour of trading, the share price decreased by up to 2.46% on the New York Stock Exchange (“NYSE”) and by up to 2.0% on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Lima Stock Exchange (“BVL”), reaching a minimum price of US$ 205.6 and US$ 205.9, respectively</w:t>
      </w:r>
      <w:r>
        <w:rPr>
          <w:rFonts w:ascii="Times New Roman" w:cs="Times New Roman" w:eastAsia="Times New Roman" w:hAnsi="Times New Roman"/>
          <w:sz w:val="16"/>
          <w:szCs w:val="16"/>
          <w:color w:val="auto"/>
        </w:rPr>
        <w:t>.” Finally, it states: “</w:t>
      </w:r>
      <w:r>
        <w:rPr>
          <w:rFonts w:ascii="Times New Roman" w:cs="Times New Roman" w:eastAsia="Times New Roman" w:hAnsi="Times New Roman"/>
          <w:sz w:val="16"/>
          <w:szCs w:val="16"/>
          <w:i w:val="1"/>
          <w:iCs w:val="1"/>
          <w:color w:val="auto"/>
        </w:rPr>
        <w:t>Although the share price recovered in the following hours, the BAP share closed that day lower, at US$ 208.19 on the NYSE and US$ 206.62 on the BVL, representing a decline of -1.25% and -1.61%, respectively</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The Issuer also argues that, regarding the impact of the </w:t>
      </w:r>
      <w:r>
        <w:rPr>
          <w:rFonts w:ascii="Times New Roman" w:cs="Times New Roman" w:eastAsia="Times New Roman" w:hAnsi="Times New Roman"/>
          <w:sz w:val="16"/>
          <w:szCs w:val="16"/>
          <w:b w:val="1"/>
          <w:bCs w:val="1"/>
          <w:color w:val="auto"/>
        </w:rPr>
        <w:t>2011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cash contributions</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on the price or trading volume of the Issuer’s shares, it is necessary to consider the price and volume in the days following the disclosure of the contribution. It states that: “…</w:t>
      </w:r>
      <w:r>
        <w:rPr>
          <w:rFonts w:ascii="Times New Roman" w:cs="Times New Roman" w:eastAsia="Times New Roman" w:hAnsi="Times New Roman"/>
          <w:sz w:val="16"/>
          <w:szCs w:val="16"/>
          <w:i w:val="1"/>
          <w:iCs w:val="1"/>
          <w:color w:val="auto"/>
        </w:rPr>
        <w:t>an analysis of the price and trading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volume in the days following the disclosure of the 2011 Information confirms that the disclosure did not have any relevant impact (much less a ‘significant’ impact, as required by the Regulation on Material Events) on the price or trading volume of Credicorp shares</w:t>
      </w:r>
      <w:r>
        <w:rPr>
          <w:rFonts w:ascii="Times New Roman" w:cs="Times New Roman" w:eastAsia="Times New Roman" w:hAnsi="Times New Roman"/>
          <w:sz w:val="16"/>
          <w:szCs w:val="16"/>
          <w:color w:val="auto"/>
        </w:rPr>
        <w:t>.” For such purpose, it presents a chart with the Issuer’s share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price between November 11 and 29, 2019 (page 39 of its defenses).</w:t>
      </w:r>
    </w:p>
    <w:p>
      <w:pPr>
        <w:spacing w:after="0" w:line="16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 xml:space="preserve">According to the Issuer, this indicates that the behavior of the shares on November 19, 2019, did not influence </w:t>
      </w:r>
      <w:r>
        <w:rPr>
          <w:rFonts w:ascii="Times New Roman" w:cs="Times New Roman" w:eastAsia="Times New Roman" w:hAnsi="Times New Roman"/>
          <w:sz w:val="16"/>
          <w:szCs w:val="16"/>
          <w:i w:val="1"/>
          <w:iCs w:val="1"/>
          <w:color w:val="auto"/>
        </w:rPr>
        <w:t>“… investors’ investment decisions were not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significantly influenced by the disclosure of 2011 Information. If the information had been truly material — that is, if it had had the capacity to significantly influence the investment decisions of a reasonable investor or the price or trading value of the share — the price would not have ‘rebounded’ on the same day; instead, it would have dropped significantly and remained at that lower value. None of this occurred.”</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The Issuer states that the evidence shows there were no atypical variations attributable to the </w:t>
      </w:r>
      <w:r>
        <w:rPr>
          <w:rFonts w:ascii="Times New Roman" w:cs="Times New Roman" w:eastAsia="Times New Roman" w:hAnsi="Times New Roman"/>
          <w:sz w:val="16"/>
          <w:szCs w:val="16"/>
          <w:b w:val="1"/>
          <w:bCs w:val="1"/>
          <w:color w:val="auto"/>
        </w:rPr>
        <w:t>2011 INFORMATION</w:t>
      </w:r>
      <w:r>
        <w:rPr>
          <w:rFonts w:ascii="Times New Roman" w:cs="Times New Roman" w:eastAsia="Times New Roman" w:hAnsi="Times New Roman"/>
          <w:sz w:val="16"/>
          <w:szCs w:val="16"/>
          <w:color w:val="auto"/>
        </w:rPr>
        <w:t xml:space="preserve"> (the contribution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but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rather that they corresponded to normal fluctuations in supply and demand, including those related to shares of Latin American banking companies listed on the NYSE</w:t>
      </w:r>
      <w:r>
        <w:rPr>
          <w:rFonts w:ascii="Times New Roman" w:cs="Times New Roman" w:eastAsia="Times New Roman" w:hAnsi="Times New Roman"/>
          <w:sz w:val="16"/>
          <w:szCs w:val="16"/>
          <w:color w:val="auto"/>
        </w:rPr>
        <w:t>.” It further states that: “…</w:t>
      </w:r>
      <w:r>
        <w:rPr>
          <w:rFonts w:ascii="Times New Roman" w:cs="Times New Roman" w:eastAsia="Times New Roman" w:hAnsi="Times New Roman"/>
          <w:sz w:val="16"/>
          <w:szCs w:val="16"/>
          <w:i w:val="1"/>
          <w:iCs w:val="1"/>
          <w:color w:val="auto"/>
        </w:rPr>
        <w:t>in the subsequent periods, Credicorp’s shares maintained normal behavior, with prices increasing between December 1 and 19, 2019 (5.12% on the NYSE and 5.01% on the BVL), and remaining generally stable thereafter.</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Issuer also explains the trading volumes on November 19, 2019, indicating that: “…</w:t>
      </w:r>
      <w:r>
        <w:rPr>
          <w:rFonts w:ascii="Times New Roman" w:cs="Times New Roman" w:eastAsia="Times New Roman" w:hAnsi="Times New Roman"/>
          <w:sz w:val="16"/>
          <w:szCs w:val="16"/>
          <w:i w:val="1"/>
          <w:iCs w:val="1"/>
          <w:color w:val="auto"/>
        </w:rPr>
        <w:t>the trading volume of Credicorp shares during all of November was 5.0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million shares, 22% below the average monthly volume traded between January and October 2019. Likewise, the average daily trading volume on the BVL between January and October 2019 was 12,297 shares, while in November it was 4,714 shares, and in December 2019 the average daily trading volume on the BVL was 2,130 shares</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In summary, in this section of its defenses, the Issuer states that: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the trading volume of Credicorp shares on the NYSE and the BVL was not affected by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disclosure of the 2011 Information</w:t>
      </w:r>
      <w:r>
        <w:rPr>
          <w:rFonts w:ascii="Times New Roman" w:cs="Times New Roman" w:eastAsia="Times New Roman" w:hAnsi="Times New Roman"/>
          <w:sz w:val="16"/>
          <w:szCs w:val="16"/>
          <w:color w:val="auto"/>
        </w:rPr>
        <w:t>.” It attaches to its defenses a technical analysis by Macroinvest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199390</wp:posOffset>
            </wp:positionV>
            <wp:extent cx="714629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680"/>
          </w:cols>
          <w:pgMar w:left="900" w:top="121" w:right="319"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6"/>
          <w:szCs w:val="16"/>
          <w:b w:val="1"/>
          <w:bCs w:val="1"/>
          <w:color w:val="auto"/>
        </w:rPr>
        <w:t>7.2.8. THE MATERIALITY STANDARD OF THE NYSE</w:t>
      </w:r>
    </w:p>
    <w:p>
      <w:pPr>
        <w:spacing w:after="0" w:line="204" w:lineRule="exact"/>
        <w:rPr>
          <w:sz w:val="20"/>
          <w:szCs w:val="20"/>
          <w:color w:val="auto"/>
        </w:rPr>
      </w:pPr>
    </w:p>
    <w:p>
      <w:pPr>
        <w:jc w:val="both"/>
        <w:ind w:left="40"/>
        <w:spacing w:after="0" w:line="265" w:lineRule="auto"/>
        <w:rPr>
          <w:sz w:val="20"/>
          <w:szCs w:val="20"/>
          <w:color w:val="auto"/>
        </w:rPr>
      </w:pPr>
      <w:r>
        <w:rPr>
          <w:rFonts w:ascii="Times New Roman" w:cs="Times New Roman" w:eastAsia="Times New Roman" w:hAnsi="Times New Roman"/>
          <w:sz w:val="16"/>
          <w:szCs w:val="16"/>
          <w:color w:val="auto"/>
        </w:rPr>
        <w:t>Regarding this argument, the Issuer states: “</w:t>
      </w:r>
      <w:r>
        <w:rPr>
          <w:rFonts w:ascii="Times New Roman" w:cs="Times New Roman" w:eastAsia="Times New Roman" w:hAnsi="Times New Roman"/>
          <w:sz w:val="16"/>
          <w:szCs w:val="16"/>
          <w:i w:val="1"/>
          <w:iCs w:val="1"/>
          <w:color w:val="auto"/>
        </w:rPr>
        <w:t>Credicorp is listed not only on the BVL but also on the NYSE, which—as noted in the Charges Letter—is ‘one 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most important stock exchanges internationally.’ According to the Macroinvest S.A. report attached as Annex 4.2.7, Credicorp’s total negotiable shares (‘float’) amount to 66,614,674 shares, of which 58,724,313 are traded on the NYSE, representing approximately 88% of the float. Therefore, the disclosure standards applicable in that market are relevant</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left="40"/>
        <w:spacing w:after="0" w:line="273" w:lineRule="auto"/>
        <w:rPr>
          <w:sz w:val="20"/>
          <w:szCs w:val="20"/>
          <w:color w:val="auto"/>
        </w:rPr>
      </w:pPr>
      <w:r>
        <w:rPr>
          <w:rFonts w:ascii="Times New Roman" w:cs="Times New Roman" w:eastAsia="Times New Roman" w:hAnsi="Times New Roman"/>
          <w:sz w:val="16"/>
          <w:szCs w:val="16"/>
          <w:color w:val="auto"/>
        </w:rPr>
        <w:t>To support this argument, the Issuer attaches Annex 4.2.8: “…</w:t>
      </w:r>
      <w:r>
        <w:rPr>
          <w:rFonts w:ascii="Times New Roman" w:cs="Times New Roman" w:eastAsia="Times New Roman" w:hAnsi="Times New Roman"/>
          <w:sz w:val="16"/>
          <w:szCs w:val="16"/>
          <w:i w:val="1"/>
          <w:iCs w:val="1"/>
          <w:color w:val="auto"/>
        </w:rPr>
        <w:t>a memorandum prepared by the renowned U.S. law firm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Arnold &amp; Porter</w:t>
      </w:r>
      <w:r>
        <w:rPr>
          <w:rFonts w:ascii="Times New Roman" w:cs="Times New Roman" w:eastAsia="Times New Roman" w:hAnsi="Times New Roman"/>
          <w:sz w:val="16"/>
          <w:szCs w:val="16"/>
          <w:i w:val="1"/>
          <w:iCs w:val="1"/>
          <w:color w:val="auto"/>
        </w:rPr>
        <w:t>, which explains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disclosure regime applicable to Credicorp as an issuer, concluding that, under U.S. federal securities laws and NYSE rules, the 2011 Information lacked materiality and did not need to be disclosed.”</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7.2.9. STATEMENTS BY MR. ROMERO</w:t>
      </w:r>
    </w:p>
    <w:p>
      <w:pPr>
        <w:spacing w:after="0" w:line="204" w:lineRule="exact"/>
        <w:rPr>
          <w:sz w:val="20"/>
          <w:szCs w:val="20"/>
          <w:color w:val="auto"/>
        </w:rPr>
      </w:pPr>
    </w:p>
    <w:p>
      <w:pPr>
        <w:jc w:val="both"/>
        <w:ind w:left="40"/>
        <w:spacing w:after="0" w:line="271" w:lineRule="auto"/>
        <w:rPr>
          <w:sz w:val="20"/>
          <w:szCs w:val="20"/>
          <w:color w:val="auto"/>
        </w:rPr>
      </w:pPr>
      <w:r>
        <w:rPr>
          <w:rFonts w:ascii="Times New Roman" w:cs="Times New Roman" w:eastAsia="Times New Roman" w:hAnsi="Times New Roman"/>
          <w:sz w:val="16"/>
          <w:szCs w:val="16"/>
          <w:color w:val="auto"/>
        </w:rPr>
        <w:t xml:space="preserve">Regarding Mr. Romero’s statements, the Issuer maintains that the </w:t>
      </w:r>
      <w:r>
        <w:rPr>
          <w:rFonts w:ascii="Times New Roman" w:cs="Times New Roman" w:eastAsia="Times New Roman" w:hAnsi="Times New Roman"/>
          <w:sz w:val="16"/>
          <w:szCs w:val="16"/>
          <w:b w:val="1"/>
          <w:bCs w:val="1"/>
          <w:color w:val="auto"/>
        </w:rPr>
        <w:t>2011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was not material, among other reasons, due to its small amount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compared to the volume of Credicorp’s operations, revenues, and expenses, and because making the 2011 Contributions did not constitute any unlawful or irregular act nor represent a contingency for Credicorp</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both"/>
        <w:ind w:left="40"/>
        <w:spacing w:after="0" w:line="262" w:lineRule="auto"/>
        <w:rPr>
          <w:sz w:val="20"/>
          <w:szCs w:val="20"/>
          <w:color w:val="auto"/>
        </w:rPr>
      </w:pPr>
      <w:r>
        <w:rPr>
          <w:rFonts w:ascii="Times New Roman" w:cs="Times New Roman" w:eastAsia="Times New Roman" w:hAnsi="Times New Roman"/>
          <w:sz w:val="16"/>
          <w:szCs w:val="16"/>
          <w:color w:val="auto"/>
        </w:rPr>
        <w:t>The Issuer adds that, “…</w:t>
      </w:r>
      <w:r>
        <w:rPr>
          <w:rFonts w:ascii="Times New Roman" w:cs="Times New Roman" w:eastAsia="Times New Roman" w:hAnsi="Times New Roman"/>
          <w:sz w:val="16"/>
          <w:szCs w:val="16"/>
          <w:i w:val="1"/>
          <w:iCs w:val="1"/>
          <w:color w:val="auto"/>
        </w:rPr>
        <w:t>according to the Royal Spanish Academy, “excepcional” means something “that constitutes an exception to the common rule” or “that 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unusual or rarely occurs.” </w:t>
      </w:r>
      <w:r>
        <w:rPr>
          <w:rFonts w:ascii="Times New Roman" w:cs="Times New Roman" w:eastAsia="Times New Roman" w:hAnsi="Times New Roman"/>
          <w:sz w:val="16"/>
          <w:szCs w:val="16"/>
          <w:color w:val="auto"/>
        </w:rPr>
        <w:t>It notes: “</w:t>
      </w:r>
      <w:r>
        <w:rPr>
          <w:rFonts w:ascii="Times New Roman" w:cs="Times New Roman" w:eastAsia="Times New Roman" w:hAnsi="Times New Roman"/>
          <w:sz w:val="16"/>
          <w:szCs w:val="16"/>
          <w:i w:val="1"/>
          <w:iCs w:val="1"/>
          <w:color w:val="auto"/>
        </w:rPr>
        <w:t>But something that occurs rarely or is unusual does not, for that reason alone, become something capable of significantly influencing the price or trading volume of a share or the investment decisions of a reasonable investor.</w:t>
      </w:r>
      <w:r>
        <w:rPr>
          <w:rFonts w:ascii="Times New Roman" w:cs="Times New Roman" w:eastAsia="Times New Roman" w:hAnsi="Times New Roman"/>
          <w:sz w:val="16"/>
          <w:szCs w:val="16"/>
          <w:color w:val="auto"/>
        </w:rPr>
        <w:t>” According to CREDICORP, such influence (i.e.,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decisions) requires the materiality analysis already discussed and determined by Article 28 of the LMV and Articles 3, 4, and 6 of the Regulation on Material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114300</wp:posOffset>
            </wp:positionV>
            <wp:extent cx="6868795" cy="524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68795" cy="524510"/>
                    </a:xfrm>
                    <a:prstGeom prst="rect">
                      <a:avLst/>
                    </a:prstGeom>
                    <a:noFill/>
                  </pic:spPr>
                </pic:pic>
              </a:graphicData>
            </a:graphic>
          </wp:anchor>
        </w:drawing>
      </w:r>
    </w:p>
    <w:p>
      <w:pPr>
        <w:spacing w:after="0" w:line="165"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6"/>
          <w:szCs w:val="16"/>
          <w:color w:val="auto"/>
        </w:rPr>
        <w:t>Finally, the Issuer acknowledges —precisely at the core of the charges— that: “…</w:t>
      </w:r>
      <w:r>
        <w:rPr>
          <w:rFonts w:ascii="Times New Roman" w:cs="Times New Roman" w:eastAsia="Times New Roman" w:hAnsi="Times New Roman"/>
          <w:sz w:val="16"/>
          <w:szCs w:val="16"/>
          <w:i w:val="1"/>
          <w:iCs w:val="1"/>
          <w:color w:val="auto"/>
        </w:rPr>
        <w:t>Mr. Dionisio Romero Paoletti’s statements generated intense media coverage.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However, this considered not only the 2011 Contributions themselves, but also </w:t>
      </w:r>
      <w:r>
        <w:rPr>
          <w:rFonts w:ascii="Times New Roman" w:cs="Times New Roman" w:eastAsia="Times New Roman" w:hAnsi="Times New Roman"/>
          <w:sz w:val="16"/>
          <w:szCs w:val="16"/>
          <w:i w:val="1"/>
          <w:iCs w:val="1"/>
          <w:u w:val="single" w:color="auto"/>
          <w:color w:val="auto"/>
        </w:rPr>
        <w:t>circumstances corresponding to subsequent events or information that became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known later, such as those related to the investigations carried out by the Public Prosecutor’s Office</w:t>
      </w:r>
      <w:r>
        <w:rPr>
          <w:rFonts w:ascii="Times New Roman" w:cs="Times New Roman" w:eastAsia="Times New Roman" w:hAnsi="Times New Roman"/>
          <w:sz w:val="16"/>
          <w:szCs w:val="16"/>
          <w:i w:val="1"/>
          <w:iCs w:val="1"/>
          <w:color w:val="auto"/>
        </w:rPr>
        <w:t>. These facts were neither known nor knowable at the time the 2011 Contributions were made and therefore could not have been taken into account in a materiality analysis</w:t>
      </w: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Issuer adds: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materiality is determined based on the facts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known to the issuer</w:t>
      </w:r>
      <w:r>
        <w:rPr>
          <w:rFonts w:ascii="Times New Roman" w:cs="Times New Roman" w:eastAsia="Times New Roman" w:hAnsi="Times New Roman"/>
          <w:sz w:val="16"/>
          <w:szCs w:val="16"/>
          <w:i w:val="1"/>
          <w:iCs w:val="1"/>
          <w:color w:val="auto"/>
        </w:rPr>
        <w:t>, not on facts that occur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or become known later</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ind w:left="40"/>
        <w:spacing w:after="0" w:line="184" w:lineRule="exact"/>
        <w:rPr>
          <w:sz w:val="20"/>
          <w:szCs w:val="20"/>
          <w:color w:val="auto"/>
        </w:rPr>
      </w:pPr>
      <w:r>
        <w:rPr>
          <w:rFonts w:ascii="Times New Roman" w:cs="Times New Roman" w:eastAsia="Times New Roman" w:hAnsi="Times New Roman"/>
          <w:sz w:val="16"/>
          <w:szCs w:val="16"/>
          <w:b w:val="1"/>
          <w:bCs w:val="1"/>
          <w:color w:val="auto"/>
        </w:rPr>
        <w:t>7.3. NON</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EXISTENCE OF INFORMATION CONCEALMENT</w:t>
      </w:r>
    </w:p>
    <w:p>
      <w:pPr>
        <w:spacing w:after="0" w:line="238" w:lineRule="exact"/>
        <w:rPr>
          <w:sz w:val="20"/>
          <w:szCs w:val="20"/>
          <w:color w:val="auto"/>
        </w:rPr>
      </w:pPr>
    </w:p>
    <w:p>
      <w:pPr>
        <w:jc w:val="both"/>
        <w:ind w:left="40"/>
        <w:spacing w:after="0" w:line="265" w:lineRule="auto"/>
        <w:rPr>
          <w:sz w:val="20"/>
          <w:szCs w:val="20"/>
          <w:color w:val="auto"/>
        </w:rPr>
      </w:pPr>
      <w:r>
        <w:rPr>
          <w:rFonts w:ascii="Times New Roman" w:cs="Times New Roman" w:eastAsia="Times New Roman" w:hAnsi="Times New Roman"/>
          <w:sz w:val="16"/>
          <w:szCs w:val="16"/>
          <w:color w:val="auto"/>
        </w:rPr>
        <w:t xml:space="preserve">On this point, the Issuer reiterates its position that, under Article 28 of the LMV and Articles 3 and 4 of the Regulation on Material Events, an issuer </w:t>
      </w:r>
      <w:r>
        <w:rPr>
          <w:rFonts w:ascii="Times New Roman" w:cs="Times New Roman" w:eastAsia="Times New Roman" w:hAnsi="Times New Roman"/>
          <w:sz w:val="16"/>
          <w:szCs w:val="16"/>
          <w:i w:val="1"/>
          <w:iCs w:val="1"/>
          <w:color w:val="auto"/>
        </w:rPr>
        <w:t>“…is only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obligated to disclose material events, that is, material information. The issuer has no obligation to disclose information that does not qualify as material, as such information belongs to the issuer. Accordingly, where there is no obligation to disclose such information, the failure to disclose it does not constitute ‘concealment’ of information.”</w:t>
      </w:r>
    </w:p>
    <w:p>
      <w:pPr>
        <w:spacing w:after="0" w:line="159" w:lineRule="exact"/>
        <w:rPr>
          <w:sz w:val="20"/>
          <w:szCs w:val="20"/>
          <w:color w:val="auto"/>
        </w:rPr>
      </w:pPr>
    </w:p>
    <w:p>
      <w:pPr>
        <w:jc w:val="both"/>
        <w:ind w:left="40"/>
        <w:spacing w:after="0" w:line="265" w:lineRule="auto"/>
        <w:rPr>
          <w:sz w:val="20"/>
          <w:szCs w:val="20"/>
          <w:color w:val="auto"/>
        </w:rPr>
      </w:pPr>
      <w:r>
        <w:rPr>
          <w:rFonts w:ascii="Times New Roman" w:cs="Times New Roman" w:eastAsia="Times New Roman" w:hAnsi="Times New Roman"/>
          <w:sz w:val="16"/>
          <w:szCs w:val="16"/>
          <w:color w:val="auto"/>
        </w:rPr>
        <w:t xml:space="preserve">In this part of its argument, it also notes that the Issuer’s General Accounting report states: </w:t>
      </w:r>
      <w:r>
        <w:rPr>
          <w:rFonts w:ascii="Times New Roman" w:cs="Times New Roman" w:eastAsia="Times New Roman" w:hAnsi="Times New Roman"/>
          <w:sz w:val="16"/>
          <w:szCs w:val="16"/>
          <w:i w:val="1"/>
          <w:iCs w:val="1"/>
          <w:color w:val="auto"/>
        </w:rPr>
        <w:t>“…the expense represented by the 2011 Contributions was duly recorded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 Credicorp’s accounting records and was therefore reflected in Credicorp’s results, as it appears in our company’s 2010 and 2011 financial statements. These financial statements were duly disclosed by our company both to the New York Stock Exchange and the SEC, as well as in Peru. Therefore, there was no ‘concealment’ of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212725</wp:posOffset>
            </wp:positionV>
            <wp:extent cx="714629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700"/>
          </w:cols>
          <w:pgMar w:left="860" w:top="121" w:right="339" w:bottom="1440" w:gutter="0" w:footer="0" w:header="0"/>
        </w:sectPr>
      </w:pPr>
    </w:p>
    <w:bookmarkStart w:id="40" w:name="page41"/>
    <w:bookmarkEnd w:id="40"/>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Likewise, the Issuer states that: </w:t>
      </w:r>
      <w:r>
        <w:rPr>
          <w:rFonts w:ascii="Times New Roman" w:cs="Times New Roman" w:eastAsia="Times New Roman" w:hAnsi="Times New Roman"/>
          <w:sz w:val="16"/>
          <w:szCs w:val="16"/>
          <w:i w:val="1"/>
          <w:iCs w:val="1"/>
          <w:color w:val="auto"/>
        </w:rPr>
        <w:t>“…the obligation to report private contributions to political campaigns is an obligation of political parties pursuant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Regulation on Party Financing in force in 2011. The entity responsible for verifying and monitoring such reporting is the ONPE. Accordingly, the obligation to disclose and ‘not conceal’ contributions corresponded, in the case of the 2011 Contributions, to the political party Fuerza 2011.”</w:t>
      </w:r>
    </w:p>
    <w:p>
      <w:pPr>
        <w:spacing w:after="0" w:line="1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 xml:space="preserve">The Issuer further notes that on August 22, 2015, Mr. Walter Bayly Llona publicly stated to the press that the Credicorp group had made political contributions to the 2011 campaign (Annex 1.3), </w:t>
      </w:r>
      <w:r>
        <w:rPr>
          <w:rFonts w:ascii="Times New Roman" w:cs="Times New Roman" w:eastAsia="Times New Roman" w:hAnsi="Times New Roman"/>
          <w:sz w:val="16"/>
          <w:szCs w:val="16"/>
          <w:i w:val="1"/>
          <w:iCs w:val="1"/>
          <w:color w:val="auto"/>
        </w:rPr>
        <w:t>“which demonstrates that there was no intention whatsoever to conceal information.”</w:t>
      </w:r>
    </w:p>
    <w:p>
      <w:pPr>
        <w:spacing w:after="0" w:line="141" w:lineRule="exact"/>
        <w:rPr>
          <w:sz w:val="20"/>
          <w:szCs w:val="20"/>
          <w:color w:val="auto"/>
        </w:rPr>
      </w:pPr>
    </w:p>
    <w:p>
      <w:pPr>
        <w:jc w:val="both"/>
        <w:ind w:right="20"/>
        <w:spacing w:after="0" w:line="201" w:lineRule="exact"/>
        <w:rPr>
          <w:sz w:val="20"/>
          <w:szCs w:val="20"/>
          <w:color w:val="auto"/>
        </w:rPr>
      </w:pPr>
      <w:r>
        <w:rPr>
          <w:rFonts w:ascii="Times New Roman" w:cs="Times New Roman" w:eastAsia="Times New Roman" w:hAnsi="Times New Roman"/>
          <w:sz w:val="16"/>
          <w:szCs w:val="16"/>
          <w:color w:val="auto"/>
        </w:rPr>
        <w:t xml:space="preserve">Finally, on this point, the Issuer states that: </w:t>
      </w:r>
      <w:r>
        <w:rPr>
          <w:rFonts w:ascii="Times New Roman" w:cs="Times New Roman" w:eastAsia="Times New Roman" w:hAnsi="Times New Roman"/>
          <w:sz w:val="16"/>
          <w:szCs w:val="16"/>
          <w:i w:val="1"/>
          <w:iCs w:val="1"/>
          <w:color w:val="auto"/>
        </w:rPr>
        <w:t>“…even assuming, for the sake of argument, the existence of concealment, such alleged concealment would be nothing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more than intentional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disclosure, and, as stated in section 2.3 of Section II of this document, intent in the commission of the alleged infringing conduct does not change the nature of the infraction, especially when it is an objective infraction such as the failure to disclose material events.”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HARM TO INVESTORS</w:t>
      </w:r>
    </w:p>
    <w:p>
      <w:pPr>
        <w:spacing w:after="0" w:line="2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On this issue, the Issuer reiterates that, as it has demonstrated, the </w:t>
      </w:r>
      <w:r>
        <w:rPr>
          <w:rFonts w:ascii="Times New Roman" w:cs="Times New Roman" w:eastAsia="Times New Roman" w:hAnsi="Times New Roman"/>
          <w:sz w:val="16"/>
          <w:szCs w:val="16"/>
          <w:b w:val="1"/>
          <w:bCs w:val="1"/>
          <w:color w:val="auto"/>
        </w:rPr>
        <w:t>2011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“…was not material and therefore lacked the capacity to significantly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influence investors’ investment decisions regarding Credicorp securities.”</w:t>
      </w:r>
    </w:p>
    <w:p>
      <w:pPr>
        <w:spacing w:after="0" w:line="13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The Issuer also states that investors who held shares since December 1, 2010 </w:t>
      </w:r>
      <w:r>
        <w:rPr>
          <w:rFonts w:ascii="Times New Roman" w:cs="Times New Roman" w:eastAsia="Times New Roman" w:hAnsi="Times New Roman"/>
          <w:sz w:val="16"/>
          <w:szCs w:val="16"/>
          <w:i w:val="1"/>
          <w:iCs w:val="1"/>
          <w:color w:val="auto"/>
        </w:rPr>
        <w:t>“have accumulated a return of 117.8%, higher than comparable instruments (peers),”</w:t>
      </w:r>
      <w:r>
        <w:rPr>
          <w:rFonts w:ascii="Times New Roman" w:cs="Times New Roman" w:eastAsia="Times New Roman" w:hAnsi="Times New Roman"/>
          <w:sz w:val="16"/>
          <w:szCs w:val="16"/>
          <w:color w:val="auto"/>
        </w:rPr>
        <w:t xml:space="preserve"> attaching a chart prepared by BCP’s Financial Planning and Control Division (page 47 of its defenses). It states that the Issuer’s shares have generated significant returns and </w:t>
      </w:r>
      <w:r>
        <w:rPr>
          <w:rFonts w:ascii="Times New Roman" w:cs="Times New Roman" w:eastAsia="Times New Roman" w:hAnsi="Times New Roman"/>
          <w:sz w:val="16"/>
          <w:szCs w:val="16"/>
          <w:i w:val="1"/>
          <w:iCs w:val="1"/>
          <w:u w:val="single" w:color="auto"/>
          <w:color w:val="auto"/>
        </w:rPr>
        <w:t>“…to date, we have not received any investor complaints regarding an alleged failure to timely disclose the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7.4. COMPLIANCE WITH ISSUER POLICIES (4.5 p. 48)</w:t>
      </w:r>
    </w:p>
    <w:p>
      <w:pPr>
        <w:spacing w:after="0" w:line="204" w:lineRule="exact"/>
        <w:rPr>
          <w:sz w:val="20"/>
          <w:szCs w:val="20"/>
          <w:color w:val="auto"/>
        </w:rPr>
      </w:pPr>
    </w:p>
    <w:p>
      <w:pPr>
        <w:jc w:val="both"/>
        <w:spacing w:after="0" w:line="201" w:lineRule="exact"/>
        <w:rPr>
          <w:sz w:val="20"/>
          <w:szCs w:val="20"/>
          <w:color w:val="auto"/>
        </w:rPr>
      </w:pPr>
      <w:r>
        <w:rPr>
          <w:rFonts w:ascii="Times New Roman" w:cs="Times New Roman" w:eastAsia="Times New Roman" w:hAnsi="Times New Roman"/>
          <w:sz w:val="16"/>
          <w:szCs w:val="16"/>
          <w:color w:val="auto"/>
        </w:rPr>
        <w:t xml:space="preserve">The Issuer previously notes that the Charges Letter states that: </w:t>
      </w:r>
      <w:r>
        <w:rPr>
          <w:rFonts w:ascii="Times New Roman" w:cs="Times New Roman" w:eastAsia="Times New Roman" w:hAnsi="Times New Roman"/>
          <w:sz w:val="16"/>
          <w:szCs w:val="16"/>
          <w:i w:val="1"/>
          <w:iCs w:val="1"/>
          <w:color w:val="auto"/>
        </w:rPr>
        <w:t>“[…independently of the attributed charges, ‘Credicorp has corporate policies that are disclosed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market and that express self</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regulation principles adopted by the corporation, which are inconsistent with facts that were not disclosed in a timely manner,’]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and then states: </w:t>
      </w:r>
      <w:r>
        <w:rPr>
          <w:rFonts w:ascii="Times New Roman" w:cs="Times New Roman" w:eastAsia="Times New Roman" w:hAnsi="Times New Roman"/>
          <w:sz w:val="16"/>
          <w:szCs w:val="16"/>
          <w:i w:val="1"/>
          <w:iCs w:val="1"/>
          <w:color w:val="auto"/>
        </w:rPr>
        <w:t>“…in no case did the execution of the 2011 Contributions constitute a breach of Credicorp’s internal policies, as demonstrated below.”</w:t>
      </w:r>
    </w:p>
    <w:p>
      <w:pPr>
        <w:spacing w:after="0" w:line="177"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Regarding this aspect of its defenses, the Issuer argues that the </w:t>
      </w:r>
      <w:r>
        <w:rPr>
          <w:rFonts w:ascii="Times New Roman" w:cs="Times New Roman" w:eastAsia="Times New Roman" w:hAnsi="Times New Roman"/>
          <w:sz w:val="16"/>
          <w:szCs w:val="16"/>
          <w:b w:val="1"/>
          <w:bCs w:val="1"/>
          <w:color w:val="auto"/>
        </w:rPr>
        <w:t>2011 CONTRIBUTIONS</w:t>
      </w:r>
      <w:r>
        <w:rPr>
          <w:rFonts w:ascii="Times New Roman" w:cs="Times New Roman" w:eastAsia="Times New Roman" w:hAnsi="Times New Roman"/>
          <w:sz w:val="16"/>
          <w:szCs w:val="16"/>
          <w:color w:val="auto"/>
        </w:rPr>
        <w:t xml:space="preserve"> did not constitute any breach of its internal policies and clarifies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199390</wp:posOffset>
            </wp:positionV>
            <wp:extent cx="714629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680"/>
          </w:cols>
          <w:pgMar w:left="900" w:top="121" w:right="319"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Regarding the 2009 Code of Ethics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Issuer transcribes the full text of the relevant provision:</w:t>
      </w:r>
    </w:p>
    <w:p>
      <w:pPr>
        <w:spacing w:after="0" w:line="202" w:lineRule="exact"/>
        <w:rPr>
          <w:sz w:val="20"/>
          <w:szCs w:val="20"/>
          <w:color w:val="auto"/>
        </w:rPr>
      </w:pPr>
    </w:p>
    <w:p>
      <w:pPr>
        <w:jc w:val="both"/>
        <w:ind w:left="40" w:firstLine="40"/>
        <w:spacing w:after="0" w:line="29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 connection with numeral 4.5 of the 2009 Code of Ethics referenced in subsection A of numeral 1.12 of the Charges Letter, we must mention that the full text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such numeral is the following:</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4.5 IMPROPER PAYMENTS</w:t>
      </w:r>
    </w:p>
    <w:p>
      <w:pPr>
        <w:spacing w:after="0" w:line="204" w:lineRule="exact"/>
        <w:rPr>
          <w:sz w:val="20"/>
          <w:szCs w:val="20"/>
          <w:color w:val="auto"/>
        </w:rPr>
      </w:pPr>
    </w:p>
    <w:p>
      <w:pPr>
        <w:jc w:val="both"/>
        <w:ind w:left="40" w:right="20"/>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It is not part of the Corporation’s policy to deliver commissions or other types of compensation or incentives to third parties, organizations, agents, lawyers, or other consultants for the purpose of </w:t>
      </w:r>
      <w:r>
        <w:rPr>
          <w:rFonts w:ascii="Times New Roman" w:cs="Times New Roman" w:eastAsia="Times New Roman" w:hAnsi="Times New Roman"/>
          <w:sz w:val="16"/>
          <w:szCs w:val="16"/>
          <w:i w:val="1"/>
          <w:iCs w:val="1"/>
          <w:u w:val="single" w:color="auto"/>
          <w:color w:val="auto"/>
        </w:rPr>
        <w:t>attracting business</w:t>
      </w:r>
      <w:r>
        <w:rPr>
          <w:rFonts w:ascii="Times New Roman" w:cs="Times New Roman" w:eastAsia="Times New Roman" w:hAnsi="Times New Roman"/>
          <w:sz w:val="16"/>
          <w:szCs w:val="16"/>
          <w:i w:val="1"/>
          <w:iCs w:val="1"/>
          <w:color w:val="auto"/>
        </w:rPr>
        <w:t xml:space="preserve"> to the Corporation.</w:t>
      </w:r>
      <w:r>
        <w:rPr>
          <w:rFonts w:ascii="Times New Roman" w:cs="Times New Roman" w:eastAsia="Times New Roman" w:hAnsi="Times New Roman"/>
          <w:sz w:val="16"/>
          <w:szCs w:val="16"/>
          <w:b w:val="1"/>
          <w:bCs w:val="1"/>
          <w:i w:val="1"/>
          <w:iCs w:val="1"/>
          <w:u w:val="single" w:color="auto"/>
          <w:color w:val="auto"/>
        </w:rPr>
        <w:t>It is strictly prohibited to offer or pay any remuneration or compensation of this kind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u w:val="single" w:color="auto"/>
          <w:color w:val="auto"/>
        </w:rPr>
        <w:t>to domestic or foreign public officials, political parties, or candidates for political office on behalf of or representing the Corporation</w:t>
      </w:r>
      <w:r>
        <w:rPr>
          <w:rFonts w:ascii="Times New Roman" w:cs="Times New Roman" w:eastAsia="Times New Roman" w:hAnsi="Times New Roman"/>
          <w:sz w:val="16"/>
          <w:szCs w:val="16"/>
          <w:i w:val="1"/>
          <w:iCs w:val="1"/>
          <w:color w:val="auto"/>
        </w:rPr>
        <w:t>.</w:t>
      </w:r>
    </w:p>
    <w:p>
      <w:pPr>
        <w:spacing w:after="0" w:line="154" w:lineRule="exact"/>
        <w:rPr>
          <w:sz w:val="20"/>
          <w:szCs w:val="20"/>
          <w:color w:val="auto"/>
        </w:rPr>
      </w:pPr>
    </w:p>
    <w:p>
      <w:pPr>
        <w:jc w:val="both"/>
        <w:ind w:left="40" w:right="20"/>
        <w:spacing w:after="0" w:line="290" w:lineRule="auto"/>
        <w:rPr>
          <w:sz w:val="20"/>
          <w:szCs w:val="20"/>
          <w:color w:val="auto"/>
        </w:rPr>
      </w:pPr>
      <w:r>
        <w:rPr>
          <w:rFonts w:ascii="Times New Roman" w:cs="Times New Roman" w:eastAsia="Times New Roman" w:hAnsi="Times New Roman"/>
          <w:sz w:val="16"/>
          <w:szCs w:val="16"/>
          <w:i w:val="1"/>
          <w:iCs w:val="1"/>
          <w:color w:val="auto"/>
        </w:rPr>
        <w:t>Gifts made by the Corporation to any client or its employees, users, or suppliers have no purpose other than serving as a courtesy gesture and therefore must be appropriate and modest for each occasion, always complying with the customary practice in the country in which it operates</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6"/>
          <w:szCs w:val="16"/>
          <w:color w:val="auto"/>
        </w:rPr>
        <w:t xml:space="preserve">The Issuer argues that: </w:t>
      </w:r>
      <w:r>
        <w:rPr>
          <w:rFonts w:ascii="Times New Roman" w:cs="Times New Roman" w:eastAsia="Times New Roman" w:hAnsi="Times New Roman"/>
          <w:sz w:val="16"/>
          <w:szCs w:val="16"/>
          <w:i w:val="1"/>
          <w:iCs w:val="1"/>
          <w:color w:val="auto"/>
        </w:rPr>
        <w:t>“According to the above, the first paragraph contains the general rule regarding disbursements that constitute improper payments — that 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any payment made for the purpose of </w:t>
      </w:r>
      <w:r>
        <w:rPr>
          <w:rFonts w:ascii="Times New Roman" w:cs="Times New Roman" w:eastAsia="Times New Roman" w:hAnsi="Times New Roman"/>
          <w:sz w:val="16"/>
          <w:szCs w:val="16"/>
          <w:i w:val="1"/>
          <w:iCs w:val="1"/>
          <w:u w:val="single" w:color="auto"/>
          <w:color w:val="auto"/>
        </w:rPr>
        <w:t>attracting business to the ‘Corporation’</w:t>
      </w:r>
      <w:r>
        <w:rPr>
          <w:rFonts w:ascii="Times New Roman" w:cs="Times New Roman" w:eastAsia="Times New Roman" w:hAnsi="Times New Roman"/>
          <w:sz w:val="16"/>
          <w:szCs w:val="16"/>
          <w:i w:val="1"/>
          <w:iCs w:val="1"/>
          <w:color w:val="auto"/>
        </w:rPr>
        <w:t>. Based on this general prohibition, the second and third paragraphs specify that contributions to officials or political parties and gifts to clients are prohibited only when made for the purpose of attracting business. Thus, in all other cases, such contributions or gifts were permitted. Therefore, the facts referenced in the Charges Letter do not constitute a breach of this policy.”</w:t>
      </w:r>
    </w:p>
    <w:p>
      <w:pPr>
        <w:spacing w:after="0" w:line="159" w:lineRule="exact"/>
        <w:rPr>
          <w:sz w:val="20"/>
          <w:szCs w:val="20"/>
          <w:color w:val="auto"/>
        </w:rPr>
      </w:pPr>
    </w:p>
    <w:p>
      <w:pPr>
        <w:jc w:val="both"/>
        <w:ind w:left="40" w:right="20"/>
        <w:spacing w:after="0" w:line="271" w:lineRule="auto"/>
        <w:rPr>
          <w:sz w:val="20"/>
          <w:szCs w:val="20"/>
          <w:color w:val="auto"/>
        </w:rPr>
      </w:pPr>
      <w:r>
        <w:rPr>
          <w:rFonts w:ascii="Times New Roman" w:cs="Times New Roman" w:eastAsia="Times New Roman" w:hAnsi="Times New Roman"/>
          <w:sz w:val="16"/>
          <w:szCs w:val="16"/>
          <w:color w:val="auto"/>
        </w:rPr>
        <w:t xml:space="preserve">Finally, it states: </w:t>
      </w:r>
      <w:r>
        <w:rPr>
          <w:rFonts w:ascii="Times New Roman" w:cs="Times New Roman" w:eastAsia="Times New Roman" w:hAnsi="Times New Roman"/>
          <w:sz w:val="16"/>
          <w:szCs w:val="16"/>
          <w:i w:val="1"/>
          <w:iCs w:val="1"/>
          <w:color w:val="auto"/>
        </w:rPr>
        <w:t>“Moreover, as previously noted, under the electoral legislation in force at the time of the 2011 Contributions, private companies such as Credicorp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were permitted to make contributions to political organizations, consistent with the constitutional right to participate in the nation’s political life (Article 2, subsection 17 of the Constitution).”</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2011 Code of Ethics</w:t>
      </w:r>
    </w:p>
    <w:p>
      <w:pPr>
        <w:spacing w:after="0" w:line="204" w:lineRule="exact"/>
        <w:rPr>
          <w:sz w:val="20"/>
          <w:szCs w:val="20"/>
          <w:color w:val="auto"/>
        </w:rPr>
      </w:pPr>
    </w:p>
    <w:p>
      <w:pPr>
        <w:jc w:val="both"/>
        <w:ind w:left="40"/>
        <w:spacing w:after="0" w:line="271" w:lineRule="auto"/>
        <w:rPr>
          <w:sz w:val="20"/>
          <w:szCs w:val="20"/>
          <w:color w:val="auto"/>
        </w:rPr>
      </w:pPr>
      <w:r>
        <w:rPr>
          <w:rFonts w:ascii="Times New Roman" w:cs="Times New Roman" w:eastAsia="Times New Roman" w:hAnsi="Times New Roman"/>
          <w:sz w:val="16"/>
          <w:szCs w:val="16"/>
          <w:color w:val="auto"/>
        </w:rPr>
        <w:t xml:space="preserve">Regarding the 2011 Code of Ethics, the Issuer states that: </w:t>
      </w:r>
      <w:r>
        <w:rPr>
          <w:rFonts w:ascii="Times New Roman" w:cs="Times New Roman" w:eastAsia="Times New Roman" w:hAnsi="Times New Roman"/>
          <w:sz w:val="16"/>
          <w:szCs w:val="16"/>
          <w:i w:val="1"/>
          <w:iCs w:val="1"/>
          <w:color w:val="auto"/>
        </w:rPr>
        <w:t>“…the code does not contain any prohibition regarding the possibility of making political campaign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contributions, nor does it indicate that such contributions constitute inappropriate use of company assets. Thus, it is incorrect to assert that the facts referenced in the Charges Letter are inconsistent with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109220</wp:posOffset>
            </wp:positionV>
            <wp:extent cx="6868795" cy="400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68795" cy="400685"/>
                    </a:xfrm>
                    <a:prstGeom prst="rect">
                      <a:avLst/>
                    </a:prstGeom>
                    <a:noFill/>
                  </pic:spPr>
                </pic:pic>
              </a:graphicData>
            </a:graphic>
          </wp:anchor>
        </w:drawing>
      </w:r>
    </w:p>
    <w:p>
      <w:pPr>
        <w:spacing w:after="0" w:line="158"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6"/>
          <w:szCs w:val="16"/>
          <w:color w:val="auto"/>
        </w:rPr>
        <w:t xml:space="preserve">It further states: </w:t>
      </w:r>
      <w:r>
        <w:rPr>
          <w:rFonts w:ascii="Times New Roman" w:cs="Times New Roman" w:eastAsia="Times New Roman" w:hAnsi="Times New Roman"/>
          <w:sz w:val="16"/>
          <w:szCs w:val="16"/>
          <w:i w:val="1"/>
          <w:iCs w:val="1"/>
          <w:color w:val="auto"/>
        </w:rPr>
        <w:t>“Regarding numeral 16 of Section I of the 2011 Code of Ethics, which states that employees and directors must act within the limits established by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laws, regulations, statutes, codes, policies, and procedures, this provision does not prohibit political campaign contributions. Therefore, it is incorrect to state that the facts referenced in the Charges Letter are inconsistent with the code.”</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2014 Code of Ethics</w:t>
      </w:r>
    </w:p>
    <w:p>
      <w:pPr>
        <w:spacing w:after="0" w:line="204" w:lineRule="exact"/>
        <w:rPr>
          <w:sz w:val="20"/>
          <w:szCs w:val="20"/>
          <w:color w:val="auto"/>
        </w:rPr>
      </w:pPr>
    </w:p>
    <w:p>
      <w:pPr>
        <w:jc w:val="both"/>
        <w:ind w:left="40" w:right="20"/>
        <w:spacing w:after="0" w:line="271" w:lineRule="auto"/>
        <w:rPr>
          <w:sz w:val="20"/>
          <w:szCs w:val="20"/>
          <w:color w:val="auto"/>
        </w:rPr>
      </w:pPr>
      <w:r>
        <w:rPr>
          <w:rFonts w:ascii="Times New Roman" w:cs="Times New Roman" w:eastAsia="Times New Roman" w:hAnsi="Times New Roman"/>
          <w:sz w:val="16"/>
          <w:szCs w:val="16"/>
          <w:color w:val="auto"/>
        </w:rPr>
        <w:t xml:space="preserve">The Issuer notes that numeral 17 of Section I of the 2014 Code of Ethics — </w:t>
      </w:r>
      <w:r>
        <w:rPr>
          <w:rFonts w:ascii="Times New Roman" w:cs="Times New Roman" w:eastAsia="Times New Roman" w:hAnsi="Times New Roman"/>
          <w:sz w:val="16"/>
          <w:szCs w:val="16"/>
          <w:i w:val="1"/>
          <w:iCs w:val="1"/>
          <w:color w:val="auto"/>
        </w:rPr>
        <w:t>“All our members respect the appropriate use of the tangible and intangible assets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our organization and are responsible for using them efficiently” </w:t>
      </w:r>
      <w:r>
        <w:rPr>
          <w:rFonts w:ascii="Times New Roman" w:cs="Times New Roman" w:eastAsia="Times New Roman" w:hAnsi="Times New Roman"/>
          <w:sz w:val="16"/>
          <w:szCs w:val="16"/>
          <w:color w:val="auto"/>
        </w:rPr>
        <w:t>—does not prohibit political campaign contributions nor suggests that such contributions constitute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inappropriate asset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209550</wp:posOffset>
            </wp:positionV>
            <wp:extent cx="714629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720"/>
          </w:cols>
          <w:pgMar w:left="860" w:top="121" w:right="319" w:bottom="1440" w:gutter="0" w:footer="0" w:header="0"/>
        </w:sectPr>
      </w:pPr>
    </w:p>
    <w:bookmarkStart w:id="42" w:name="page43"/>
    <w:bookmarkEnd w:id="42"/>
    <w:p>
      <w:pPr>
        <w:jc w:val="both"/>
        <w:spacing w:after="0" w:line="271" w:lineRule="auto"/>
        <w:rPr>
          <w:sz w:val="20"/>
          <w:szCs w:val="20"/>
          <w:color w:val="auto"/>
        </w:rPr>
      </w:pPr>
      <w:r>
        <w:rPr>
          <w:rFonts w:ascii="Times New Roman" w:cs="Times New Roman" w:eastAsia="Times New Roman" w:hAnsi="Times New Roman"/>
          <w:sz w:val="16"/>
          <w:szCs w:val="16"/>
          <w:color w:val="auto"/>
        </w:rPr>
        <w:t>Likewise, it notes numeral 16 of the 2014 Code of Ethics that states —</w:t>
      </w:r>
      <w:r>
        <w:rPr>
          <w:rFonts w:ascii="Times New Roman" w:cs="Times New Roman" w:eastAsia="Times New Roman" w:hAnsi="Times New Roman"/>
          <w:sz w:val="16"/>
          <w:szCs w:val="16"/>
          <w:i w:val="1"/>
          <w:iCs w:val="1"/>
          <w:color w:val="auto"/>
        </w:rPr>
        <w:t>“Every employee and member of the Board of Directors is a representative of 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organization; therefore, they are committed to acting within the limits established by laws, regulations, bylaws, codes, policies and procedures of our corporation, and to reflect an image of respect toward others both inside and outside the organization”</w:t>
      </w:r>
      <w:r>
        <w:rPr>
          <w:rFonts w:ascii="Times New Roman" w:cs="Times New Roman" w:eastAsia="Times New Roman" w:hAnsi="Times New Roman"/>
          <w:sz w:val="16"/>
          <w:szCs w:val="16"/>
          <w:color w:val="auto"/>
        </w:rPr>
        <w:t>— contains no prohibition on political campaign contributions.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GOVERNANCE REPORT</w:t>
      </w:r>
    </w:p>
    <w:p>
      <w:pPr>
        <w:spacing w:after="0" w:line="204" w:lineRule="exact"/>
        <w:rPr>
          <w:sz w:val="20"/>
          <w:szCs w:val="20"/>
          <w:color w:val="auto"/>
        </w:rPr>
      </w:pPr>
    </w:p>
    <w:p>
      <w:pPr>
        <w:jc w:val="both"/>
        <w:spacing w:after="0" w:line="201" w:lineRule="exact"/>
        <w:rPr>
          <w:sz w:val="20"/>
          <w:szCs w:val="20"/>
          <w:color w:val="auto"/>
        </w:rPr>
      </w:pPr>
      <w:r>
        <w:rPr>
          <w:rFonts w:ascii="Times New Roman" w:cs="Times New Roman" w:eastAsia="Times New Roman" w:hAnsi="Times New Roman"/>
          <w:sz w:val="16"/>
          <w:szCs w:val="16"/>
          <w:color w:val="auto"/>
        </w:rPr>
        <w:t xml:space="preserve">Regarding this section, to explain the contributions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the issuer states that according to the Report on Compliance with the Principles of Good Corporate Governance for Peruvian Companies for fiscal year 2012, </w:t>
      </w:r>
      <w:r>
        <w:rPr>
          <w:rFonts w:ascii="MS PGothic" w:cs="MS PGothic" w:eastAsia="MS PGothic" w:hAnsi="MS PGothic"/>
          <w:sz w:val="16"/>
          <w:szCs w:val="16"/>
          <w:color w:val="auto"/>
        </w:rPr>
        <w:t>☐</w:t>
      </w:r>
      <w:r>
        <w:rPr>
          <w:rFonts w:ascii="Times New Roman" w:cs="Times New Roman" w:eastAsia="Times New Roman" w:hAnsi="Times New Roman"/>
          <w:sz w:val="16"/>
          <w:szCs w:val="16"/>
          <w:i w:val="1"/>
          <w:iCs w:val="1"/>
          <w:color w:val="auto"/>
        </w:rPr>
        <w:t>one function of the Corporate Governance Committee was to propose to the Board good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governance practices and their implementation, and we affirm that, in fact, the Board of Credicorp complied and complies with that function</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The Issuer asserts: </w:t>
      </w:r>
      <w:r>
        <w:rPr>
          <w:rFonts w:ascii="Times New Roman" w:cs="Times New Roman" w:eastAsia="Times New Roman" w:hAnsi="Times New Roman"/>
          <w:sz w:val="16"/>
          <w:szCs w:val="16"/>
          <w:i w:val="1"/>
          <w:iCs w:val="1"/>
          <w:color w:val="auto"/>
        </w:rPr>
        <w:t>“Accordingly, we consider that it is not correct to state that the 2011 Contributions are inconsistent with the statements contained in the 2012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Corporate Governance Report.”</w:t>
      </w:r>
    </w:p>
    <w:p>
      <w:pPr>
        <w:spacing w:after="0" w:line="140" w:lineRule="exact"/>
        <w:rPr>
          <w:sz w:val="20"/>
          <w:szCs w:val="20"/>
          <w:color w:val="auto"/>
        </w:rPr>
      </w:pPr>
    </w:p>
    <w:p>
      <w:pPr>
        <w:jc w:val="both"/>
        <w:spacing w:after="0" w:line="200" w:lineRule="exact"/>
        <w:rPr>
          <w:sz w:val="20"/>
          <w:szCs w:val="20"/>
          <w:color w:val="auto"/>
        </w:rPr>
      </w:pPr>
      <w:r>
        <w:rPr>
          <w:rFonts w:ascii="Times New Roman" w:cs="Times New Roman" w:eastAsia="Times New Roman" w:hAnsi="Times New Roman"/>
          <w:sz w:val="16"/>
          <w:szCs w:val="16"/>
          <w:color w:val="auto"/>
        </w:rPr>
        <w:t>It further states that for the 2011–2013 Reports, in which the Board declares full compliance with monitoring conflicts of interest, fraudulent use of corporate assets, and abuse in related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party transactions, the </w:t>
      </w:r>
      <w:r>
        <w:rPr>
          <w:rFonts w:ascii="Times New Roman" w:cs="Times New Roman" w:eastAsia="Times New Roman" w:hAnsi="Times New Roman"/>
          <w:sz w:val="16"/>
          <w:szCs w:val="16"/>
          <w:b w:val="1"/>
          <w:bCs w:val="1"/>
          <w:color w:val="auto"/>
        </w:rPr>
        <w:t>cash contributions to FUERZA 2011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“are not related to conflicts of interest, fraudulent use of assets, nor related</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party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transactions. Therefore, they do not contradict these Corporate Governance Reports.”</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For the 2014–2018 Reports, the Issuer states that its Board: </w:t>
      </w:r>
      <w:r>
        <w:rPr>
          <w:rFonts w:ascii="Times New Roman" w:cs="Times New Roman" w:eastAsia="Times New Roman" w:hAnsi="Times New Roman"/>
          <w:sz w:val="16"/>
          <w:szCs w:val="16"/>
          <w:i w:val="1"/>
          <w:iCs w:val="1"/>
          <w:color w:val="auto"/>
        </w:rPr>
        <w:t>“...effectively supervised corporate governance practices and adopted necessary measures for their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proper implementation” </w:t>
      </w:r>
      <w:r>
        <w:rPr>
          <w:rFonts w:ascii="Times New Roman" w:cs="Times New Roman" w:eastAsia="Times New Roman" w:hAnsi="Times New Roman"/>
          <w:sz w:val="16"/>
          <w:szCs w:val="16"/>
          <w:color w:val="auto"/>
        </w:rPr>
        <w:t>and thus the contributions do not contradict those reports either.</w:t>
      </w:r>
    </w:p>
    <w:p>
      <w:pPr>
        <w:spacing w:after="0" w:line="104"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6"/>
          <w:szCs w:val="16"/>
          <w:color w:val="auto"/>
        </w:rPr>
        <w:t xml:space="preserve">Finally, the Issuer states: </w:t>
      </w:r>
      <w:r>
        <w:rPr>
          <w:rFonts w:ascii="Times New Roman" w:cs="Times New Roman" w:eastAsia="Times New Roman" w:hAnsi="Times New Roman"/>
          <w:sz w:val="16"/>
          <w:szCs w:val="16"/>
          <w:i w:val="1"/>
          <w:iCs w:val="1"/>
          <w:color w:val="auto"/>
        </w:rPr>
        <w:t>“…Credicorp is currently working with Nestor Advisors Inc., an international, first</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tier corporate governance consulting firm, which 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conducting an evaluation, diagnosis, and recommendations for improving the company’s corporate governance system.”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SPECIFIC DEFENSES REGARDING THE SECOND CHARGE</w:t>
      </w:r>
    </w:p>
    <w:p>
      <w:pPr>
        <w:spacing w:after="0" w:line="2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b w:val="1"/>
          <w:bCs w:val="1"/>
          <w:color w:val="auto"/>
        </w:rPr>
        <w:t>8.1. LACK OF REASONABLENESS AND PROPORTIONALITY IN INITIATING FOUR SANCTIONING PROCEEDINGS FOR A SINGLE INFRACTION</w:t>
      </w:r>
    </w:p>
    <w:p>
      <w:pPr>
        <w:spacing w:after="0" w:line="1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Regarding this argument, the Issuer states that: </w:t>
      </w:r>
      <w:r>
        <w:rPr>
          <w:rFonts w:ascii="Times New Roman" w:cs="Times New Roman" w:eastAsia="Times New Roman" w:hAnsi="Times New Roman"/>
          <w:sz w:val="16"/>
          <w:szCs w:val="16"/>
          <w:i w:val="1"/>
          <w:iCs w:val="1"/>
          <w:color w:val="auto"/>
        </w:rPr>
        <w:t>[Specifically, the SMV has attributed to the Subsidiaries the following infraction: “carrying out any act, omission,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practice or conduct that undermines the integrity or transparency of the market” (subsection 1.5 of numeral 1 of Annex I of the Sanctions Regulation in force in 2016).]</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The Issuer also notes that: </w:t>
      </w:r>
      <w:r>
        <w:rPr>
          <w:rFonts w:ascii="Times New Roman" w:cs="Times New Roman" w:eastAsia="Times New Roman" w:hAnsi="Times New Roman"/>
          <w:sz w:val="16"/>
          <w:szCs w:val="16"/>
          <w:i w:val="1"/>
          <w:iCs w:val="1"/>
          <w:color w:val="auto"/>
        </w:rPr>
        <w:t>“…both Credicorp and the Subsidiaries should have disclosed the information related to the 2016 Contributions. In fact, the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regarding the 2016 Contributions that, according to the SMV, the Subsidiaries should have disclosed, would essentially be the same as what Credicorp could have disclosed through a material event.” </w:t>
      </w:r>
      <w:r>
        <w:rPr>
          <w:rFonts w:ascii="Times New Roman" w:cs="Times New Roman" w:eastAsia="Times New Roman" w:hAnsi="Times New Roman"/>
          <w:sz w:val="16"/>
          <w:szCs w:val="16"/>
          <w:color w:val="auto"/>
        </w:rPr>
        <w:t>It emphasizes that the SMV initiated four (4) sanctioning proceedings</w:t>
      </w:r>
      <w:r>
        <w:rPr>
          <w:rFonts w:ascii="Times New Roman" w:cs="Times New Roman" w:eastAsia="Times New Roman" w:hAnsi="Times New Roman"/>
          <w:sz w:val="16"/>
          <w:szCs w:val="16"/>
          <w:i w:val="1"/>
          <w:iCs w:val="1"/>
          <w:color w:val="auto"/>
        </w:rPr>
        <w:t xml:space="preserve"> “for the alleged commission of a single administrative infraction related to the failure to disclose information regarding the 2016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212725</wp:posOffset>
            </wp:positionV>
            <wp:extent cx="714629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660"/>
          </w:cols>
          <w:pgMar w:left="900" w:top="121" w:right="339" w:bottom="1440" w:gutter="0" w:footer="0" w:header="0"/>
        </w:sectPr>
      </w:pPr>
    </w:p>
    <w:bookmarkStart w:id="43" w:name="page44"/>
    <w:bookmarkEnd w:id="43"/>
    <w:p>
      <w:pPr>
        <w:jc w:val="both"/>
        <w:ind w:left="40"/>
        <w:spacing w:after="0" w:line="271" w:lineRule="auto"/>
        <w:rPr>
          <w:sz w:val="20"/>
          <w:szCs w:val="20"/>
          <w:color w:val="auto"/>
        </w:rPr>
      </w:pPr>
      <w:r>
        <w:rPr>
          <w:rFonts w:ascii="Times New Roman" w:cs="Times New Roman" w:eastAsia="Times New Roman" w:hAnsi="Times New Roman"/>
          <w:sz w:val="16"/>
          <w:szCs w:val="16"/>
          <w:color w:val="auto"/>
        </w:rPr>
        <w:t xml:space="preserve">Based on the above, the Issuer refers to: </w:t>
      </w:r>
      <w:r>
        <w:rPr>
          <w:rFonts w:ascii="Times New Roman" w:cs="Times New Roman" w:eastAsia="Times New Roman" w:hAnsi="Times New Roman"/>
          <w:sz w:val="16"/>
          <w:szCs w:val="16"/>
          <w:i w:val="1"/>
          <w:iCs w:val="1"/>
          <w:color w:val="auto"/>
        </w:rPr>
        <w:t>[“…numeral 251.2, Article 251 of the LPAG, which states that ‘when compliance with the obligations set forth in a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provision corresponds jointly to several persons, they shall be jointly liable for the infractions that may be committed and for the sanctions that are imposed,’”]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cites Professor Alejandro Nieto for support.</w:t>
      </w:r>
    </w:p>
    <w:p>
      <w:pPr>
        <w:spacing w:after="0" w:line="154" w:lineRule="exact"/>
        <w:rPr>
          <w:sz w:val="20"/>
          <w:szCs w:val="20"/>
          <w:color w:val="auto"/>
        </w:rPr>
      </w:pPr>
    </w:p>
    <w:p>
      <w:pPr>
        <w:jc w:val="both"/>
        <w:ind w:left="40"/>
        <w:spacing w:after="0" w:line="271" w:lineRule="auto"/>
        <w:rPr>
          <w:sz w:val="20"/>
          <w:szCs w:val="20"/>
          <w:color w:val="auto"/>
        </w:rPr>
      </w:pPr>
      <w:r>
        <w:rPr>
          <w:rFonts w:ascii="Times New Roman" w:cs="Times New Roman" w:eastAsia="Times New Roman" w:hAnsi="Times New Roman"/>
          <w:sz w:val="16"/>
          <w:szCs w:val="16"/>
          <w:color w:val="auto"/>
        </w:rPr>
        <w:t xml:space="preserve">It further states: </w:t>
      </w:r>
      <w:r>
        <w:rPr>
          <w:rFonts w:ascii="Times New Roman" w:cs="Times New Roman" w:eastAsia="Times New Roman" w:hAnsi="Times New Roman"/>
          <w:sz w:val="16"/>
          <w:szCs w:val="16"/>
          <w:i w:val="1"/>
          <w:iCs w:val="1"/>
          <w:color w:val="auto"/>
        </w:rPr>
        <w:t>“…the SMV maintains that both Credicorp and the three Subsidiaries were jointly obligated to comply with a single obligation: disclosing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information about the 2016 Contributions, deemed allegedly relevant to the market. That is, according to the SMV, there was a single obligation to be jointly fulfilled by multiple legal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109220</wp:posOffset>
            </wp:positionV>
            <wp:extent cx="6868795" cy="894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68795" cy="894080"/>
                    </a:xfrm>
                    <a:prstGeom prst="rect">
                      <a:avLst/>
                    </a:prstGeom>
                    <a:noFill/>
                  </pic:spPr>
                </pic:pic>
              </a:graphicData>
            </a:graphic>
          </wp:anchor>
        </w:drawing>
      </w:r>
    </w:p>
    <w:p>
      <w:pPr>
        <w:spacing w:after="0" w:line="158"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6"/>
          <w:szCs w:val="16"/>
          <w:color w:val="auto"/>
        </w:rPr>
        <w:t xml:space="preserve">According to this reasoning, the Issuer argues that: </w:t>
      </w:r>
      <w:r>
        <w:rPr>
          <w:rFonts w:ascii="Times New Roman" w:cs="Times New Roman" w:eastAsia="Times New Roman" w:hAnsi="Times New Roman"/>
          <w:sz w:val="16"/>
          <w:szCs w:val="16"/>
          <w:i w:val="1"/>
          <w:iCs w:val="1"/>
          <w:color w:val="auto"/>
        </w:rPr>
        <w:t>“…the SMV should not have initiated separate sanctioning proceedings against each of the three Subsidiaries if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 proceeding had already been initiated against Credicorp. Under numeral 251.2 of the LPAG, it would have been sufficient to initiate a single proceeding against one company and include the Subsidiaries as jointly liable, if applicable.”</w:t>
      </w:r>
    </w:p>
    <w:p>
      <w:pPr>
        <w:spacing w:after="0" w:line="154"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6"/>
          <w:szCs w:val="16"/>
          <w:color w:val="auto"/>
        </w:rPr>
        <w:t xml:space="preserve">The Issuer further argues that: </w:t>
      </w:r>
      <w:r>
        <w:rPr>
          <w:rFonts w:ascii="Times New Roman" w:cs="Times New Roman" w:eastAsia="Times New Roman" w:hAnsi="Times New Roman"/>
          <w:sz w:val="16"/>
          <w:szCs w:val="16"/>
          <w:i w:val="1"/>
          <w:iCs w:val="1"/>
          <w:color w:val="auto"/>
        </w:rPr>
        <w:t>“If the SMV’s intention is for investors to have information necessary for their investment decisions, such purpose is sufficiently met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with a single material event disclosure. Requiring the three Subsidiaries to issue the same disclosure does not benefit investors, nor does it generate greater transparency. On the contrary, such unreasonable requirement would generate unnecessary costs for the companies.”</w:t>
      </w:r>
    </w:p>
    <w:p>
      <w:pPr>
        <w:spacing w:after="0" w:line="178" w:lineRule="exact"/>
        <w:rPr>
          <w:sz w:val="20"/>
          <w:szCs w:val="20"/>
          <w:color w:val="auto"/>
        </w:rPr>
      </w:pPr>
    </w:p>
    <w:p>
      <w:pPr>
        <w:jc w:val="both"/>
        <w:ind w:left="40"/>
        <w:spacing w:after="0" w:line="271" w:lineRule="auto"/>
        <w:rPr>
          <w:sz w:val="20"/>
          <w:szCs w:val="20"/>
          <w:color w:val="auto"/>
        </w:rPr>
      </w:pPr>
      <w:r>
        <w:rPr>
          <w:rFonts w:ascii="Times New Roman" w:cs="Times New Roman" w:eastAsia="Times New Roman" w:hAnsi="Times New Roman"/>
          <w:sz w:val="16"/>
          <w:szCs w:val="16"/>
          <w:color w:val="auto"/>
        </w:rPr>
        <w:t xml:space="preserve">Accordingly, the Issuer states that this approach </w:t>
      </w:r>
      <w:r>
        <w:rPr>
          <w:rFonts w:ascii="Times New Roman" w:cs="Times New Roman" w:eastAsia="Times New Roman" w:hAnsi="Times New Roman"/>
          <w:sz w:val="16"/>
          <w:szCs w:val="16"/>
          <w:i w:val="1"/>
          <w:iCs w:val="1"/>
          <w:color w:val="auto"/>
        </w:rPr>
        <w:t>“…not only violates the rule on joint liability, but is also contrary to the Principle of Reasonableness set forth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numeral 1.4, Article IV of the Preliminary Title of the LPAG. Under this principle, administrative decisions must maintain ‘the proper proportion between the means employed and the public ends to be protected, ensuring that they respond strictly to what is necessary to fulfill their purpose.’”</w:t>
      </w:r>
    </w:p>
    <w:p>
      <w:pPr>
        <w:spacing w:after="0" w:line="154" w:lineRule="exact"/>
        <w:rPr>
          <w:sz w:val="20"/>
          <w:szCs w:val="20"/>
          <w:color w:val="auto"/>
        </w:rPr>
      </w:pPr>
    </w:p>
    <w:p>
      <w:pPr>
        <w:jc w:val="both"/>
        <w:ind w:left="40"/>
        <w:spacing w:after="0" w:line="265" w:lineRule="auto"/>
        <w:rPr>
          <w:sz w:val="20"/>
          <w:szCs w:val="20"/>
          <w:color w:val="auto"/>
        </w:rPr>
      </w:pPr>
      <w:r>
        <w:rPr>
          <w:rFonts w:ascii="Times New Roman" w:cs="Times New Roman" w:eastAsia="Times New Roman" w:hAnsi="Times New Roman"/>
          <w:sz w:val="16"/>
          <w:szCs w:val="16"/>
          <w:color w:val="auto"/>
        </w:rPr>
        <w:t xml:space="preserve">The Issuer asserts that: </w:t>
      </w:r>
      <w:r>
        <w:rPr>
          <w:rFonts w:ascii="Times New Roman" w:cs="Times New Roman" w:eastAsia="Times New Roman" w:hAnsi="Times New Roman"/>
          <w:sz w:val="16"/>
          <w:szCs w:val="16"/>
          <w:i w:val="1"/>
          <w:iCs w:val="1"/>
          <w:color w:val="auto"/>
        </w:rPr>
        <w:t>“Indeed, we have demonstrated that a single material event disclosure is sufficient to promote market transparency and protect investors’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right to information. Conversely, requiring four (4) separate material event disclosures by Credicorp and the three Subsidiaries regarding the same information could generate confusion. Such situations could lead to a future requirement that every relevant fact affecting any subsidiary be mandatorily disclosed by the parent company, even when the fact has no materiality for the parent, thereby duplicating information and causing confusion in the market and among investors.”</w:t>
      </w:r>
    </w:p>
    <w:p>
      <w:pPr>
        <w:spacing w:after="0" w:line="159" w:lineRule="exact"/>
        <w:rPr>
          <w:sz w:val="20"/>
          <w:szCs w:val="20"/>
          <w:color w:val="auto"/>
        </w:rPr>
      </w:pPr>
    </w:p>
    <w:p>
      <w:pPr>
        <w:jc w:val="both"/>
        <w:ind w:left="40"/>
        <w:spacing w:after="0" w:line="265" w:lineRule="auto"/>
        <w:rPr>
          <w:sz w:val="20"/>
          <w:szCs w:val="20"/>
          <w:color w:val="auto"/>
        </w:rPr>
      </w:pPr>
      <w:r>
        <w:rPr>
          <w:rFonts w:ascii="Times New Roman" w:cs="Times New Roman" w:eastAsia="Times New Roman" w:hAnsi="Times New Roman"/>
          <w:sz w:val="16"/>
          <w:szCs w:val="16"/>
          <w:color w:val="auto"/>
        </w:rPr>
        <w:t xml:space="preserve">It concludes that: </w:t>
      </w:r>
      <w:r>
        <w:rPr>
          <w:rFonts w:ascii="Times New Roman" w:cs="Times New Roman" w:eastAsia="Times New Roman" w:hAnsi="Times New Roman"/>
          <w:sz w:val="16"/>
          <w:szCs w:val="16"/>
          <w:i w:val="1"/>
          <w:iCs w:val="1"/>
          <w:color w:val="auto"/>
        </w:rPr>
        <w:t>“…the intention to sanction both Credicorp and the Subsidiaries is neither necessary nor proportional.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Imposing additional sanctions on three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Subsidiaries would not better serve the public interest protected by the LMV and could cause confusion among investors</w:t>
      </w:r>
      <w:r>
        <w:rPr>
          <w:rFonts w:ascii="Times New Roman" w:cs="Times New Roman" w:eastAsia="Times New Roman" w:hAnsi="Times New Roman"/>
          <w:sz w:val="16"/>
          <w:szCs w:val="16"/>
          <w:i w:val="1"/>
          <w:iCs w:val="1"/>
          <w:color w:val="auto"/>
        </w:rPr>
        <w:t>. Therefore, the SMV should decide whether to continue the sanctioning proceeding against Credicorp or against the Subsidiaries, ensuring that such decision fully addresses the alleged harm without duplication of proceedings or sanctions, in accordance with the principles of reasonableness and proportionality.”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212725</wp:posOffset>
            </wp:positionV>
            <wp:extent cx="714629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700"/>
          </w:cols>
          <w:pgMar w:left="860" w:top="121" w:right="339" w:bottom="1440" w:gutter="0" w:footer="0" w:header="0"/>
        </w:sectPr>
      </w:pPr>
    </w:p>
    <w:bookmarkStart w:id="44" w:name="page45"/>
    <w:bookmarkEnd w:id="44"/>
    <w:p>
      <w:pPr>
        <w:ind w:left="292"/>
        <w:spacing w:after="0"/>
        <w:rPr>
          <w:sz w:val="20"/>
          <w:szCs w:val="20"/>
          <w:color w:val="auto"/>
        </w:rPr>
      </w:pPr>
      <w:r>
        <w:rPr>
          <w:rFonts w:ascii="Times New Roman" w:cs="Times New Roman" w:eastAsia="Times New Roman" w:hAnsi="Times New Roman"/>
          <w:sz w:val="16"/>
          <w:szCs w:val="16"/>
          <w:b w:val="1"/>
          <w:bCs w:val="1"/>
          <w:color w:val="auto"/>
        </w:rPr>
        <w:t>8.2. THE 2016 AGREEMENT WAS NOT MATERIAL</w:t>
      </w:r>
    </w:p>
    <w:p>
      <w:pPr>
        <w:spacing w:after="0" w:line="204"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16"/>
          <w:szCs w:val="16"/>
          <w:b w:val="1"/>
          <w:bCs w:val="1"/>
          <w:color w:val="auto"/>
        </w:rPr>
        <w:t>8.2.1. LACK OF MATERIALITY OF THE 2016 AGREEMENT</w:t>
      </w:r>
    </w:p>
    <w:p>
      <w:pPr>
        <w:spacing w:after="0" w:line="204" w:lineRule="exact"/>
        <w:rPr>
          <w:sz w:val="20"/>
          <w:szCs w:val="20"/>
          <w:color w:val="auto"/>
        </w:rPr>
      </w:pPr>
    </w:p>
    <w:p>
      <w:pPr>
        <w:jc w:val="both"/>
        <w:ind w:left="292"/>
        <w:spacing w:after="0" w:line="271" w:lineRule="auto"/>
        <w:rPr>
          <w:sz w:val="20"/>
          <w:szCs w:val="20"/>
          <w:color w:val="auto"/>
        </w:rPr>
      </w:pPr>
      <w:r>
        <w:rPr>
          <w:rFonts w:ascii="Times New Roman" w:cs="Times New Roman" w:eastAsia="Times New Roman" w:hAnsi="Times New Roman"/>
          <w:sz w:val="16"/>
          <w:szCs w:val="16"/>
          <w:color w:val="auto"/>
        </w:rPr>
        <w:t xml:space="preserve">Regarding this argument, the Issuer states that the </w:t>
      </w:r>
      <w:r>
        <w:rPr>
          <w:rFonts w:ascii="Times New Roman" w:cs="Times New Roman" w:eastAsia="Times New Roman" w:hAnsi="Times New Roman"/>
          <w:sz w:val="16"/>
          <w:szCs w:val="16"/>
          <w:b w:val="1"/>
          <w:bCs w:val="1"/>
          <w:color w:val="auto"/>
        </w:rPr>
        <w:t>2016 AGREEMENT</w:t>
      </w:r>
      <w:r>
        <w:rPr>
          <w:rFonts w:ascii="Times New Roman" w:cs="Times New Roman" w:eastAsia="Times New Roman" w:hAnsi="Times New Roman"/>
          <w:sz w:val="16"/>
          <w:szCs w:val="16"/>
          <w:color w:val="auto"/>
        </w:rPr>
        <w:t xml:space="preserve"> is a decision of Credicorp’s Executive Committee through which, in accordance with Credicorp’s Contributions Policy, “</w:t>
      </w:r>
      <w:r>
        <w:rPr>
          <w:rFonts w:ascii="Times New Roman" w:cs="Times New Roman" w:eastAsia="Times New Roman" w:hAnsi="Times New Roman"/>
          <w:sz w:val="16"/>
          <w:szCs w:val="16"/>
          <w:i w:val="1"/>
          <w:iCs w:val="1"/>
          <w:color w:val="auto"/>
        </w:rPr>
        <w:t>contributions equivalent to 60 UIT at the time (S/ 237,000.00) were authorized to be made by BCP, Pacífico and Mibanco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favor of the political party Peruanos Por el Kambio</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both"/>
        <w:ind w:left="292"/>
        <w:spacing w:after="0" w:line="290" w:lineRule="auto"/>
        <w:rPr>
          <w:sz w:val="20"/>
          <w:szCs w:val="20"/>
          <w:color w:val="auto"/>
        </w:rPr>
      </w:pPr>
      <w:r>
        <w:rPr>
          <w:rFonts w:ascii="Times New Roman" w:cs="Times New Roman" w:eastAsia="Times New Roman" w:hAnsi="Times New Roman"/>
          <w:sz w:val="16"/>
          <w:szCs w:val="16"/>
          <w:color w:val="auto"/>
        </w:rPr>
        <w:t>The Issuer reiterates, as it did in the first charge, that: “</w:t>
      </w:r>
      <w:r>
        <w:rPr>
          <w:rFonts w:ascii="Times New Roman" w:cs="Times New Roman" w:eastAsia="Times New Roman" w:hAnsi="Times New Roman"/>
          <w:sz w:val="16"/>
          <w:szCs w:val="16"/>
          <w:i w:val="1"/>
          <w:iCs w:val="1"/>
          <w:color w:val="auto"/>
        </w:rPr>
        <w:t>the basic requirement for an issuer to be obligated to disclose a material event is that the information be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material, as established in Article 28 of the LMV and Articles 3, 4 and 6 of the Regulation on Material Events.</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ind w:left="292"/>
        <w:spacing w:after="0" w:line="271" w:lineRule="auto"/>
        <w:rPr>
          <w:sz w:val="20"/>
          <w:szCs w:val="20"/>
          <w:color w:val="auto"/>
        </w:rPr>
      </w:pPr>
      <w:r>
        <w:rPr>
          <w:rFonts w:ascii="Times New Roman" w:cs="Times New Roman" w:eastAsia="Times New Roman" w:hAnsi="Times New Roman"/>
          <w:sz w:val="16"/>
          <w:szCs w:val="16"/>
          <w:color w:val="auto"/>
        </w:rPr>
        <w:t xml:space="preserve">Regarding the SMV’s conclusion that the </w:t>
      </w:r>
      <w:r>
        <w:rPr>
          <w:rFonts w:ascii="Times New Roman" w:cs="Times New Roman" w:eastAsia="Times New Roman" w:hAnsi="Times New Roman"/>
          <w:sz w:val="16"/>
          <w:szCs w:val="16"/>
          <w:b w:val="1"/>
          <w:bCs w:val="1"/>
          <w:color w:val="auto"/>
        </w:rPr>
        <w:t>2016 AGREEMENT</w:t>
      </w:r>
      <w:r>
        <w:rPr>
          <w:rFonts w:ascii="Times New Roman" w:cs="Times New Roman" w:eastAsia="Times New Roman" w:hAnsi="Times New Roman"/>
          <w:sz w:val="16"/>
          <w:szCs w:val="16"/>
          <w:color w:val="auto"/>
        </w:rPr>
        <w:t xml:space="preserve"> was material, the Issuer states: “</w:t>
      </w:r>
      <w:r>
        <w:rPr>
          <w:rFonts w:ascii="Times New Roman" w:cs="Times New Roman" w:eastAsia="Times New Roman" w:hAnsi="Times New Roman"/>
          <w:sz w:val="16"/>
          <w:szCs w:val="16"/>
          <w:i w:val="1"/>
          <w:iCs w:val="1"/>
          <w:color w:val="auto"/>
        </w:rPr>
        <w:t>With all due respect, we believe that the reasoning in the Charges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Letter is incorrect, and that the information concerning the 2016 Agreement did not possess materiality. Consequently, Credicorp was under no obligation to disclose it to the market</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both"/>
        <w:ind w:left="292"/>
        <w:spacing w:after="0" w:line="265" w:lineRule="auto"/>
        <w:rPr>
          <w:sz w:val="20"/>
          <w:szCs w:val="20"/>
          <w:color w:val="auto"/>
        </w:rPr>
      </w:pPr>
      <w:r>
        <w:rPr>
          <w:rFonts w:ascii="Times New Roman" w:cs="Times New Roman" w:eastAsia="Times New Roman" w:hAnsi="Times New Roman"/>
          <w:sz w:val="16"/>
          <w:szCs w:val="16"/>
          <w:color w:val="auto"/>
        </w:rPr>
        <w:t>In support of its position, the Issuer explains that: “</w:t>
      </w:r>
      <w:r>
        <w:rPr>
          <w:rFonts w:ascii="Times New Roman" w:cs="Times New Roman" w:eastAsia="Times New Roman" w:hAnsi="Times New Roman"/>
          <w:sz w:val="16"/>
          <w:szCs w:val="16"/>
          <w:i w:val="1"/>
          <w:iCs w:val="1"/>
          <w:color w:val="auto"/>
        </w:rPr>
        <w:t>As stated in section 1.2 of this document, the total amount of the 2016 Contributions (S/ 711,000.00) represents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only 0.0047% of Credicorp’s total revenues and 0.0117% of its total expenses for fiscal year 2016. Therefore, it is absolutely immaterial to Credicorp from the standpoint of its ‘operations, assets, results, financial situation, or general business or commercial position; or its securities or their offering; as well as the price or trading of its securities.’ It is, therefore, an amount that is exceedingly small relative to Credicorp’s operations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16"/>
          <w:szCs w:val="16"/>
          <w:color w:val="auto"/>
        </w:rPr>
        <w:t>The Issuer then adds that the SMV must also consider the following:</w:t>
      </w:r>
    </w:p>
    <w:p>
      <w:pPr>
        <w:spacing w:after="0" w:line="200"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 addition to its absolute immateriality for Credicorp,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2016 AGREEMENT</w:t>
      </w:r>
      <w:r>
        <w:rPr>
          <w:rFonts w:ascii="Times New Roman" w:cs="Times New Roman" w:eastAsia="Times New Roman" w:hAnsi="Times New Roman"/>
          <w:sz w:val="16"/>
          <w:szCs w:val="16"/>
          <w:i w:val="1"/>
          <w:iCs w:val="1"/>
          <w:color w:val="auto"/>
        </w:rPr>
        <w:t>:</w:t>
      </w:r>
    </w:p>
    <w:p>
      <w:pPr>
        <w:spacing w:after="0" w:line="173" w:lineRule="exact"/>
        <w:rPr>
          <w:sz w:val="20"/>
          <w:szCs w:val="20"/>
          <w:color w:val="auto"/>
        </w:rPr>
      </w:pPr>
    </w:p>
    <w:p>
      <w:pPr>
        <w:ind w:left="292" w:hanging="292"/>
        <w:spacing w:after="0" w:line="184" w:lineRule="exact"/>
        <w:tabs>
          <w:tab w:leader="none" w:pos="29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Was adopted in strict compliance with Credicorp’s Corporate Anti</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Corruption and Anti</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Bribery Policy and applicable electoral legislation;</w:t>
      </w:r>
    </w:p>
    <w:p>
      <w:pPr>
        <w:spacing w:after="0" w:line="238" w:lineRule="exact"/>
        <w:rPr>
          <w:rFonts w:ascii="Times New Roman" w:cs="Times New Roman" w:eastAsia="Times New Roman" w:hAnsi="Times New Roman"/>
          <w:sz w:val="16"/>
          <w:szCs w:val="16"/>
          <w:color w:val="auto"/>
        </w:rPr>
      </w:pPr>
    </w:p>
    <w:p>
      <w:pPr>
        <w:ind w:left="292" w:hanging="292"/>
        <w:spacing w:after="0"/>
        <w:tabs>
          <w:tab w:leader="none" w:pos="29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Was duly recorded and accounted for by BCP, Pacífico and Mibanco;</w:t>
      </w:r>
    </w:p>
    <w:p>
      <w:pPr>
        <w:spacing w:after="0" w:line="204" w:lineRule="exact"/>
        <w:rPr>
          <w:rFonts w:ascii="Times New Roman" w:cs="Times New Roman" w:eastAsia="Times New Roman" w:hAnsi="Times New Roman"/>
          <w:sz w:val="16"/>
          <w:szCs w:val="16"/>
          <w:color w:val="auto"/>
        </w:rPr>
      </w:pPr>
    </w:p>
    <w:p>
      <w:pPr>
        <w:ind w:left="292" w:hanging="292"/>
        <w:spacing w:after="0" w:line="290" w:lineRule="auto"/>
        <w:tabs>
          <w:tab w:leader="none" w:pos="29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Was subject to a Monitoring Report conducted by Credicorp’s Compliance Division on June 28, 2016 (see Annex 5.2.1), which confirmed its full legality, regularity, and transparency (‘2016 Monitoring Report’);</w:t>
      </w:r>
    </w:p>
    <w:p>
      <w:pPr>
        <w:spacing w:after="0" w:line="138" w:lineRule="exact"/>
        <w:rPr>
          <w:rFonts w:ascii="Times New Roman" w:cs="Times New Roman" w:eastAsia="Times New Roman" w:hAnsi="Times New Roman"/>
          <w:sz w:val="16"/>
          <w:szCs w:val="16"/>
          <w:color w:val="auto"/>
        </w:rPr>
      </w:pPr>
    </w:p>
    <w:p>
      <w:pPr>
        <w:ind w:left="292" w:hanging="292"/>
        <w:spacing w:after="0"/>
        <w:tabs>
          <w:tab w:leader="none" w:pos="29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Was reported by the political party Peruanos Por el Kambio to the ONPE; and</w:t>
      </w:r>
    </w:p>
    <w:p>
      <w:pPr>
        <w:spacing w:after="0" w:line="204" w:lineRule="exact"/>
        <w:rPr>
          <w:rFonts w:ascii="Times New Roman" w:cs="Times New Roman" w:eastAsia="Times New Roman" w:hAnsi="Times New Roman"/>
          <w:sz w:val="16"/>
          <w:szCs w:val="16"/>
          <w:color w:val="auto"/>
        </w:rPr>
      </w:pPr>
    </w:p>
    <w:p>
      <w:pPr>
        <w:ind w:left="292" w:hanging="292"/>
        <w:spacing w:after="0"/>
        <w:tabs>
          <w:tab w:leader="none" w:pos="29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Was published on the ONPE website.”</w:t>
      </w:r>
    </w:p>
    <w:p>
      <w:pPr>
        <w:spacing w:after="0" w:line="202" w:lineRule="exact"/>
        <w:rPr>
          <w:rFonts w:ascii="Times New Roman" w:cs="Times New Roman" w:eastAsia="Times New Roman" w:hAnsi="Times New Roman"/>
          <w:sz w:val="16"/>
          <w:szCs w:val="16"/>
          <w:color w:val="auto"/>
        </w:rPr>
      </w:pPr>
    </w:p>
    <w:p>
      <w:pPr>
        <w:jc w:val="both"/>
        <w:ind w:left="292"/>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Finally, the Issuer emphasizes that: </w:t>
      </w:r>
      <w:r>
        <w:rPr>
          <w:rFonts w:ascii="Times New Roman" w:cs="Times New Roman" w:eastAsia="Times New Roman" w:hAnsi="Times New Roman"/>
          <w:sz w:val="16"/>
          <w:szCs w:val="16"/>
          <w:i w:val="1"/>
          <w:iCs w:val="1"/>
          <w:color w:val="auto"/>
        </w:rPr>
        <w:t>“Thus,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2016 AGREEMENT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the 2016 Contributions are not only absolutely immaterial from a securities regulation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standpoint, but they also relate to a political contribution made with full transparency and legality, in strict compliance with applicable laws, procedures and internal policies, and were reported and published through the appropriate mechanisms under applicable law — electoral legislation. Therefore, Credicorp had no obligation whatsoever to disclose them to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212090</wp:posOffset>
            </wp:positionV>
            <wp:extent cx="714629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52"/>
          </w:cols>
          <w:pgMar w:left="608" w:top="121" w:right="339"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6"/>
          <w:szCs w:val="16"/>
          <w:b w:val="1"/>
          <w:bCs w:val="1"/>
          <w:color w:val="auto"/>
        </w:rPr>
        <w:t>8.2.2. THE MATERIALITY REQUIREMENT</w:t>
      </w:r>
    </w:p>
    <w:p>
      <w:pPr>
        <w:spacing w:after="0" w:line="206" w:lineRule="exact"/>
        <w:rPr>
          <w:sz w:val="20"/>
          <w:szCs w:val="20"/>
          <w:color w:val="auto"/>
        </w:rPr>
      </w:pPr>
    </w:p>
    <w:p>
      <w:pPr>
        <w:jc w:val="both"/>
        <w:ind w:left="40" w:right="20"/>
        <w:spacing w:after="0" w:line="197" w:lineRule="exact"/>
        <w:rPr>
          <w:sz w:val="20"/>
          <w:szCs w:val="20"/>
          <w:color w:val="auto"/>
        </w:rPr>
      </w:pPr>
      <w:r>
        <w:rPr>
          <w:rFonts w:ascii="Times New Roman" w:cs="Times New Roman" w:eastAsia="Times New Roman" w:hAnsi="Times New Roman"/>
          <w:sz w:val="16"/>
          <w:szCs w:val="16"/>
          <w:color w:val="auto"/>
        </w:rPr>
        <w:t xml:space="preserve">Regarding this argument, the Issuer reiterates that material information is that which, if disclosed, has the capacity to significantly influence a reasonable investor’s investment decisions. It then states: </w:t>
      </w:r>
      <w:r>
        <w:rPr>
          <w:rFonts w:ascii="Times New Roman" w:cs="Times New Roman" w:eastAsia="Times New Roman" w:hAnsi="Times New Roman"/>
          <w:sz w:val="16"/>
          <w:szCs w:val="16"/>
          <w:i w:val="1"/>
          <w:iCs w:val="1"/>
          <w:color w:val="auto"/>
        </w:rPr>
        <w:t>“There is no provision in securities market regulation requiring an issuer to disclose political contributions, even if they are not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material. Moreover, political contributions are not included in the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 xml:space="preserve">exhaustive list of agreements that might constitute material events under the Annex of the Regulation on Material Events. Therefore, the materiality requirements set forth in Articles 3 and 4 of the Regulation on Material Events apply equally to political contributions to determine whether they must be disclosed. Accordingly, Credicorp was not obligated — indeed, was prohibited under Article 6 of the Regulation on Material Events — from disclosing the </w:t>
      </w:r>
      <w:r>
        <w:rPr>
          <w:rFonts w:ascii="Times New Roman" w:cs="Times New Roman" w:eastAsia="Times New Roman" w:hAnsi="Times New Roman"/>
          <w:sz w:val="16"/>
          <w:szCs w:val="16"/>
          <w:b w:val="1"/>
          <w:bCs w:val="1"/>
          <w:i w:val="1"/>
          <w:iCs w:val="1"/>
          <w:color w:val="auto"/>
        </w:rPr>
        <w:t>2016 AGREEMENT</w:t>
      </w:r>
      <w:r>
        <w:rPr>
          <w:rFonts w:ascii="Times New Roman" w:cs="Times New Roman" w:eastAsia="Times New Roman" w:hAnsi="Times New Roman"/>
          <w:sz w:val="16"/>
          <w:szCs w:val="16"/>
          <w:i w:val="1"/>
          <w:iCs w:val="1"/>
          <w:color w:val="auto"/>
        </w:rPr>
        <w:t xml:space="preserve"> as a material event unless it first determined that such information was material as defined by Articles 3 and 4 of said Regulation.”</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8.2.3. ZERO FINANCIAL IMPACT OF THE 2016 AGREEMENT</w:t>
      </w:r>
    </w:p>
    <w:p>
      <w:pPr>
        <w:spacing w:after="0" w:line="202" w:lineRule="exact"/>
        <w:rPr>
          <w:sz w:val="20"/>
          <w:szCs w:val="20"/>
          <w:color w:val="auto"/>
        </w:rPr>
      </w:pPr>
    </w:p>
    <w:p>
      <w:pPr>
        <w:jc w:val="both"/>
        <w:ind w:left="40"/>
        <w:spacing w:after="0" w:line="292" w:lineRule="auto"/>
        <w:rPr>
          <w:sz w:val="20"/>
          <w:szCs w:val="20"/>
          <w:color w:val="auto"/>
        </w:rPr>
      </w:pPr>
      <w:r>
        <w:rPr>
          <w:rFonts w:ascii="Times New Roman" w:cs="Times New Roman" w:eastAsia="Times New Roman" w:hAnsi="Times New Roman"/>
          <w:sz w:val="16"/>
          <w:szCs w:val="16"/>
          <w:color w:val="auto"/>
        </w:rPr>
        <w:t>Regarding this argument, the Issuer states that: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2016 AGREEMENT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involved contributions of S/ 237,000.00 made by each of the Subsidiaries. This amount 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absolutely immaterial considering the operations of Credicorp and of each of the Subsidiaries.</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both"/>
        <w:ind w:left="40" w:right="20"/>
        <w:spacing w:after="0" w:line="290" w:lineRule="auto"/>
        <w:rPr>
          <w:sz w:val="20"/>
          <w:szCs w:val="20"/>
          <w:color w:val="auto"/>
        </w:rPr>
      </w:pPr>
      <w:r>
        <w:rPr>
          <w:rFonts w:ascii="Times New Roman" w:cs="Times New Roman" w:eastAsia="Times New Roman" w:hAnsi="Times New Roman"/>
          <w:sz w:val="16"/>
          <w:szCs w:val="16"/>
          <w:color w:val="auto"/>
        </w:rPr>
        <w:t>The Issuer also states: “</w:t>
      </w:r>
      <w:r>
        <w:rPr>
          <w:rFonts w:ascii="Times New Roman" w:cs="Times New Roman" w:eastAsia="Times New Roman" w:hAnsi="Times New Roman"/>
          <w:sz w:val="16"/>
          <w:szCs w:val="16"/>
          <w:i w:val="1"/>
          <w:iCs w:val="1"/>
          <w:color w:val="auto"/>
        </w:rPr>
        <w:t>Thus, as noted, the total amount of the contributions represents only 0.0047% of Credicorp’s revenues and 0.0117% of its expenses for fiscal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year 2016.</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ind w:left="40" w:right="20"/>
        <w:spacing w:after="0" w:line="282" w:lineRule="auto"/>
        <w:rPr>
          <w:sz w:val="20"/>
          <w:szCs w:val="20"/>
          <w:color w:val="auto"/>
        </w:rPr>
      </w:pPr>
      <w:r>
        <w:rPr>
          <w:rFonts w:ascii="Times New Roman" w:cs="Times New Roman" w:eastAsia="Times New Roman" w:hAnsi="Times New Roman"/>
          <w:sz w:val="16"/>
          <w:szCs w:val="16"/>
          <w:color w:val="auto"/>
        </w:rPr>
        <w:t>The Issuer adds: “</w:t>
      </w:r>
      <w:r>
        <w:rPr>
          <w:rFonts w:ascii="Times New Roman" w:cs="Times New Roman" w:eastAsia="Times New Roman" w:hAnsi="Times New Roman"/>
          <w:sz w:val="16"/>
          <w:szCs w:val="16"/>
          <w:i w:val="1"/>
          <w:iCs w:val="1"/>
          <w:color w:val="auto"/>
        </w:rPr>
        <w:t>Likewise, the contributions made by BCP represent only 0.002% of its revenues and 0.007% of its expenses in 2016; those made by Pacífico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represent 0.012% of its revenues and 0.099% of its expenses for that year; and those made by Mibanco represent 0.011% of its revenues and 0.025% of its expenses</w:t>
      </w:r>
      <w:r>
        <w:rPr>
          <w:rFonts w:ascii="Times New Roman" w:cs="Times New Roman" w:eastAsia="Times New Roman" w:hAnsi="Times New Roman"/>
          <w:sz w:val="16"/>
          <w:szCs w:val="16"/>
          <w:color w:val="auto"/>
        </w:rPr>
        <w:t>.”</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Finally, it states: “</w:t>
      </w:r>
      <w:r>
        <w:rPr>
          <w:rFonts w:ascii="Times New Roman" w:cs="Times New Roman" w:eastAsia="Times New Roman" w:hAnsi="Times New Roman"/>
          <w:sz w:val="16"/>
          <w:szCs w:val="16"/>
          <w:i w:val="1"/>
          <w:iCs w:val="1"/>
          <w:color w:val="auto"/>
        </w:rPr>
        <w:t>These are figures that in no way could significantly impact a reasonable investor’s investment decisions or the price of Credicorp’s shares.</w:t>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8.2.4. PROPER ACCOUNTING RECORDING OF THE 2016 CONTRIBUTIONS</w:t>
      </w:r>
    </w:p>
    <w:p>
      <w:pPr>
        <w:spacing w:after="0" w:line="204" w:lineRule="exact"/>
        <w:rPr>
          <w:sz w:val="20"/>
          <w:szCs w:val="20"/>
          <w:color w:val="auto"/>
        </w:rPr>
      </w:pPr>
    </w:p>
    <w:p>
      <w:pPr>
        <w:jc w:val="both"/>
        <w:ind w:left="40"/>
        <w:spacing w:after="0" w:line="199" w:lineRule="exact"/>
        <w:rPr>
          <w:sz w:val="20"/>
          <w:szCs w:val="20"/>
          <w:color w:val="auto"/>
        </w:rPr>
      </w:pPr>
      <w:r>
        <w:rPr>
          <w:rFonts w:ascii="Times New Roman" w:cs="Times New Roman" w:eastAsia="Times New Roman" w:hAnsi="Times New Roman"/>
          <w:sz w:val="16"/>
          <w:szCs w:val="16"/>
          <w:color w:val="auto"/>
        </w:rPr>
        <w:t>Regarding this argument, the Issuer reiterates that: “</w:t>
      </w:r>
      <w:r>
        <w:rPr>
          <w:rFonts w:ascii="Times New Roman" w:cs="Times New Roman" w:eastAsia="Times New Roman" w:hAnsi="Times New Roman"/>
          <w:sz w:val="16"/>
          <w:szCs w:val="16"/>
          <w:i w:val="1"/>
          <w:iCs w:val="1"/>
          <w:color w:val="auto"/>
        </w:rPr>
        <w:t>Moreover, as evidenced by the reports from the General Accountants of BCP, Mibanco and Pacífico attached as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Annex 5.2.4</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A, the expense represented by the 2016 Contributions was duly recorded in the accounting records of each of the Subsidiaries. Likewise, according to the report of Credicorp’s General Accountant, also attached as Annex 5.2.4</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A, the 2016 Contributions were duly recorded in Credicorp’s consolidated financial statements for fiscal year 2016</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124460</wp:posOffset>
            </wp:positionV>
            <wp:extent cx="6868795" cy="400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68795" cy="400685"/>
                    </a:xfrm>
                    <a:prstGeom prst="rect">
                      <a:avLst/>
                    </a:prstGeom>
                    <a:noFill/>
                  </pic:spPr>
                </pic:pic>
              </a:graphicData>
            </a:graphic>
          </wp:anchor>
        </w:drawing>
      </w:r>
    </w:p>
    <w:p>
      <w:pPr>
        <w:spacing w:after="0" w:line="181"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6"/>
          <w:szCs w:val="16"/>
          <w:color w:val="auto"/>
        </w:rPr>
        <w:t>In conclusion, the Issuer states: “</w:t>
      </w:r>
      <w:r>
        <w:rPr>
          <w:rFonts w:ascii="Times New Roman" w:cs="Times New Roman" w:eastAsia="Times New Roman" w:hAnsi="Times New Roman"/>
          <w:sz w:val="16"/>
          <w:szCs w:val="16"/>
          <w:i w:val="1"/>
          <w:iCs w:val="1"/>
          <w:color w:val="auto"/>
        </w:rPr>
        <w:t>Consequently, such expense was reflected in the quarterly and annual results reported by these companies to the SMV and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BVL. Thus, the impact of the 2016 Contributions on the Subsidiaries’ results became known to the market through the disclosure of the corresponding interim and annual financial statements</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Therefore, it specifies that there cannot be considered to have been an omission to disclose information, nor any intention to conceal the 2016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240665</wp:posOffset>
            </wp:positionV>
            <wp:extent cx="714629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720"/>
          </w:cols>
          <w:pgMar w:left="860" w:top="121"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color w:val="auto"/>
        </w:rPr>
        <w:t>8.2.5. COMPLIANCE WITH ISSUER POLICIES AND ELECTORAL LEGISLATION</w:t>
      </w:r>
    </w:p>
    <w:p>
      <w:pPr>
        <w:spacing w:after="0" w:line="2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this section of its defenses, the Issuer argues that: “</w:t>
      </w:r>
      <w:r>
        <w:rPr>
          <w:rFonts w:ascii="Times New Roman" w:cs="Times New Roman" w:eastAsia="Times New Roman" w:hAnsi="Times New Roman"/>
          <w:sz w:val="16"/>
          <w:szCs w:val="16"/>
          <w:i w:val="1"/>
          <w:iCs w:val="1"/>
          <w:color w:val="auto"/>
        </w:rPr>
        <w:t>the 2016 Contributions were made in full compliance with Credicorp’s internal policies, which specifically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regulate contributions to political organizations. Thus, the </w:t>
      </w:r>
      <w:r>
        <w:rPr>
          <w:rFonts w:ascii="Times New Roman" w:cs="Times New Roman" w:eastAsia="Times New Roman" w:hAnsi="Times New Roman"/>
          <w:sz w:val="16"/>
          <w:szCs w:val="16"/>
          <w:b w:val="1"/>
          <w:bCs w:val="1"/>
          <w:i w:val="1"/>
          <w:iCs w:val="1"/>
          <w:color w:val="auto"/>
        </w:rPr>
        <w:t>2016 AGREEMENT</w:t>
      </w:r>
      <w:r>
        <w:rPr>
          <w:rFonts w:ascii="Times New Roman" w:cs="Times New Roman" w:eastAsia="Times New Roman" w:hAnsi="Times New Roman"/>
          <w:sz w:val="16"/>
          <w:szCs w:val="16"/>
          <w:i w:val="1"/>
          <w:iCs w:val="1"/>
          <w:color w:val="auto"/>
        </w:rPr>
        <w:t xml:space="preserve"> was nothing more than the lawful execution of a formal corporate policy, which also falls within the constitutional right to participate in the political life of the Nation, recognized as a fundamental right in subsection 17 of Article 2 of the Political Constitution of Peru</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Issuer further specifies that: “</w:t>
      </w:r>
      <w:r>
        <w:rPr>
          <w:rFonts w:ascii="Times New Roman" w:cs="Times New Roman" w:eastAsia="Times New Roman" w:hAnsi="Times New Roman"/>
          <w:sz w:val="16"/>
          <w:szCs w:val="16"/>
          <w:i w:val="1"/>
          <w:iCs w:val="1"/>
          <w:color w:val="auto"/>
        </w:rPr>
        <w:t>at the time the 2016 Contributions were made, the Contributions Policy was in force (attached as Annex 1.2), which regulates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political contributions in numeral 7.4. This policy states that Credicorp ‘considers it appropriate to make economic contributions [to political organizations] in a transparent manner and in accordance with applicable legal provisions, as a mechanism to support and strengthen formal democratic political structures over time and to help mitigate the risk of illicit funds infiltrating the political system.’ Thus, when the </w:t>
      </w:r>
      <w:r>
        <w:rPr>
          <w:rFonts w:ascii="Times New Roman" w:cs="Times New Roman" w:eastAsia="Times New Roman" w:hAnsi="Times New Roman"/>
          <w:sz w:val="16"/>
          <w:szCs w:val="16"/>
          <w:b w:val="1"/>
          <w:bCs w:val="1"/>
          <w:i w:val="1"/>
          <w:iCs w:val="1"/>
          <w:color w:val="auto"/>
        </w:rPr>
        <w:t>2016 AGREEMENT</w:t>
      </w:r>
      <w:r>
        <w:rPr>
          <w:rFonts w:ascii="Times New Roman" w:cs="Times New Roman" w:eastAsia="Times New Roman" w:hAnsi="Times New Roman"/>
          <w:sz w:val="16"/>
          <w:szCs w:val="16"/>
          <w:i w:val="1"/>
          <w:iCs w:val="1"/>
          <w:color w:val="auto"/>
        </w:rPr>
        <w:t xml:space="preserve"> was adopted, making contributions to political organizations as a means of supporting democracy and institutional stability in Peru was an explicit policy of Credicorp</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To support this, the Issuer notes that the Contributions Policy “</w:t>
      </w:r>
      <w:r>
        <w:rPr>
          <w:rFonts w:ascii="Times New Roman" w:cs="Times New Roman" w:eastAsia="Times New Roman" w:hAnsi="Times New Roman"/>
          <w:sz w:val="16"/>
          <w:szCs w:val="16"/>
          <w:i w:val="1"/>
          <w:iCs w:val="1"/>
          <w:color w:val="auto"/>
        </w:rPr>
        <w:t>established special conditions and rules applicable to political contributions,</w:t>
      </w:r>
      <w:r>
        <w:rPr>
          <w:rFonts w:ascii="Times New Roman" w:cs="Times New Roman" w:eastAsia="Times New Roman" w:hAnsi="Times New Roman"/>
          <w:sz w:val="16"/>
          <w:szCs w:val="16"/>
          <w:color w:val="auto"/>
        </w:rPr>
        <w:t>” including conditions political organizations had to meet, such as being formally established, having effective internal candidate selection processes, demonstrating a clear democratic commitment, supporting basic principles of a market economy, and having substantive policy proposals.</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Issuer also mentions that its Contributions Policy established clear rules for political contributions, such as: contributions must be made in strict compliance with applicable legislation; contributions may be made only to political parties, political groups or electoral alliances through one or more entities (NGOs, trusts) defined by the Executive Committee; the Executive Committee would approve the political organizations to be supported, contribution amounts, and the Subsidiaries that would contribute.</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It also notes that Subsidiary boards delegated contribution decisions to Credicorp’s Executive Committee, and that contributions would be reported to Credicorp’s Board and to the Boards of the contributing Subsidiaries.</w:t>
      </w:r>
    </w:p>
    <w:p>
      <w:pPr>
        <w:spacing w:after="0" w:line="13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color w:val="auto"/>
        </w:rPr>
        <w:t>The Issuer further states that: “</w:t>
      </w:r>
      <w:r>
        <w:rPr>
          <w:rFonts w:ascii="Times New Roman" w:cs="Times New Roman" w:eastAsia="Times New Roman" w:hAnsi="Times New Roman"/>
          <w:sz w:val="16"/>
          <w:szCs w:val="16"/>
          <w:b w:val="1"/>
          <w:bCs w:val="1"/>
          <w:i w:val="1"/>
          <w:iCs w:val="1"/>
          <w:color w:val="auto"/>
        </w:rPr>
        <w:t>THE 2016 AGREEMENT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the contributions made by the Subsidiaries to the political party Peruanos Por el Kambio were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carried out in strict compliance with this policy, meeting all applicable requirements and conditions</w:t>
      </w:r>
      <w:r>
        <w:rPr>
          <w:rFonts w:ascii="Times New Roman" w:cs="Times New Roman" w:eastAsia="Times New Roman" w:hAnsi="Times New Roman"/>
          <w:sz w:val="16"/>
          <w:szCs w:val="16"/>
          <w:color w:val="auto"/>
        </w:rPr>
        <w:t>.”</w:t>
      </w:r>
    </w:p>
    <w:p>
      <w:pPr>
        <w:spacing w:after="0" w:line="103"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6"/>
          <w:szCs w:val="16"/>
          <w:color w:val="auto"/>
        </w:rPr>
        <w:t>It adds: “</w:t>
      </w:r>
      <w:r>
        <w:rPr>
          <w:rFonts w:ascii="Times New Roman" w:cs="Times New Roman" w:eastAsia="Times New Roman" w:hAnsi="Times New Roman"/>
          <w:sz w:val="16"/>
          <w:szCs w:val="16"/>
          <w:i w:val="1"/>
          <w:iCs w:val="1"/>
          <w:color w:val="auto"/>
        </w:rPr>
        <w:t>In fact, after the contributions were made, Credicorp’s Compliance Division conducted a review to verify adherence to the anti</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corruption program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respect to political contributions, as evidenced by the 2016 Monitoring Report.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It affirms that: “</w:t>
      </w:r>
      <w:r>
        <w:rPr>
          <w:rFonts w:ascii="Times New Roman" w:cs="Times New Roman" w:eastAsia="Times New Roman" w:hAnsi="Times New Roman"/>
          <w:sz w:val="16"/>
          <w:szCs w:val="16"/>
          <w:i w:val="1"/>
          <w:iCs w:val="1"/>
          <w:color w:val="auto"/>
        </w:rPr>
        <w:t>In the relevant review, compliance with each of the conditions and requirements established in the Contributions Policy in relation to the 2016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Contributions was evaluated, concluding the following</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And finally adds: “</w:t>
      </w:r>
      <w:r>
        <w:rPr>
          <w:rFonts w:ascii="Times New Roman" w:cs="Times New Roman" w:eastAsia="Times New Roman" w:hAnsi="Times New Roman"/>
          <w:sz w:val="16"/>
          <w:szCs w:val="16"/>
          <w:i w:val="1"/>
          <w:iCs w:val="1"/>
          <w:color w:val="auto"/>
        </w:rPr>
        <w:t>According to the review performed, our team did not identify any actions that violated internal or legal rules; however, we consider it necessary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to update the functions of Credicorp’s Executive Committee to clearly specify that it has authority to make political contributions on behalf of Credicorp and its Subsidiaries.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209550</wp:posOffset>
            </wp:positionV>
            <wp:extent cx="714629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660"/>
          </w:cols>
          <w:pgMar w:left="900" w:top="121" w:right="339"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6"/>
          <w:szCs w:val="16"/>
          <w:b w:val="1"/>
          <w:bCs w:val="1"/>
          <w:color w:val="auto"/>
        </w:rPr>
        <w:t>8.2.6. PUBLIC DISCLOSURE OF THE 2016 CONTRIBUTIONS</w:t>
      </w:r>
    </w:p>
    <w:p>
      <w:pPr>
        <w:spacing w:after="0" w:line="204" w:lineRule="exact"/>
        <w:rPr>
          <w:sz w:val="20"/>
          <w:szCs w:val="20"/>
          <w:color w:val="auto"/>
        </w:rPr>
      </w:pPr>
    </w:p>
    <w:p>
      <w:pPr>
        <w:jc w:val="both"/>
        <w:ind w:left="40" w:right="20"/>
        <w:spacing w:after="0" w:line="271" w:lineRule="auto"/>
        <w:rPr>
          <w:sz w:val="20"/>
          <w:szCs w:val="20"/>
          <w:color w:val="auto"/>
        </w:rPr>
      </w:pPr>
      <w:r>
        <w:rPr>
          <w:rFonts w:ascii="Times New Roman" w:cs="Times New Roman" w:eastAsia="Times New Roman" w:hAnsi="Times New Roman"/>
          <w:sz w:val="16"/>
          <w:szCs w:val="16"/>
          <w:color w:val="auto"/>
        </w:rPr>
        <w:t>The Issuer reiterates that: “</w:t>
      </w:r>
      <w:r>
        <w:rPr>
          <w:rFonts w:ascii="Times New Roman" w:cs="Times New Roman" w:eastAsia="Times New Roman" w:hAnsi="Times New Roman"/>
          <w:sz w:val="16"/>
          <w:szCs w:val="16"/>
          <w:i w:val="1"/>
          <w:iCs w:val="1"/>
          <w:color w:val="auto"/>
        </w:rPr>
        <w:t>As previously noted, electoral legislation establishes a special regulatory regime in which the transparency of the electoral process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requires political organizations to inform ONPE of the details of contributions received from individuals and legal persons. This is the regulatory framework established in Peruvian law to ensure transparency in the financing of political organizations</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both"/>
        <w:ind w:left="40" w:right="20"/>
        <w:spacing w:after="0" w:line="206" w:lineRule="exact"/>
        <w:rPr>
          <w:sz w:val="20"/>
          <w:szCs w:val="20"/>
          <w:color w:val="auto"/>
        </w:rPr>
      </w:pPr>
      <w:r>
        <w:rPr>
          <w:rFonts w:ascii="Times New Roman" w:cs="Times New Roman" w:eastAsia="Times New Roman" w:hAnsi="Times New Roman"/>
          <w:sz w:val="16"/>
          <w:szCs w:val="16"/>
          <w:color w:val="auto"/>
        </w:rPr>
        <w:t>In addition, the Issuer states: “</w:t>
      </w:r>
      <w:r>
        <w:rPr>
          <w:rFonts w:ascii="Times New Roman" w:cs="Times New Roman" w:eastAsia="Times New Roman" w:hAnsi="Times New Roman"/>
          <w:sz w:val="16"/>
          <w:szCs w:val="16"/>
          <w:i w:val="1"/>
          <w:iCs w:val="1"/>
          <w:color w:val="auto"/>
        </w:rPr>
        <w:t>It should be noted that the 2016 Contributions were not only published on ONPE’s website but were also the subject of media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coverage (Annex 5.2.6</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B). Thus, these contributions were published as required under electoral legislation and were publicly known. All of this occurred without generating any adverse effect or criticism of our company’s conduct, as such conduct was at all times fully compliant with legal provisions and our internal policies.</w:t>
      </w:r>
      <w:r>
        <w:rPr>
          <w:rFonts w:ascii="Times New Roman" w:cs="Times New Roman" w:eastAsia="Times New Roman" w:hAnsi="Times New Roman"/>
          <w:sz w:val="16"/>
          <w:szCs w:val="16"/>
          <w:color w:val="auto"/>
        </w:rPr>
        <w:t>”</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8.2.7. ZERO LEGAL IMPACT FOR THE ISSUER OR THE SUBSIDIARIES</w:t>
      </w:r>
    </w:p>
    <w:p>
      <w:pPr>
        <w:spacing w:after="0" w:line="204" w:lineRule="exact"/>
        <w:rPr>
          <w:sz w:val="20"/>
          <w:szCs w:val="20"/>
          <w:color w:val="auto"/>
        </w:rPr>
      </w:pPr>
    </w:p>
    <w:p>
      <w:pPr>
        <w:jc w:val="both"/>
        <w:ind w:left="40"/>
        <w:spacing w:after="0" w:line="209" w:lineRule="exact"/>
        <w:rPr>
          <w:sz w:val="20"/>
          <w:szCs w:val="20"/>
          <w:color w:val="auto"/>
        </w:rPr>
      </w:pPr>
      <w:r>
        <w:rPr>
          <w:rFonts w:ascii="Times New Roman" w:cs="Times New Roman" w:eastAsia="Times New Roman" w:hAnsi="Times New Roman"/>
          <w:sz w:val="16"/>
          <w:szCs w:val="16"/>
          <w:color w:val="auto"/>
        </w:rPr>
        <w:t>The Issuer states that: “</w:t>
      </w:r>
      <w:r>
        <w:rPr>
          <w:rFonts w:ascii="Times New Roman" w:cs="Times New Roman" w:eastAsia="Times New Roman" w:hAnsi="Times New Roman"/>
          <w:sz w:val="16"/>
          <w:szCs w:val="16"/>
          <w:i w:val="1"/>
          <w:iCs w:val="1"/>
          <w:color w:val="auto"/>
        </w:rPr>
        <w:t>It is also important to note that the information provided to the Public Prosecutor’s Office by Mr. Dionisio Romero Paoletti regarding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2016 Contributions has not generated any adverse consequence for CREDICORP or the Subsidiaries in connection with the investigations being conducted by that entity; to sustain this, the legal opinion of Benites, Vargas &amp; Ugaz is attached (Annex 4.2.6</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B).</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8.2.8. AN AGREEMENT REGARDING SUBSIDIARIES DOES NOT IMPLY MATERIALITY</w:t>
      </w:r>
    </w:p>
    <w:p>
      <w:pPr>
        <w:spacing w:after="0" w:line="204" w:lineRule="exact"/>
        <w:rPr>
          <w:sz w:val="20"/>
          <w:szCs w:val="20"/>
          <w:color w:val="auto"/>
        </w:rPr>
      </w:pPr>
    </w:p>
    <w:p>
      <w:pPr>
        <w:jc w:val="both"/>
        <w:ind w:left="40" w:right="20"/>
        <w:spacing w:after="0" w:line="290" w:lineRule="auto"/>
        <w:rPr>
          <w:sz w:val="20"/>
          <w:szCs w:val="20"/>
          <w:color w:val="auto"/>
        </w:rPr>
      </w:pPr>
      <w:r>
        <w:rPr>
          <w:rFonts w:ascii="Times New Roman" w:cs="Times New Roman" w:eastAsia="Times New Roman" w:hAnsi="Times New Roman"/>
          <w:sz w:val="16"/>
          <w:szCs w:val="16"/>
          <w:color w:val="auto"/>
        </w:rPr>
        <w:t>In this part of its defenses, the Issuer reiterates regarding materiality that: “</w:t>
      </w:r>
      <w:r>
        <w:rPr>
          <w:rFonts w:ascii="Times New Roman" w:cs="Times New Roman" w:eastAsia="Times New Roman" w:hAnsi="Times New Roman"/>
          <w:sz w:val="16"/>
          <w:szCs w:val="16"/>
          <w:i w:val="1"/>
          <w:iCs w:val="1"/>
          <w:color w:val="auto"/>
        </w:rPr>
        <w:t>Materiality is defined based on the potential impact of the agreement or transaction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issuer or its securities (in this case, Credicorp), and not on whether the agreement was adopted at the parent company level or by one of its subsidiaries</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jc w:val="both"/>
        <w:ind w:right="100"/>
        <w:spacing w:after="0" w:line="211" w:lineRule="exact"/>
        <w:rPr>
          <w:sz w:val="20"/>
          <w:szCs w:val="20"/>
          <w:color w:val="auto"/>
        </w:rPr>
      </w:pPr>
      <w:r>
        <w:rPr>
          <w:rFonts w:ascii="Times New Roman" w:cs="Times New Roman" w:eastAsia="Times New Roman" w:hAnsi="Times New Roman"/>
          <w:sz w:val="16"/>
          <w:szCs w:val="16"/>
          <w:color w:val="auto"/>
        </w:rPr>
        <w:t>The Issuer also states: “</w:t>
      </w:r>
      <w:r>
        <w:rPr>
          <w:rFonts w:ascii="Times New Roman" w:cs="Times New Roman" w:eastAsia="Times New Roman" w:hAnsi="Times New Roman"/>
          <w:sz w:val="16"/>
          <w:szCs w:val="16"/>
          <w:i w:val="1"/>
          <w:iCs w:val="1"/>
          <w:color w:val="auto"/>
        </w:rPr>
        <w:t>There is nothing unusual, irregular or improper in a coordinated group policy for a particular matter, such as contributions to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profit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organizations or corporate social responsibility,” or in the implementation of the coordinated contribution to the political party </w:t>
      </w:r>
      <w:r>
        <w:rPr>
          <w:rFonts w:ascii="Times New Roman" w:cs="Times New Roman" w:eastAsia="Times New Roman" w:hAnsi="Times New Roman"/>
          <w:sz w:val="16"/>
          <w:szCs w:val="16"/>
          <w:b w:val="1"/>
          <w:bCs w:val="1"/>
          <w:i w:val="1"/>
          <w:iCs w:val="1"/>
          <w:color w:val="auto"/>
        </w:rPr>
        <w:t>PERUANOS POR EL KAMBIO</w:t>
      </w:r>
      <w:r>
        <w:rPr>
          <w:rFonts w:ascii="Times New Roman" w:cs="Times New Roman" w:eastAsia="Times New Roman" w:hAnsi="Times New Roman"/>
          <w:sz w:val="16"/>
          <w:szCs w:val="16"/>
          <w:i w:val="1"/>
          <w:iCs w:val="1"/>
          <w:color w:val="auto"/>
        </w:rPr>
        <w:t>, which was carried out in full compliance with Credicorp’s Contributions Policy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-382905</wp:posOffset>
            </wp:positionV>
            <wp:extent cx="6868795" cy="894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68795" cy="894080"/>
                    </a:xfrm>
                    <a:prstGeom prst="rect">
                      <a:avLst/>
                    </a:prstGeom>
                    <a:noFill/>
                  </pic:spPr>
                </pic:pic>
              </a:graphicData>
            </a:graphic>
          </wp:anchor>
        </w:drawing>
      </w:r>
    </w:p>
    <w:p>
      <w:pPr>
        <w:spacing w:after="0" w:line="156"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6"/>
          <w:szCs w:val="16"/>
          <w:color w:val="auto"/>
        </w:rPr>
        <w:t>It further states that: “</w:t>
      </w:r>
      <w:r>
        <w:rPr>
          <w:rFonts w:ascii="Times New Roman" w:cs="Times New Roman" w:eastAsia="Times New Roman" w:hAnsi="Times New Roman"/>
          <w:sz w:val="16"/>
          <w:szCs w:val="16"/>
          <w:i w:val="1"/>
          <w:iCs w:val="1"/>
          <w:color w:val="auto"/>
        </w:rPr>
        <w:t>Accordingly, the fact that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2016 AGREEMENT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the 2016 Contributions were adopted and made pursuant to a policy applicable at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Credicorp and Subsidiary level is entirely lawful, normal and appropriate, and cannot be interpreted as making intrinsically immaterial contributions become material facts that require disclosure as material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223520</wp:posOffset>
            </wp:positionV>
            <wp:extent cx="714629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720"/>
          </w:cols>
          <w:pgMar w:left="860" w:top="121" w:right="319" w:bottom="1440" w:gutter="0" w:footer="0" w:header="0"/>
        </w:sectPr>
      </w:pPr>
    </w:p>
    <w:bookmarkStart w:id="48" w:name="page49"/>
    <w:bookmarkEnd w:id="48"/>
    <w:p>
      <w:pPr>
        <w:jc w:val="both"/>
        <w:ind w:left="40" w:right="20"/>
        <w:spacing w:after="0" w:line="198" w:lineRule="exact"/>
        <w:rPr>
          <w:sz w:val="20"/>
          <w:szCs w:val="20"/>
          <w:color w:val="auto"/>
        </w:rPr>
      </w:pPr>
      <w:r>
        <w:rPr>
          <w:rFonts w:ascii="Times New Roman" w:cs="Times New Roman" w:eastAsia="Times New Roman" w:hAnsi="Times New Roman"/>
          <w:sz w:val="16"/>
          <w:szCs w:val="16"/>
          <w:color w:val="auto"/>
        </w:rPr>
        <w:t>Finally, the Issuer states: “</w:t>
      </w:r>
      <w:r>
        <w:rPr>
          <w:rFonts w:ascii="Times New Roman" w:cs="Times New Roman" w:eastAsia="Times New Roman" w:hAnsi="Times New Roman"/>
          <w:sz w:val="16"/>
          <w:szCs w:val="16"/>
          <w:i w:val="1"/>
          <w:iCs w:val="1"/>
          <w:color w:val="auto"/>
        </w:rPr>
        <w:t>As demonstrated,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THE 2016 AGREEMENT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the 2016 Contributions were not material. Their impact on Credicorp’s ‘operations,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assets, results, financial situation or general business or commercial position,’ or ‘on its securities or their offering; as well as on the price or trading of its securities,’ was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 xml:space="preserve">existent, not only because their amount was extremely small relative to Credicorp’s and the Subsidiaries’ operations, but also because they were made in strict compliance with applicable legal provisions and Credicorp’s political contribution policies. There is therefore no circumstance suggesting that </w:t>
      </w:r>
      <w:r>
        <w:rPr>
          <w:rFonts w:ascii="Times New Roman" w:cs="Times New Roman" w:eastAsia="Times New Roman" w:hAnsi="Times New Roman"/>
          <w:sz w:val="16"/>
          <w:szCs w:val="16"/>
          <w:b w:val="1"/>
          <w:bCs w:val="1"/>
          <w:i w:val="1"/>
          <w:iCs w:val="1"/>
          <w:color w:val="auto"/>
        </w:rPr>
        <w:t xml:space="preserve">THE 2016 AGREEMENT </w:t>
      </w:r>
      <w:r>
        <w:rPr>
          <w:rFonts w:ascii="Times New Roman" w:cs="Times New Roman" w:eastAsia="Times New Roman" w:hAnsi="Times New Roman"/>
          <w:sz w:val="16"/>
          <w:szCs w:val="16"/>
          <w:i w:val="1"/>
          <w:iCs w:val="1"/>
          <w:color w:val="auto"/>
        </w:rPr>
        <w:t>and the 2016 Contributions could have significantly influenced the price or liquidity of Credicorp shares or the investment decisions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reasonable investor. Consequently, there was no obligation to disclose such information to the market</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ind w:left="40"/>
        <w:spacing w:after="0" w:line="184" w:lineRule="exact"/>
        <w:rPr>
          <w:sz w:val="20"/>
          <w:szCs w:val="20"/>
          <w:color w:val="auto"/>
        </w:rPr>
      </w:pPr>
      <w:r>
        <w:rPr>
          <w:rFonts w:ascii="Times New Roman" w:cs="Times New Roman" w:eastAsia="Times New Roman" w:hAnsi="Times New Roman"/>
          <w:sz w:val="16"/>
          <w:szCs w:val="16"/>
          <w:b w:val="1"/>
          <w:bCs w:val="1"/>
          <w:color w:val="auto"/>
        </w:rPr>
        <w:t>8.3. NON</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EXISTENCE OF A CONDUCT OF INFORMATION CONCEALMENT</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Issuer reiterates that there was no conduct of information concealment for the following reasons:</w:t>
      </w:r>
    </w:p>
    <w:p>
      <w:pPr>
        <w:spacing w:after="0" w:line="204" w:lineRule="exact"/>
        <w:rPr>
          <w:sz w:val="20"/>
          <w:szCs w:val="20"/>
          <w:color w:val="auto"/>
        </w:rPr>
      </w:pPr>
    </w:p>
    <w:p>
      <w:pPr>
        <w:jc w:val="both"/>
        <w:ind w:left="40" w:right="20" w:hanging="10"/>
        <w:spacing w:after="0" w:line="270" w:lineRule="auto"/>
        <w:tabs>
          <w:tab w:leader="none" w:pos="21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is only obligated to disclose material events, that is, material information consistent with Article 28 of the LMV and Article 3 of the Regulation on Material Events. The 2016 Agreement did not possess materiality; therefore, the Issuer had no obligation to disclose it and, consequently, no “concealment” of information existed.</w:t>
      </w:r>
    </w:p>
    <w:p>
      <w:pPr>
        <w:spacing w:after="0" w:line="156" w:lineRule="exact"/>
        <w:rPr>
          <w:rFonts w:ascii="Times New Roman" w:cs="Times New Roman" w:eastAsia="Times New Roman" w:hAnsi="Times New Roman"/>
          <w:sz w:val="16"/>
          <w:szCs w:val="16"/>
          <w:color w:val="auto"/>
        </w:rPr>
      </w:pPr>
    </w:p>
    <w:p>
      <w:pPr>
        <w:jc w:val="both"/>
        <w:ind w:left="40" w:right="20" w:hanging="10"/>
        <w:spacing w:after="0" w:line="270" w:lineRule="auto"/>
        <w:tabs>
          <w:tab w:leader="none" w:pos="215"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evidenced in the report from the General Accounting area of the Issuer’s Subsidiaries, the expense represented by the 2016 Contributions was duly recorded in the accounting of each subsidiary; therefore, “</w:t>
      </w:r>
      <w:r>
        <w:rPr>
          <w:rFonts w:ascii="Times New Roman" w:cs="Times New Roman" w:eastAsia="Times New Roman" w:hAnsi="Times New Roman"/>
          <w:sz w:val="16"/>
          <w:szCs w:val="16"/>
          <w:i w:val="1"/>
          <w:iCs w:val="1"/>
          <w:color w:val="auto"/>
        </w:rPr>
        <w:t>such expense was reflected in the results of the Subsidiaries, as stated in the financial statements of such companies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for fiscal year 2016</w:t>
      </w:r>
      <w:r>
        <w:rPr>
          <w:rFonts w:ascii="Times New Roman" w:cs="Times New Roman" w:eastAsia="Times New Roman" w:hAnsi="Times New Roman"/>
          <w:sz w:val="16"/>
          <w:szCs w:val="16"/>
          <w:color w:val="auto"/>
        </w:rPr>
        <w:t>,” meaning there was no “concealment” of information.</w:t>
      </w:r>
    </w:p>
    <w:p>
      <w:pPr>
        <w:spacing w:after="0" w:line="156" w:lineRule="exact"/>
        <w:rPr>
          <w:rFonts w:ascii="Times New Roman" w:cs="Times New Roman" w:eastAsia="Times New Roman" w:hAnsi="Times New Roman"/>
          <w:sz w:val="16"/>
          <w:szCs w:val="16"/>
          <w:color w:val="auto"/>
        </w:rPr>
      </w:pPr>
    </w:p>
    <w:p>
      <w:pPr>
        <w:jc w:val="both"/>
        <w:ind w:left="40" w:right="20" w:hanging="10"/>
        <w:spacing w:after="0" w:line="270" w:lineRule="auto"/>
        <w:tabs>
          <w:tab w:leader="none" w:pos="20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to report private contributions to political campaigns lies with political parties, and the entity responsible for verifying and controlling such reports is ONPE. “</w:t>
      </w:r>
      <w:r>
        <w:rPr>
          <w:rFonts w:ascii="Times New Roman" w:cs="Times New Roman" w:eastAsia="Times New Roman" w:hAnsi="Times New Roman"/>
          <w:sz w:val="16"/>
          <w:szCs w:val="16"/>
          <w:i w:val="1"/>
          <w:iCs w:val="1"/>
          <w:color w:val="auto"/>
        </w:rPr>
        <w:t>Accordingly, the obligation to disclose and ‘not conceal’ contributions corresponded, in the case of the 2016 Contributions, to the political party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Peruanos Por el Kambio</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jc w:val="both"/>
        <w:ind w:left="40" w:right="20"/>
        <w:spacing w:after="0" w:line="287" w:lineRule="auto"/>
        <w:rPr>
          <w:sz w:val="20"/>
          <w:szCs w:val="20"/>
          <w:color w:val="auto"/>
        </w:rPr>
      </w:pPr>
      <w:r>
        <w:rPr>
          <w:rFonts w:ascii="Times New Roman" w:cs="Times New Roman" w:eastAsia="Times New Roman" w:hAnsi="Times New Roman"/>
          <w:sz w:val="16"/>
          <w:szCs w:val="16"/>
          <w:color w:val="auto"/>
        </w:rPr>
        <w:t>The political party Peruanos Por el Kambio complied with electoral regulations, and the information regarding the 2016 Contributions was disseminated in accordance with such rules and covered by the press, demonstrating that there was no “concealment” of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100965</wp:posOffset>
            </wp:positionV>
            <wp:extent cx="6868795" cy="277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68795" cy="277495"/>
                    </a:xfrm>
                    <a:prstGeom prst="rect">
                      <a:avLst/>
                    </a:prstGeom>
                    <a:noFill/>
                  </pic:spPr>
                </pic:pic>
              </a:graphicData>
            </a:graphic>
          </wp:anchor>
        </w:drawing>
      </w:r>
    </w:p>
    <w:p>
      <w:pPr>
        <w:spacing w:after="0" w:line="145"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6"/>
          <w:szCs w:val="16"/>
          <w:color w:val="auto"/>
        </w:rPr>
        <w:t>Finally, the Issuer states: “</w:t>
      </w:r>
      <w:r>
        <w:rPr>
          <w:rFonts w:ascii="Times New Roman" w:cs="Times New Roman" w:eastAsia="Times New Roman" w:hAnsi="Times New Roman"/>
          <w:sz w:val="16"/>
          <w:szCs w:val="16"/>
          <w:i w:val="1"/>
          <w:iCs w:val="1"/>
          <w:color w:val="auto"/>
        </w:rPr>
        <w:t>we reiterate that (…) intent in the commission of an infringing conduct does not change its nature, especially when it is an objective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infraction (as is the case for the failure to disclose material events).”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8.4. Corporate Governance Report</w:t>
      </w:r>
    </w:p>
    <w:p>
      <w:pPr>
        <w:spacing w:after="0" w:line="204" w:lineRule="exact"/>
        <w:rPr>
          <w:sz w:val="20"/>
          <w:szCs w:val="20"/>
          <w:color w:val="auto"/>
        </w:rPr>
      </w:pPr>
    </w:p>
    <w:p>
      <w:pPr>
        <w:jc w:val="both"/>
        <w:ind w:left="40" w:right="20"/>
        <w:spacing w:after="0" w:line="271" w:lineRule="auto"/>
        <w:rPr>
          <w:sz w:val="20"/>
          <w:szCs w:val="20"/>
          <w:color w:val="auto"/>
        </w:rPr>
      </w:pPr>
      <w:r>
        <w:rPr>
          <w:rFonts w:ascii="Times New Roman" w:cs="Times New Roman" w:eastAsia="Times New Roman" w:hAnsi="Times New Roman"/>
          <w:sz w:val="16"/>
          <w:szCs w:val="16"/>
          <w:color w:val="auto"/>
        </w:rPr>
        <w:t>The Issuer states: “</w:t>
      </w:r>
      <w:r>
        <w:rPr>
          <w:rFonts w:ascii="Times New Roman" w:cs="Times New Roman" w:eastAsia="Times New Roman" w:hAnsi="Times New Roman"/>
          <w:sz w:val="16"/>
          <w:szCs w:val="16"/>
          <w:i w:val="1"/>
          <w:iCs w:val="1"/>
          <w:color w:val="auto"/>
        </w:rPr>
        <w:t>In relation to the Report on Compliance with the Principles of Good Corporate Governance for Peruvian Companies for fiscal year 2012,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regarding the function of the Corporate Governance Committee to propose good corporate governance practices to the Board of Directors as well as their implementation, we note that the Board of Credicorp did and continues to fulfill these functions</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both"/>
        <w:ind w:left="40"/>
        <w:spacing w:after="0" w:line="290" w:lineRule="auto"/>
        <w:rPr>
          <w:sz w:val="20"/>
          <w:szCs w:val="20"/>
          <w:color w:val="auto"/>
        </w:rPr>
      </w:pPr>
      <w:r>
        <w:rPr>
          <w:rFonts w:ascii="Times New Roman" w:cs="Times New Roman" w:eastAsia="Times New Roman" w:hAnsi="Times New Roman"/>
          <w:sz w:val="16"/>
          <w:szCs w:val="16"/>
          <w:color w:val="auto"/>
        </w:rPr>
        <w:t>Accordingly, the Issuer states: “</w:t>
      </w:r>
      <w:r>
        <w:rPr>
          <w:rFonts w:ascii="Times New Roman" w:cs="Times New Roman" w:eastAsia="Times New Roman" w:hAnsi="Times New Roman"/>
          <w:sz w:val="16"/>
          <w:szCs w:val="16"/>
          <w:i w:val="1"/>
          <w:iCs w:val="1"/>
          <w:color w:val="auto"/>
        </w:rPr>
        <w:t>we do not consider it correct to assert that the adoption of the 2016 Agreement and/or the execution of the 2016 Contributions 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inconsistent with what is stated in the Report on Compliance with the Principles of Good Corporate Governance for Peruvian Companies for fiscal year 2012</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199390</wp:posOffset>
            </wp:positionV>
            <wp:extent cx="714629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720"/>
          </w:cols>
          <w:pgMar w:left="860" w:top="119" w:right="319" w:bottom="1440" w:gutter="0" w:footer="0" w:header="0"/>
        </w:sectPr>
      </w:pPr>
    </w:p>
    <w:bookmarkStart w:id="49" w:name="page50"/>
    <w:bookmarkEnd w:id="49"/>
    <w:p>
      <w:pPr>
        <w:jc w:val="both"/>
        <w:spacing w:after="0" w:line="265" w:lineRule="auto"/>
        <w:rPr>
          <w:sz w:val="20"/>
          <w:szCs w:val="20"/>
          <w:color w:val="auto"/>
        </w:rPr>
      </w:pPr>
      <w:r>
        <w:rPr>
          <w:rFonts w:ascii="Times New Roman" w:cs="Times New Roman" w:eastAsia="Times New Roman" w:hAnsi="Times New Roman"/>
          <w:sz w:val="16"/>
          <w:szCs w:val="16"/>
          <w:color w:val="auto"/>
        </w:rPr>
        <w:t>The Issuer also states: “</w:t>
      </w:r>
      <w:r>
        <w:rPr>
          <w:rFonts w:ascii="Times New Roman" w:cs="Times New Roman" w:eastAsia="Times New Roman" w:hAnsi="Times New Roman"/>
          <w:sz w:val="16"/>
          <w:szCs w:val="16"/>
          <w:i w:val="1"/>
          <w:iCs w:val="1"/>
          <w:color w:val="auto"/>
        </w:rPr>
        <w:t>With respect to the Reports on Compliance with the Principles of Good Corporate Governance for Peruvian Companies for fiscal years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2014, 2015, 2016, 2017 and 2018, and regarding the Board’s function to ‘oversee corporate governance practices and establish the necessary policies and measures for their improved application,’ our Board indeed oversees corporate governance practices and establishes the necessary measures for their improved application, as it did during the periods covered by the reports</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Accordingly, the Issuer states: “</w:t>
      </w:r>
      <w:r>
        <w:rPr>
          <w:rFonts w:ascii="Times New Roman" w:cs="Times New Roman" w:eastAsia="Times New Roman" w:hAnsi="Times New Roman"/>
          <w:sz w:val="16"/>
          <w:szCs w:val="16"/>
          <w:i w:val="1"/>
          <w:iCs w:val="1"/>
          <w:color w:val="auto"/>
        </w:rPr>
        <w:t>it is not true that the facts referred to in the Charges Letter are inconsistent with what is stated in the Reports on Compliance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Principles of Good Corporate Governance for Peruvian Companies for fiscal years 2014, 2015, 2016, 2017 and 2018</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8.5. 2014 Code of Ethics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Issuer, in this part of its defenses, again refers to numeral 17 of Section I of the 2014 Code, stating:</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 relation to numeral 17 of Section 1 of the 2014 Code of Ethics, which states that ‘All our members respect the appropriate use of the tangible and intangible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assets of our organization and are responsible for using them efficiently’: this code does not contain any prohibition regarding the possibility of making contributions to political campaigns, nor does it indicate that such contributions constitute inappropriate use of company assets. Therefore, it is not true that the facts referred to in the Charges Letter are inconsistent with the code</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The Issuer also states regarding numeral 16 of Section I of the 2014 Code of Ethics: </w:t>
      </w:r>
      <w:r>
        <w:rPr>
          <w:rFonts w:ascii="Times New Roman" w:cs="Times New Roman" w:eastAsia="Times New Roman" w:hAnsi="Times New Roman"/>
          <w:sz w:val="16"/>
          <w:szCs w:val="16"/>
          <w:i w:val="1"/>
          <w:iCs w:val="1"/>
          <w:color w:val="auto"/>
        </w:rPr>
        <w:t>“‘Every employee and member of the Board of Directors is a representative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our organization, and therefore is committed to conduct themselves within the limits established by the laws, regulations, statutes, codes, policies and procedures of our corporation and to reflect an image of respect toward others both inside and outside the organization,’” </w:t>
      </w:r>
      <w:r>
        <w:rPr>
          <w:rFonts w:ascii="Times New Roman" w:cs="Times New Roman" w:eastAsia="Times New Roman" w:hAnsi="Times New Roman"/>
          <w:sz w:val="16"/>
          <w:szCs w:val="16"/>
          <w:color w:val="auto"/>
        </w:rPr>
        <w:t>and notes that this code likewise contains no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prohibition regarding political campaign contributions. Therefore, the facts in the Charges Letter are not inconsistent with the code.</w:t>
      </w:r>
    </w:p>
    <w:p>
      <w:pPr>
        <w:spacing w:after="0" w:line="1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The Issuer further states: “</w:t>
      </w:r>
      <w:r>
        <w:rPr>
          <w:rFonts w:ascii="Times New Roman" w:cs="Times New Roman" w:eastAsia="Times New Roman" w:hAnsi="Times New Roman"/>
          <w:sz w:val="16"/>
          <w:szCs w:val="16"/>
          <w:i w:val="1"/>
          <w:iCs w:val="1"/>
          <w:color w:val="auto"/>
        </w:rPr>
        <w:t>As indicated previously, the process of establishing and improving corporate governance policies is incremental, and such has been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case within Credicorp through the implementation of policies and measures for improved application of good corporate governance practices</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It also states that: “</w:t>
      </w:r>
      <w:r>
        <w:rPr>
          <w:rFonts w:ascii="Times New Roman" w:cs="Times New Roman" w:eastAsia="Times New Roman" w:hAnsi="Times New Roman"/>
          <w:sz w:val="16"/>
          <w:szCs w:val="16"/>
          <w:i w:val="1"/>
          <w:iCs w:val="1"/>
          <w:color w:val="auto"/>
        </w:rPr>
        <w:t>with respect to the 2016 Contributions, these were made in accordance with the procedures established in the Contributions Policy, as detailed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subsections (c) and (f) of numeral 5.2 of Section V of this document (…).</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spacing w:after="0" w:line="203" w:lineRule="exact"/>
        <w:rPr>
          <w:sz w:val="20"/>
          <w:szCs w:val="20"/>
          <w:color w:val="auto"/>
        </w:rPr>
      </w:pPr>
      <w:r>
        <w:rPr>
          <w:rFonts w:ascii="Times New Roman" w:cs="Times New Roman" w:eastAsia="Times New Roman" w:hAnsi="Times New Roman"/>
          <w:sz w:val="16"/>
          <w:szCs w:val="16"/>
          <w:color w:val="auto"/>
        </w:rPr>
        <w:t xml:space="preserve">In this regard, the Issuer notes that: (i) on November 18, 2015, Credicorp’s Corporate Governance Committee approved the Contributions Policy; (ii) that policy was ratified by the Board on January 27, 2016; (iii)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and the contributions made by the Subsidiaries to Peruanos Por el Kambio were made in strict compliance with this policy; (iv) Credicorp’s Compliance Division conducted a review to verify compliance with the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corruption program as it relates to political contributions; (v) the </w:t>
      </w:r>
      <w:r>
        <w:rPr>
          <w:rFonts w:ascii="Times New Roman" w:cs="Times New Roman" w:eastAsia="Times New Roman" w:hAnsi="Times New Roman"/>
          <w:sz w:val="16"/>
          <w:szCs w:val="16"/>
          <w:b w:val="1"/>
          <w:bCs w:val="1"/>
          <w:color w:val="auto"/>
        </w:rPr>
        <w:t>2016 CONTRIBUTIONS</w:t>
      </w:r>
      <w:r>
        <w:rPr>
          <w:rFonts w:ascii="Times New Roman" w:cs="Times New Roman" w:eastAsia="Times New Roman" w:hAnsi="Times New Roman"/>
          <w:sz w:val="16"/>
          <w:szCs w:val="16"/>
          <w:color w:val="auto"/>
        </w:rPr>
        <w:t xml:space="preserve"> were made through the banking system; and (vi) once the 2016 Contributions were made, they were duly recorded by the Subsidiaries under the “donation” sub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account, as evidenced in the General Accounting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208280</wp:posOffset>
            </wp:positionV>
            <wp:extent cx="714629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660"/>
          </w:cols>
          <w:pgMar w:left="900" w:top="121" w:right="339" w:bottom="1440" w:gutter="0" w:footer="0" w:header="0"/>
        </w:sectPr>
      </w:pPr>
    </w:p>
    <w:bookmarkStart w:id="50" w:name="page51"/>
    <w:bookmarkEnd w:id="50"/>
    <w:p>
      <w:pPr>
        <w:jc w:val="both"/>
        <w:ind w:left="583" w:right="20"/>
        <w:spacing w:after="0" w:line="271" w:lineRule="auto"/>
        <w:rPr>
          <w:sz w:val="20"/>
          <w:szCs w:val="20"/>
          <w:color w:val="auto"/>
        </w:rPr>
      </w:pPr>
      <w:r>
        <w:rPr>
          <w:rFonts w:ascii="Times New Roman" w:cs="Times New Roman" w:eastAsia="Times New Roman" w:hAnsi="Times New Roman"/>
          <w:sz w:val="16"/>
          <w:szCs w:val="16"/>
          <w:color w:val="auto"/>
        </w:rPr>
        <w:t>Finally, the Issuer states that: “</w:t>
      </w:r>
      <w:r>
        <w:rPr>
          <w:rFonts w:ascii="Times New Roman" w:cs="Times New Roman" w:eastAsia="Times New Roman" w:hAnsi="Times New Roman"/>
          <w:sz w:val="16"/>
          <w:szCs w:val="16"/>
          <w:i w:val="1"/>
          <w:iCs w:val="1"/>
          <w:color w:val="auto"/>
        </w:rPr>
        <w:t>at the time of the 2016 Contributions, private entities, such as Credicorp, had the right to make contributions to political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organizations. The 2016 Contributions were made under the right to participate in the political life of the Nation set forth in subsection 17 of Article 2 of the Political Constitution of Peru, and in accordance with the legal framework in force at that time</w:t>
      </w:r>
      <w:r>
        <w:rPr>
          <w:rFonts w:ascii="Times New Roman" w:cs="Times New Roman" w:eastAsia="Times New Roman" w:hAnsi="Times New Roman"/>
          <w:sz w:val="16"/>
          <w:szCs w:val="16"/>
          <w:color w:val="auto"/>
        </w:rPr>
        <w:t>.”</w:t>
      </w:r>
    </w:p>
    <w:p>
      <w:pPr>
        <w:spacing w:after="0" w:line="120" w:lineRule="exact"/>
        <w:rPr>
          <w:sz w:val="20"/>
          <w:szCs w:val="20"/>
          <w:color w:val="auto"/>
        </w:rPr>
      </w:pPr>
    </w:p>
    <w:p>
      <w:pPr>
        <w:ind w:left="583"/>
        <w:spacing w:after="0" w:line="184" w:lineRule="exact"/>
        <w:rPr>
          <w:sz w:val="20"/>
          <w:szCs w:val="20"/>
          <w:color w:val="auto"/>
        </w:rPr>
      </w:pPr>
      <w:r>
        <w:rPr>
          <w:rFonts w:ascii="Times New Roman" w:cs="Times New Roman" w:eastAsia="Times New Roman" w:hAnsi="Times New Roman"/>
          <w:sz w:val="16"/>
          <w:szCs w:val="16"/>
          <w:b w:val="1"/>
          <w:bCs w:val="1"/>
          <w:color w:val="auto"/>
        </w:rPr>
        <w:t>8.6. NON</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EXISTENCE OF HARM TO INVESTORS</w:t>
      </w:r>
    </w:p>
    <w:p>
      <w:pPr>
        <w:spacing w:after="0" w:line="238" w:lineRule="exact"/>
        <w:rPr>
          <w:sz w:val="20"/>
          <w:szCs w:val="20"/>
          <w:color w:val="auto"/>
        </w:rPr>
      </w:pPr>
    </w:p>
    <w:p>
      <w:pPr>
        <w:jc w:val="both"/>
        <w:ind w:left="583" w:right="20"/>
        <w:spacing w:after="0" w:line="217" w:lineRule="exact"/>
        <w:rPr>
          <w:sz w:val="20"/>
          <w:szCs w:val="20"/>
          <w:color w:val="auto"/>
        </w:rPr>
      </w:pPr>
      <w:r>
        <w:rPr>
          <w:rFonts w:ascii="Times New Roman" w:cs="Times New Roman" w:eastAsia="Times New Roman" w:hAnsi="Times New Roman"/>
          <w:sz w:val="16"/>
          <w:szCs w:val="16"/>
          <w:color w:val="auto"/>
        </w:rPr>
        <w:t xml:space="preserve">As a final argument, the Issuer states that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was not material and therefore lacked the capacity to significantly influence investor decision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making; accordingly, the failure to timely disclose such information did not cause any harm to investors.</w:t>
      </w:r>
    </w:p>
    <w:p>
      <w:pPr>
        <w:spacing w:after="0" w:line="152"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Furthermore, the Issuer specifies that, to date, it has not received any investor complaints regarding the information related to the 2016 CONTRIBUTIONS.</w:t>
      </w:r>
    </w:p>
    <w:p>
      <w:pPr>
        <w:spacing w:after="0" w:line="202"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b w:val="1"/>
          <w:bCs w:val="1"/>
          <w:color w:val="auto"/>
        </w:rPr>
        <w:t>OTHER CONSIDERATIONS</w:t>
      </w:r>
    </w:p>
    <w:p>
      <w:pPr>
        <w:spacing w:after="0" w:line="171" w:lineRule="exact"/>
        <w:rPr>
          <w:sz w:val="20"/>
          <w:szCs w:val="20"/>
          <w:color w:val="auto"/>
        </w:rPr>
      </w:pPr>
    </w:p>
    <w:p>
      <w:pPr>
        <w:jc w:val="both"/>
        <w:ind w:left="583" w:right="20" w:hanging="292"/>
        <w:spacing w:after="0" w:line="249" w:lineRule="exact"/>
        <w:tabs>
          <w:tab w:leader="none" w:pos="583"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in the present case file, it is noted, among others, in item 74, th</w:t>
      </w:r>
      <w:r>
        <w:rPr>
          <w:rFonts w:ascii="Times New Roman" w:cs="Times New Roman" w:eastAsia="Times New Roman" w:hAnsi="Times New Roman"/>
          <w:sz w:val="16"/>
          <w:szCs w:val="16"/>
          <w:u w:val="single" w:color="auto"/>
          <w:color w:val="auto"/>
        </w:rPr>
        <w:t>e Report No. 730</w:t>
      </w:r>
      <w:r>
        <w:rPr>
          <w:rFonts w:ascii="MS PGothic" w:cs="MS PGothic" w:eastAsia="MS PGothic" w:hAnsi="MS PGothic"/>
          <w:sz w:val="16"/>
          <w:szCs w:val="16"/>
          <w:u w:val="single" w:color="auto"/>
          <w:color w:val="auto"/>
        </w:rPr>
        <w:t>‑</w:t>
      </w:r>
      <w:r>
        <w:rPr>
          <w:rFonts w:ascii="Times New Roman" w:cs="Times New Roman" w:eastAsia="Times New Roman" w:hAnsi="Times New Roman"/>
          <w:sz w:val="16"/>
          <w:szCs w:val="16"/>
          <w:u w:val="single" w:color="auto"/>
          <w:color w:val="auto"/>
        </w:rPr>
        <w:t>2020</w:t>
      </w:r>
      <w:r>
        <w:rPr>
          <w:rFonts w:ascii="MS PGothic" w:cs="MS PGothic" w:eastAsia="MS PGothic" w:hAnsi="MS PGothic"/>
          <w:sz w:val="16"/>
          <w:szCs w:val="16"/>
          <w:u w:val="single" w:color="auto"/>
          <w:color w:val="auto"/>
        </w:rPr>
        <w:t>‑</w:t>
      </w:r>
      <w:r>
        <w:rPr>
          <w:rFonts w:ascii="Times New Roman" w:cs="Times New Roman" w:eastAsia="Times New Roman" w:hAnsi="Times New Roman"/>
          <w:sz w:val="16"/>
          <w:szCs w:val="16"/>
          <w:u w:val="single" w:color="auto"/>
          <w:color w:val="auto"/>
        </w:rPr>
        <w:t>SMV/11.1 of February 26, 2020 (hereinafter, the IGSC Repo</w:t>
      </w:r>
      <w:r>
        <w:rPr>
          <w:rFonts w:ascii="Times New Roman" w:cs="Times New Roman" w:eastAsia="Times New Roman" w:hAnsi="Times New Roman"/>
          <w:sz w:val="16"/>
          <w:szCs w:val="16"/>
          <w:color w:val="auto"/>
        </w:rPr>
        <w:t xml:space="preserve">rt), prepared by the IGSC and addressed to the IGCC, describes the responses to the requests for information made to the Issuer within the framework of the IGSC’s supervisory actions, which provide objective, detailed information about how the events related to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occurred;</w:t>
      </w:r>
      <w:r>
        <w:rPr>
          <w:rFonts w:ascii="Times New Roman" w:cs="Times New Roman" w:eastAsia="Times New Roman" w:hAnsi="Times New Roman"/>
          <w:sz w:val="26"/>
          <w:szCs w:val="26"/>
          <w:color w:val="auto"/>
          <w:vertAlign w:val="superscript"/>
        </w:rPr>
        <w:t>32</w:t>
      </w:r>
    </w:p>
    <w:p>
      <w:pPr>
        <w:spacing w:after="0" w:line="262" w:lineRule="exact"/>
        <w:rPr>
          <w:rFonts w:ascii="Times New Roman" w:cs="Times New Roman" w:eastAsia="Times New Roman" w:hAnsi="Times New Roman"/>
          <w:sz w:val="16"/>
          <w:szCs w:val="16"/>
          <w:color w:val="auto"/>
        </w:rPr>
      </w:pPr>
    </w:p>
    <w:p>
      <w:pPr>
        <w:jc w:val="both"/>
        <w:ind w:left="583" w:right="20" w:hanging="292"/>
        <w:spacing w:after="0" w:line="200" w:lineRule="exact"/>
        <w:tabs>
          <w:tab w:leader="none" w:pos="583"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through letters dated December 9, 13 and 30, 2019, the Issuer provided the documentation and information requested by Official Letter No. 5714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SMV/11.1, and the IGSC Report illustratively describes the Issuer’s responses regarding the 2011 INFORMATION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as well as the contributions made by the Issuer and its three subsidiaries to the 2011 and 2016 presidential campaigns;</w:t>
      </w:r>
    </w:p>
    <w:p>
      <w:pPr>
        <w:spacing w:after="0" w:line="143" w:lineRule="exact"/>
        <w:rPr>
          <w:rFonts w:ascii="Times New Roman" w:cs="Times New Roman" w:eastAsia="Times New Roman" w:hAnsi="Times New Roman"/>
          <w:sz w:val="16"/>
          <w:szCs w:val="16"/>
          <w:color w:val="auto"/>
        </w:rPr>
      </w:pPr>
    </w:p>
    <w:p>
      <w:pPr>
        <w:jc w:val="both"/>
        <w:ind w:left="583" w:hanging="292"/>
        <w:spacing w:after="0" w:line="207" w:lineRule="exact"/>
        <w:tabs>
          <w:tab w:leader="none" w:pos="583"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through Official Letter No. 1641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SMV/11.2 of June 15, 2020, the IGCC informed the Issuer that, through Report No. 730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the IGSC had sent additional information and documentation gathered in the exercise of its supervisory duties, related to the Issuer’s conduct concerning contributions to political parties made during the presidential election campaigns of 2011 and 2016, which was communicated to the Issuer for the purposes it deemed appropriate, and that such additional information and documentation was incorporated into the administrative sanctioning procedure file (File No. 2019048270);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178435</wp:posOffset>
            </wp:positionV>
            <wp:extent cx="178816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305" w:lineRule="exact"/>
        <w:rPr>
          <w:sz w:val="20"/>
          <w:szCs w:val="20"/>
          <w:color w:val="auto"/>
        </w:rPr>
      </w:pPr>
    </w:p>
    <w:p>
      <w:pPr>
        <w:jc w:val="both"/>
        <w:ind w:left="3" w:right="20" w:hanging="3"/>
        <w:spacing w:after="0" w:line="207" w:lineRule="exact"/>
        <w:tabs>
          <w:tab w:leader="none" w:pos="181" w:val="left"/>
        </w:tabs>
        <w:numPr>
          <w:ilvl w:val="0"/>
          <w:numId w:val="6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 the IGSC Report it is stated that, through Official Letter No. 5714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dated December 3, 2019, the Issuer was requested to provide information regarding the material event of November 21, 2019 and the information disseminated in various media outlets, on the internet, and on social networks, following the statements made on November 18, 2019 by Mr. Romero before the Public Prosecutor’s Office. It is further noted that, through Official Letter No. 6074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dated December 24, 2019, the IGSC reiterated to the Issuer the need to comply with certain requests made in said letter, as they had not been fully addressed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14629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51" w:name="page52"/>
    <w:bookmarkEnd w:id="51"/>
    <w:p>
      <w:pPr>
        <w:ind w:left="292" w:hanging="292"/>
        <w:spacing w:after="0"/>
        <w:tabs>
          <w:tab w:leader="none" w:pos="292"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through letters dated July 1, 2020 and August 10, 2020, the Issuer requested access to the case file based on what was reported in Official Letter No.</w:t>
      </w:r>
    </w:p>
    <w:p>
      <w:pPr>
        <w:spacing w:after="0" w:line="26" w:lineRule="exact"/>
        <w:rPr>
          <w:rFonts w:ascii="Times New Roman" w:cs="Times New Roman" w:eastAsia="Times New Roman" w:hAnsi="Times New Roman"/>
          <w:sz w:val="16"/>
          <w:szCs w:val="16"/>
          <w:color w:val="auto"/>
        </w:rPr>
      </w:pPr>
    </w:p>
    <w:p>
      <w:pPr>
        <w:ind w:left="292"/>
        <w:spacing w:after="0" w:line="184"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1641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SMV/11.2, and regarding the IGSC Report stated, principally:</w:t>
      </w:r>
    </w:p>
    <w:p>
      <w:pPr>
        <w:spacing w:after="0" w:line="189" w:lineRule="exact"/>
        <w:rPr>
          <w:sz w:val="20"/>
          <w:szCs w:val="20"/>
          <w:color w:val="auto"/>
        </w:rPr>
      </w:pPr>
    </w:p>
    <w:p>
      <w:pPr>
        <w:jc w:val="both"/>
        <w:ind w:left="852" w:right="20"/>
        <w:spacing w:after="0" w:line="264" w:lineRule="auto"/>
        <w:rPr>
          <w:sz w:val="20"/>
          <w:szCs w:val="20"/>
          <w:color w:val="auto"/>
        </w:rPr>
      </w:pPr>
      <w:r>
        <w:rPr>
          <w:rFonts w:ascii="Times New Roman" w:cs="Times New Roman" w:eastAsia="Times New Roman" w:hAnsi="Times New Roman"/>
          <w:sz w:val="16"/>
          <w:szCs w:val="16"/>
          <w:color w:val="auto"/>
        </w:rPr>
        <w:t>The Report contains certain specific comments that we consider are not consistent with the facts nor legally accurate, for which reason we hereby submit this written statement. Furthermore, we respectfully consider that the Report contains only opinions regarding the same facts that are already under analysis by the General Directorate of Market Conduct Supervision (“IGCC”) in the present administrative sanctioning proceeding, and which have already been the subject of responses by our company.</w:t>
      </w:r>
    </w:p>
    <w:p>
      <w:pPr>
        <w:spacing w:after="0" w:line="126" w:lineRule="exact"/>
        <w:rPr>
          <w:sz w:val="20"/>
          <w:szCs w:val="20"/>
          <w:color w:val="auto"/>
        </w:rPr>
      </w:pPr>
    </w:p>
    <w:p>
      <w:pPr>
        <w:jc w:val="both"/>
        <w:ind w:left="292" w:hanging="292"/>
        <w:spacing w:after="0" w:line="207" w:lineRule="exact"/>
        <w:tabs>
          <w:tab w:leader="none" w:pos="29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from reading the IGSC Report, Official Letter No. 5714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the Issuer’s responses to that letter, and the statements and information referenced in the Charges Letter, it is clear that this is not a report containing mere opinions or isolated comments not in line with the facts or legally accurate. On the contrary, it contains a description of facts, a description of the Issuer’s responses, or information publicly disclosed by the Issuer, which is relevant for understanding in greater detail the circumstances surrounding the commission of the infractions attributed to the Issuer in the Charges Letter;</w:t>
      </w:r>
    </w:p>
    <w:p>
      <w:pPr>
        <w:spacing w:after="0" w:line="143" w:lineRule="exact"/>
        <w:rPr>
          <w:rFonts w:ascii="Times New Roman" w:cs="Times New Roman" w:eastAsia="Times New Roman" w:hAnsi="Times New Roman"/>
          <w:sz w:val="16"/>
          <w:szCs w:val="16"/>
          <w:color w:val="auto"/>
        </w:rPr>
      </w:pPr>
    </w:p>
    <w:p>
      <w:pPr>
        <w:jc w:val="both"/>
        <w:ind w:left="292" w:hanging="292"/>
        <w:spacing w:after="0" w:line="203" w:lineRule="exact"/>
        <w:tabs>
          <w:tab w:leader="none" w:pos="29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Supreme Decree No. 004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JUS approved the new Consolidated Text of the General Administrative Procedure Law – Law No. 27444 (TUO of the LPAG), which contains common rules governing administrative actions of the State and all administrative procedures carried out in government entities, including special procedures. Likewise, numeral 3) of Article 248 of the TUO of the LPAG sets forth the criteria for determining the severity of sanctions: (1) The illicit benefit resulting from the commission of the infraction, (2) The probability of detection, (3) The severity of harm to the public interest and/or legally protected interest, (4) The economic damage caused, (5) Recidivism, for the same infraction within one (1) year after the sanctioning decision became final, (6) The circumstances of the infraction; and (7) The existence or absence of intent;</w:t>
      </w:r>
    </w:p>
    <w:p>
      <w:pPr>
        <w:spacing w:after="0" w:line="181" w:lineRule="exact"/>
        <w:rPr>
          <w:rFonts w:ascii="Times New Roman" w:cs="Times New Roman" w:eastAsia="Times New Roman" w:hAnsi="Times New Roman"/>
          <w:sz w:val="16"/>
          <w:szCs w:val="16"/>
          <w:color w:val="auto"/>
        </w:rPr>
      </w:pPr>
    </w:p>
    <w:p>
      <w:pPr>
        <w:ind w:left="292" w:hanging="292"/>
        <w:spacing w:after="0"/>
        <w:tabs>
          <w:tab w:leader="none" w:pos="29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charges, the Issuer’s defenses, and the new criteria for sanction determination were evaluated in the Report, which was made known to the SASCM;</w:t>
      </w:r>
    </w:p>
    <w:p>
      <w:pPr>
        <w:spacing w:after="0" w:line="168" w:lineRule="exact"/>
        <w:rPr>
          <w:rFonts w:ascii="Times New Roman" w:cs="Times New Roman" w:eastAsia="Times New Roman" w:hAnsi="Times New Roman"/>
          <w:sz w:val="16"/>
          <w:szCs w:val="16"/>
          <w:color w:val="auto"/>
        </w:rPr>
      </w:pPr>
    </w:p>
    <w:p>
      <w:pPr>
        <w:ind w:left="292" w:right="20" w:hanging="292"/>
        <w:spacing w:after="0" w:line="221" w:lineRule="exact"/>
        <w:tabs>
          <w:tab w:leader="none" w:pos="29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through General Intendency Resolution No. 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SMV/11.2 of December 3, 2020, the IGCC extended the deadline to resolve the present administrative sanctioning procedure for an additional three (3) months;</w:t>
      </w:r>
    </w:p>
    <w:p>
      <w:pPr>
        <w:spacing w:after="0" w:line="142" w:lineRule="exact"/>
        <w:rPr>
          <w:rFonts w:ascii="Times New Roman" w:cs="Times New Roman" w:eastAsia="Times New Roman" w:hAnsi="Times New Roman"/>
          <w:sz w:val="16"/>
          <w:szCs w:val="16"/>
          <w:color w:val="auto"/>
        </w:rPr>
      </w:pPr>
    </w:p>
    <w:p>
      <w:pPr>
        <w:ind w:left="292" w:right="20" w:hanging="292"/>
        <w:spacing w:after="0" w:line="221" w:lineRule="exact"/>
        <w:tabs>
          <w:tab w:leader="none" w:pos="29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in compliance with numeral 5 of Article 255 of the TUO of the LPAG, through Official Letter No. 077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of January 7, 2021, the Report was sent to the Issuer, so that it may present its arguments within five (5) business days of notification;</w:t>
      </w:r>
    </w:p>
    <w:p>
      <w:pPr>
        <w:spacing w:after="0" w:line="178" w:lineRule="exact"/>
        <w:rPr>
          <w:rFonts w:ascii="Times New Roman" w:cs="Times New Roman" w:eastAsia="Times New Roman" w:hAnsi="Times New Roman"/>
          <w:sz w:val="16"/>
          <w:szCs w:val="16"/>
          <w:color w:val="auto"/>
        </w:rPr>
      </w:pPr>
    </w:p>
    <w:p>
      <w:pPr>
        <w:ind w:left="292" w:hanging="292"/>
        <w:spacing w:after="0"/>
        <w:tabs>
          <w:tab w:leader="none" w:pos="29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through communication dated January 11, 2021, the Issuer requested an extension of the deadline to submit its arguments regarding the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240665</wp:posOffset>
            </wp:positionV>
            <wp:extent cx="714629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72"/>
          </w:cols>
          <w:pgMar w:left="608" w:top="123" w:right="319" w:bottom="1440" w:gutter="0" w:footer="0" w:header="0"/>
        </w:sectPr>
      </w:pPr>
    </w:p>
    <w:bookmarkStart w:id="52" w:name="page53"/>
    <w:bookmarkEnd w:id="52"/>
    <w:p>
      <w:pPr>
        <w:ind w:left="580" w:hanging="292"/>
        <w:spacing w:after="0" w:line="220" w:lineRule="exact"/>
        <w:tabs>
          <w:tab w:leader="none" w:pos="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through Official Letter No. 119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of January 11, 2021, the deadline for the Issuer to submit its arguments was extended until January 28, 2021, and such arguments were submitted on January 27, 2021 and are evaluated in this Resolution;</w:t>
      </w:r>
    </w:p>
    <w:p>
      <w:pPr>
        <w:spacing w:after="0" w:line="179" w:lineRule="exact"/>
        <w:rPr>
          <w:rFonts w:ascii="Times New Roman" w:cs="Times New Roman" w:eastAsia="Times New Roman" w:hAnsi="Times New Roman"/>
          <w:sz w:val="16"/>
          <w:szCs w:val="16"/>
          <w:color w:val="auto"/>
        </w:rPr>
      </w:pPr>
    </w:p>
    <w:p>
      <w:pPr>
        <w:ind w:left="580" w:hanging="292"/>
        <w:spacing w:after="0" w:line="215" w:lineRule="exact"/>
        <w:tabs>
          <w:tab w:leader="none" w:pos="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together with the submission of its arguments on January 27, 2021, the Issuer requested the opportunity to present oral arguments before this Deputy Superintendency, which was granted by Official Letter No. 360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w:t>
      </w:r>
    </w:p>
    <w:p>
      <w:pPr>
        <w:spacing w:after="0" w:line="117" w:lineRule="exact"/>
        <w:rPr>
          <w:rFonts w:ascii="Times New Roman" w:cs="Times New Roman" w:eastAsia="Times New Roman" w:hAnsi="Times New Roman"/>
          <w:sz w:val="16"/>
          <w:szCs w:val="16"/>
          <w:color w:val="auto"/>
        </w:rPr>
      </w:pPr>
    </w:p>
    <w:p>
      <w:pPr>
        <w:jc w:val="both"/>
        <w:ind w:left="580" w:hanging="292"/>
        <w:spacing w:after="0" w:line="204" w:lineRule="exact"/>
        <w:tabs>
          <w:tab w:leader="none" w:pos="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oral hearing took place on February 4, 2021, in accordance with the provisions of Superintendent Resolution No. 056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SMV/02, which approved the “</w:t>
      </w:r>
      <w:r>
        <w:rPr>
          <w:rFonts w:ascii="Times New Roman" w:cs="Times New Roman" w:eastAsia="Times New Roman" w:hAnsi="Times New Roman"/>
          <w:sz w:val="16"/>
          <w:szCs w:val="16"/>
          <w:i w:val="1"/>
          <w:iCs w:val="1"/>
          <w:color w:val="auto"/>
        </w:rPr>
        <w:t>Provisions for the exercise of oral hearings through the electronic platform by administered parties in sanctioning procedures and others</w:t>
      </w:r>
      <w:r>
        <w:rPr>
          <w:rFonts w:ascii="Times New Roman" w:cs="Times New Roman" w:eastAsia="Times New Roman" w:hAnsi="Times New Roman"/>
          <w:sz w:val="16"/>
          <w:szCs w:val="16"/>
          <w:color w:val="auto"/>
        </w:rPr>
        <w:t>.” During the hearing, the Issuer’s representatives — Guillermo Morales Valentín, José Antonio Payet Puccio, Eduardo Vega Cantuarias and Rocío Gordillo Soto — presented oral arguments before the officials of this Deputy Superintendency, reiterating the arguments presented in their written submissions. Upon conclusion of the hearing, the corresponding record was signed;</w:t>
      </w:r>
    </w:p>
    <w:p>
      <w:pPr>
        <w:spacing w:after="0" w:line="181" w:lineRule="exact"/>
        <w:rPr>
          <w:rFonts w:ascii="Times New Roman" w:cs="Times New Roman" w:eastAsia="Times New Roman" w:hAnsi="Times New Roman"/>
          <w:sz w:val="16"/>
          <w:szCs w:val="16"/>
          <w:color w:val="auto"/>
        </w:rPr>
      </w:pPr>
    </w:p>
    <w:p>
      <w:pPr>
        <w:jc w:val="both"/>
        <w:ind w:left="580" w:hanging="292"/>
        <w:spacing w:after="0" w:line="264" w:lineRule="auto"/>
        <w:tabs>
          <w:tab w:leader="none" w:pos="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as evidenced in the documentation mentioned above and in the corresponding case file, during the present administrative sanctioning procedure the Issuer has been able to exercise its legitimate right to defense, having submitted its defenses, arguments and all documentation it deemed pertinent as evidence to refute the charges, requested extensions of deadlines to better prepare its defense, and such extensions were granted. Accordingly, the specific case of the Issuer is analyzed below;</w:t>
      </w:r>
    </w:p>
    <w:p>
      <w:pPr>
        <w:spacing w:after="0" w:line="159"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III. Issues to Determine</w:t>
      </w:r>
    </w:p>
    <w:p>
      <w:pPr>
        <w:spacing w:after="0" w:line="206" w:lineRule="exact"/>
        <w:rPr>
          <w:rFonts w:ascii="Times New Roman" w:cs="Times New Roman" w:eastAsia="Times New Roman" w:hAnsi="Times New Roman"/>
          <w:sz w:val="16"/>
          <w:szCs w:val="16"/>
          <w:color w:val="auto"/>
        </w:rPr>
      </w:pPr>
    </w:p>
    <w:p>
      <w:pPr>
        <w:ind w:left="580" w:hanging="292"/>
        <w:spacing w:after="0"/>
        <w:tabs>
          <w:tab w:leader="none" w:pos="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in the present administrative procedure, it must be determined:</w:t>
      </w:r>
    </w:p>
    <w:p>
      <w:pPr>
        <w:spacing w:after="0" w:line="204" w:lineRule="exact"/>
        <w:rPr>
          <w:sz w:val="20"/>
          <w:szCs w:val="20"/>
          <w:color w:val="auto"/>
        </w:rPr>
      </w:pPr>
    </w:p>
    <w:p>
      <w:pPr>
        <w:ind w:left="940" w:hanging="360"/>
        <w:spacing w:after="0"/>
        <w:tabs>
          <w:tab w:leader="none" w:pos="9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Issuer did or did not incur the infractions indicated in the Charges Letter and the Report;</w:t>
      </w:r>
    </w:p>
    <w:p>
      <w:pPr>
        <w:spacing w:after="0" w:line="204" w:lineRule="exact"/>
        <w:rPr>
          <w:rFonts w:ascii="Times New Roman" w:cs="Times New Roman" w:eastAsia="Times New Roman" w:hAnsi="Times New Roman"/>
          <w:sz w:val="16"/>
          <w:szCs w:val="16"/>
          <w:color w:val="auto"/>
        </w:rPr>
      </w:pPr>
    </w:p>
    <w:p>
      <w:pPr>
        <w:ind w:left="940" w:hanging="360"/>
        <w:spacing w:after="0"/>
        <w:tabs>
          <w:tab w:leader="none" w:pos="9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(ii) Whether a sanction should be imposed on the Issuer;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IV. Analysis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 Applicable Regulations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b w:val="1"/>
          <w:bCs w:val="1"/>
          <w:color w:val="auto"/>
        </w:rPr>
        <w:t>A. FIRST CHARGE: THE ISSUER ENGAGED IN CONDUCT THAT WOULD HAVE AFFECTED THE TRANSPARENCY OF THE SECURITIES MARKET BY FAILING TO DISCLOSE RELEVANT INFORMATION REGARDING THE ISSUER’S CASH CONTRIBUTIONS TO THE POLITICAL PARTY FUERZA 2011 DURING THE 2011 PRESIDENTIAL CAMPAIGN</w:t>
      </w:r>
    </w:p>
    <w:p>
      <w:pPr>
        <w:spacing w:after="0" w:line="154" w:lineRule="exact"/>
        <w:rPr>
          <w:sz w:val="20"/>
          <w:szCs w:val="20"/>
          <w:color w:val="auto"/>
        </w:rPr>
      </w:pPr>
    </w:p>
    <w:p>
      <w:pPr>
        <w:ind w:left="580" w:hanging="292"/>
        <w:spacing w:after="0" w:line="287" w:lineRule="auto"/>
        <w:tabs>
          <w:tab w:leader="none" w:pos="5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Article 1 of the LMV provides that: “</w:t>
      </w:r>
      <w:r>
        <w:rPr>
          <w:rFonts w:ascii="Times New Roman" w:cs="Times New Roman" w:eastAsia="Times New Roman" w:hAnsi="Times New Roman"/>
          <w:sz w:val="16"/>
          <w:szCs w:val="16"/>
          <w:i w:val="1"/>
          <w:iCs w:val="1"/>
          <w:color w:val="auto"/>
        </w:rPr>
        <w:t>The purpose of this law is to promote the orderly development and transparency of the securities market, as well as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adequate protection of the investor (…)</w:t>
      </w:r>
      <w:r>
        <w:rPr>
          <w:rFonts w:ascii="Times New Roman" w:cs="Times New Roman" w:eastAsia="Times New Roman" w:hAnsi="Times New Roman"/>
          <w:sz w:val="16"/>
          <w:szCs w:val="16"/>
          <w:color w:val="auto"/>
        </w:rPr>
        <w:t>.” According to the second paragraph of this Article, the LMV is applicable to issuers;</w:t>
      </w:r>
      <w:r>
        <w:rPr>
          <w:rFonts w:ascii="Times New Roman" w:cs="Times New Roman" w:eastAsia="Times New Roman" w:hAnsi="Times New Roman"/>
          <w:sz w:val="26"/>
          <w:szCs w:val="26"/>
          <w:color w:val="auto"/>
          <w:vertAlign w:val="superscript"/>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69215</wp:posOffset>
            </wp:positionV>
            <wp:extent cx="178816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33</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Article 1. – Purpose and Scope of the Law</w:t>
      </w:r>
    </w:p>
    <w:p>
      <w:pPr>
        <w:spacing w:after="0"/>
        <w:rPr>
          <w:sz w:val="20"/>
          <w:szCs w:val="20"/>
          <w:color w:val="auto"/>
        </w:rPr>
      </w:pPr>
      <w:r>
        <w:rPr>
          <w:rFonts w:ascii="Times New Roman" w:cs="Times New Roman" w:eastAsia="Times New Roman" w:hAnsi="Times New Roman"/>
          <w:sz w:val="16"/>
          <w:szCs w:val="16"/>
          <w:i w:val="1"/>
          <w:iCs w:val="1"/>
          <w:color w:val="auto"/>
        </w:rPr>
        <w:t>The purpose of this law is to promote the orderly development and transparency of the securities market, as well as the adequate protection of investors.</w:t>
      </w:r>
    </w:p>
    <w:p>
      <w:pPr>
        <w:spacing w:after="0" w:line="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This law covers public offerings of securities and their issuers, publicly offered securities, brokerage firms, stock exchanges, securities clearing and settlement institutions, securitization companies, mutual funds for investment in securities, investment funds, and, in general, all other participants in the securities market, as well as the supervisory and oversight authority. Unless expressly stated otherwise, its provisions do not apply to private offerings of securities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14629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88" w:right="339" w:bottom="1440" w:gutter="0" w:footer="0" w:header="0"/>
        </w:sectPr>
      </w:pPr>
    </w:p>
    <w:bookmarkStart w:id="53" w:name="page54"/>
    <w:bookmarkEnd w:id="53"/>
    <w:p>
      <w:pPr>
        <w:ind w:left="283"/>
        <w:spacing w:after="0"/>
        <w:rPr>
          <w:sz w:val="20"/>
          <w:szCs w:val="20"/>
          <w:color w:val="auto"/>
        </w:rPr>
      </w:pPr>
      <w:r>
        <w:rPr>
          <w:rFonts w:ascii="Times New Roman" w:cs="Times New Roman" w:eastAsia="Times New Roman" w:hAnsi="Times New Roman"/>
          <w:sz w:val="16"/>
          <w:szCs w:val="16"/>
          <w:color w:val="auto"/>
        </w:rPr>
        <w:t>35. That, Article 10 of the LMV establishes:</w:t>
      </w:r>
    </w:p>
    <w:p>
      <w:pPr>
        <w:spacing w:after="0" w:line="202"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MARKET TRANSPARENCY</w:t>
      </w:r>
    </w:p>
    <w:p>
      <w:pPr>
        <w:spacing w:after="0" w:line="206"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color w:val="auto"/>
        </w:rPr>
        <w:t>Chapter I: General Principles</w:t>
      </w:r>
    </w:p>
    <w:p>
      <w:pPr>
        <w:spacing w:after="0" w:line="204" w:lineRule="exact"/>
        <w:rPr>
          <w:sz w:val="20"/>
          <w:szCs w:val="20"/>
          <w:color w:val="auto"/>
        </w:rPr>
      </w:pPr>
    </w:p>
    <w:p>
      <w:pPr>
        <w:jc w:val="both"/>
        <w:ind w:left="3" w:right="20"/>
        <w:spacing w:after="0" w:line="266" w:lineRule="auto"/>
        <w:rPr>
          <w:sz w:val="20"/>
          <w:szCs w:val="20"/>
          <w:color w:val="auto"/>
        </w:rPr>
      </w:pPr>
      <w:r>
        <w:rPr>
          <w:rFonts w:ascii="Times New Roman" w:cs="Times New Roman" w:eastAsia="Times New Roman" w:hAnsi="Times New Roman"/>
          <w:sz w:val="16"/>
          <w:szCs w:val="16"/>
          <w:color w:val="auto"/>
        </w:rPr>
        <w:t>Article 10.– Quality of Information: All information that, pursuant to this law, must be submitted to CONASEV, the exchange, the entities responsible for centralized mechanisms, or investors, shall be truthful, sufficient and timely. Once such information is received by those institutions, it shall be immediately made available to the public»;</w:t>
      </w:r>
      <w:r>
        <w:rPr>
          <w:rFonts w:ascii="Times New Roman" w:cs="Times New Roman" w:eastAsia="Times New Roman" w:hAnsi="Times New Roman"/>
          <w:sz w:val="26"/>
          <w:szCs w:val="26"/>
          <w:color w:val="auto"/>
          <w:vertAlign w:val="superscript"/>
        </w:rPr>
        <w:t>34</w:t>
      </w:r>
    </w:p>
    <w:p>
      <w:pPr>
        <w:spacing w:after="0" w:line="2" w:lineRule="exact"/>
        <w:rPr>
          <w:sz w:val="20"/>
          <w:szCs w:val="20"/>
          <w:color w:val="auto"/>
        </w:rPr>
      </w:pPr>
    </w:p>
    <w:p>
      <w:pPr>
        <w:jc w:val="both"/>
        <w:ind w:left="583" w:right="20" w:hanging="292"/>
        <w:spacing w:after="0" w:line="257" w:lineRule="exact"/>
        <w:tabs>
          <w:tab w:leader="none" w:pos="583"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according to the charges brought against the Issuer,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with the above provision is typified under subsection 1.6, numeral 1 of Annex I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in force at the time the infraction occurred, which establishes that a very serious infraction consists of: “</w:t>
      </w:r>
      <w:r>
        <w:rPr>
          <w:rFonts w:ascii="Times New Roman" w:cs="Times New Roman" w:eastAsia="Times New Roman" w:hAnsi="Times New Roman"/>
          <w:sz w:val="16"/>
          <w:szCs w:val="16"/>
          <w:i w:val="1"/>
          <w:iCs w:val="1"/>
          <w:color w:val="auto"/>
        </w:rPr>
        <w:t>Carrying out any act, omission, practice or conduct that undermines the integrity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transparency of the market</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35 36</w:t>
      </w:r>
    </w:p>
    <w:p>
      <w:pPr>
        <w:spacing w:after="0" w:line="7" w:lineRule="exact"/>
        <w:rPr>
          <w:rFonts w:ascii="Times New Roman" w:cs="Times New Roman" w:eastAsia="Times New Roman" w:hAnsi="Times New Roman"/>
          <w:sz w:val="16"/>
          <w:szCs w:val="16"/>
          <w:color w:val="auto"/>
        </w:rPr>
      </w:pPr>
    </w:p>
    <w:p>
      <w:pPr>
        <w:ind w:left="583" w:right="20" w:hanging="292"/>
        <w:spacing w:after="0" w:line="221" w:lineRule="exact"/>
        <w:tabs>
          <w:tab w:leader="none" w:pos="583"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in accordance with Article 20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in force at the time the infraction was committed, the infraction is sanctioned with a fine of no less than fifty (50) UIT and up to three hundred (300) UIT;</w:t>
      </w:r>
    </w:p>
    <w:p>
      <w:pPr>
        <w:spacing w:after="0" w:line="176" w:lineRule="exact"/>
        <w:rPr>
          <w:rFonts w:ascii="Times New Roman" w:cs="Times New Roman" w:eastAsia="Times New Roman" w:hAnsi="Times New Roman"/>
          <w:sz w:val="16"/>
          <w:szCs w:val="16"/>
          <w:color w:val="auto"/>
        </w:rPr>
      </w:pPr>
    </w:p>
    <w:p>
      <w:pPr>
        <w:jc w:val="both"/>
        <w:ind w:left="3" w:right="20" w:hanging="3"/>
        <w:spacing w:after="0" w:line="271" w:lineRule="auto"/>
        <w:tabs>
          <w:tab w:leader="none" w:pos="233"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SECOND CHARGE: THE ISSUER ENGAGED IN CONDUCT THAT WOULD HAVE AFFECTED THE TRANSPARENCY OF THE SECURITIES MARKET BY FAILING TO DISCLOSE RELEVANT INFORMATION REGARDING THE ISSUER’S AGREEMENT TO MAKE, THROUGH ITS SUBSIDIARIES, CONTRIBUTIONS TO THE POLITICAL PARTY PERUANOS POR EL KAMBIO DURING THE 2016 PRESIDENTIAL CAMPAIGN</w:t>
      </w:r>
    </w:p>
    <w:p>
      <w:pPr>
        <w:spacing w:after="0" w:line="153" w:lineRule="exact"/>
        <w:rPr>
          <w:rFonts w:ascii="Times New Roman" w:cs="Times New Roman" w:eastAsia="Times New Roman" w:hAnsi="Times New Roman"/>
          <w:sz w:val="16"/>
          <w:szCs w:val="16"/>
          <w:b w:val="1"/>
          <w:bCs w:val="1"/>
          <w:color w:val="auto"/>
        </w:rPr>
      </w:pPr>
    </w:p>
    <w:p>
      <w:pPr>
        <w:ind w:left="583" w:hanging="292"/>
        <w:spacing w:after="0" w:line="290" w:lineRule="auto"/>
        <w:tabs>
          <w:tab w:leader="none" w:pos="583"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Article 1 of the LMV provides that “</w:t>
      </w:r>
      <w:r>
        <w:rPr>
          <w:rFonts w:ascii="Times New Roman" w:cs="Times New Roman" w:eastAsia="Times New Roman" w:hAnsi="Times New Roman"/>
          <w:sz w:val="16"/>
          <w:szCs w:val="16"/>
          <w:i w:val="1"/>
          <w:iCs w:val="1"/>
          <w:color w:val="auto"/>
        </w:rPr>
        <w:t>The purpose of this law is to promote the orderly development and transparency of the securities market, as well as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adequate protection of the investor (…).</w:t>
      </w:r>
      <w:r>
        <w:rPr>
          <w:rFonts w:ascii="Times New Roman" w:cs="Times New Roman" w:eastAsia="Times New Roman" w:hAnsi="Times New Roman"/>
          <w:sz w:val="16"/>
          <w:szCs w:val="16"/>
          <w:color w:val="auto"/>
        </w:rPr>
        <w:t>” According to the second paragraph of this Article, the LMV applies to issuers;</w:t>
      </w:r>
    </w:p>
    <w:p>
      <w:pPr>
        <w:spacing w:after="0" w:line="138" w:lineRule="exact"/>
        <w:rPr>
          <w:rFonts w:ascii="Times New Roman" w:cs="Times New Roman" w:eastAsia="Times New Roman" w:hAnsi="Times New Roman"/>
          <w:sz w:val="16"/>
          <w:szCs w:val="16"/>
          <w:color w:val="auto"/>
        </w:rPr>
      </w:pPr>
    </w:p>
    <w:p>
      <w:pPr>
        <w:jc w:val="both"/>
        <w:ind w:left="583" w:right="20" w:hanging="292"/>
        <w:spacing w:after="0" w:line="267" w:lineRule="auto"/>
        <w:tabs>
          <w:tab w:leader="none" w:pos="583"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Article 10 of the LMV additionally establishes that “</w:t>
      </w:r>
      <w:r>
        <w:rPr>
          <w:rFonts w:ascii="Times New Roman" w:cs="Times New Roman" w:eastAsia="Times New Roman" w:hAnsi="Times New Roman"/>
          <w:sz w:val="16"/>
          <w:szCs w:val="16"/>
          <w:i w:val="1"/>
          <w:iCs w:val="1"/>
          <w:color w:val="auto"/>
        </w:rPr>
        <w:t>All information that, pursuant to this law,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must be submitted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to CONASEV, to the exchange, to the entities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responsible for centralized mechanisms, or </w:t>
      </w:r>
      <w:r>
        <w:rPr>
          <w:rFonts w:ascii="Times New Roman" w:cs="Times New Roman" w:eastAsia="Times New Roman" w:hAnsi="Times New Roman"/>
          <w:sz w:val="16"/>
          <w:szCs w:val="16"/>
          <w:i w:val="1"/>
          <w:iCs w:val="1"/>
          <w:u w:val="single" w:color="auto"/>
          <w:color w:val="auto"/>
        </w:rPr>
        <w:t>to investors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shall be truthful, sufficient and timely</w:t>
      </w:r>
      <w:r>
        <w:rPr>
          <w:rFonts w:ascii="Times New Roman" w:cs="Times New Roman" w:eastAsia="Times New Roman" w:hAnsi="Times New Roman"/>
          <w:sz w:val="16"/>
          <w:szCs w:val="16"/>
          <w:i w:val="1"/>
          <w:iCs w:val="1"/>
          <w:color w:val="auto"/>
        </w:rPr>
        <w:t>. Once such information is received by these institutions, it shall be immediately made available to the public</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37</w:t>
      </w:r>
    </w:p>
    <w:p>
      <w:pPr>
        <w:jc w:val="both"/>
        <w:ind w:left="583" w:right="20" w:hanging="292"/>
        <w:spacing w:after="0" w:line="242" w:lineRule="exact"/>
        <w:tabs>
          <w:tab w:leader="none" w:pos="583"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in accordance with the charges brought against the Issuer,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with the above provision is typified in subsection 1.5, numeral 1 of Annex I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in force at the time the infraction was committed, which establishes that a very serious infraction consists of: “</w:t>
      </w:r>
      <w:r>
        <w:rPr>
          <w:rFonts w:ascii="Times New Roman" w:cs="Times New Roman" w:eastAsia="Times New Roman" w:hAnsi="Times New Roman"/>
          <w:sz w:val="16"/>
          <w:szCs w:val="16"/>
          <w:i w:val="1"/>
          <w:iCs w:val="1"/>
          <w:color w:val="auto"/>
        </w:rPr>
        <w:t>Carrying out any act, omission, practice or conduct that undermines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integrity or transparency of the market</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78816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105" w:lineRule="exact"/>
        <w:rPr>
          <w:sz w:val="20"/>
          <w:szCs w:val="20"/>
          <w:color w:val="auto"/>
        </w:rPr>
      </w:pPr>
    </w:p>
    <w:p>
      <w:pPr>
        <w:ind w:left="183" w:hanging="183"/>
        <w:spacing w:after="0"/>
        <w:tabs>
          <w:tab w:leader="none" w:pos="183" w:val="left"/>
        </w:tabs>
        <w:numPr>
          <w:ilvl w:val="0"/>
          <w:numId w:val="7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emphasis and underlining are in addition.</w:t>
      </w:r>
    </w:p>
    <w:p>
      <w:pPr>
        <w:spacing w:after="0" w:line="2" w:lineRule="exact"/>
        <w:rPr>
          <w:rFonts w:ascii="Times New Roman" w:cs="Times New Roman" w:eastAsia="Times New Roman" w:hAnsi="Times New Roman"/>
          <w:sz w:val="27"/>
          <w:szCs w:val="27"/>
          <w:color w:val="auto"/>
          <w:vertAlign w:val="superscript"/>
        </w:rPr>
      </w:pPr>
    </w:p>
    <w:p>
      <w:pPr>
        <w:ind w:left="3" w:right="340" w:hanging="3"/>
        <w:spacing w:after="0" w:line="192" w:lineRule="auto"/>
        <w:tabs>
          <w:tab w:leader="none" w:pos="178"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analysis conducted regarding whether the imputed infraction type is applicable —which is challenged by the Issuer in its defenses— is presented in the following section.</w:t>
      </w:r>
    </w:p>
    <w:p>
      <w:pPr>
        <w:ind w:left="183" w:hanging="183"/>
        <w:spacing w:after="0" w:line="184" w:lineRule="auto"/>
        <w:tabs>
          <w:tab w:leader="none" w:pos="183" w:val="left"/>
        </w:tabs>
        <w:numPr>
          <w:ilvl w:val="0"/>
          <w:numId w:val="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underlining is an addition.</w:t>
      </w:r>
    </w:p>
    <w:p>
      <w:pPr>
        <w:spacing w:after="0" w:line="2" w:lineRule="exact"/>
        <w:rPr>
          <w:rFonts w:ascii="Times New Roman" w:cs="Times New Roman" w:eastAsia="Times New Roman" w:hAnsi="Times New Roman"/>
          <w:sz w:val="22"/>
          <w:szCs w:val="22"/>
          <w:color w:val="auto"/>
          <w:vertAlign w:val="superscript"/>
        </w:rPr>
      </w:pPr>
    </w:p>
    <w:p>
      <w:pPr>
        <w:ind w:left="183" w:hanging="183"/>
        <w:spacing w:after="0" w:line="182" w:lineRule="auto"/>
        <w:tabs>
          <w:tab w:leader="none" w:pos="183" w:val="left"/>
        </w:tabs>
        <w:numPr>
          <w:ilvl w:val="0"/>
          <w:numId w:val="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emphasis and underlining are additions.</w:t>
      </w:r>
    </w:p>
    <w:p>
      <w:pPr>
        <w:spacing w:after="0" w:line="2" w:lineRule="exact"/>
        <w:rPr>
          <w:rFonts w:ascii="Times New Roman" w:cs="Times New Roman" w:eastAsia="Times New Roman" w:hAnsi="Times New Roman"/>
          <w:sz w:val="22"/>
          <w:szCs w:val="22"/>
          <w:color w:val="auto"/>
          <w:vertAlign w:val="superscript"/>
        </w:rPr>
      </w:pPr>
    </w:p>
    <w:p>
      <w:pPr>
        <w:ind w:left="3" w:right="340" w:hanging="3"/>
        <w:spacing w:after="0" w:line="192" w:lineRule="auto"/>
        <w:tabs>
          <w:tab w:leader="none" w:pos="178"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analysis conducted regarding whether the imputed infraction type is applicable —which is challenged by the Issuer in its defenses— is presented in the following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4629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54" w:name="page55"/>
    <w:bookmarkEnd w:id="54"/>
    <w:p>
      <w:pPr>
        <w:jc w:val="both"/>
        <w:ind w:left="583" w:right="20" w:hanging="292"/>
        <w:spacing w:after="0" w:line="211" w:lineRule="exact"/>
        <w:tabs>
          <w:tab w:leader="none" w:pos="58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in accordance with Article 20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 amended by Article 1 of Superintendent Resolution No. 101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SMV/02 — in force at the time the infraction was committed, such infraction is sanctioned with a fine of no less than fifty (50) UIT and up to seven hundred (700) UIT, or exclusion of the security from the RPMV;</w:t>
      </w:r>
    </w:p>
    <w:p>
      <w:pPr>
        <w:spacing w:after="0" w:line="17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4.2 Evaluation of the Case</w:t>
      </w:r>
    </w:p>
    <w:p>
      <w:pPr>
        <w:spacing w:after="0" w:line="204" w:lineRule="exact"/>
        <w:rPr>
          <w:sz w:val="20"/>
          <w:szCs w:val="20"/>
          <w:color w:val="auto"/>
        </w:rPr>
      </w:pPr>
    </w:p>
    <w:p>
      <w:pPr>
        <w:jc w:val="both"/>
        <w:ind w:left="583" w:right="20" w:hanging="292"/>
        <w:spacing w:after="0" w:line="271" w:lineRule="auto"/>
        <w:tabs>
          <w:tab w:leader="none" w:pos="583"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as a starting point, it is necessary to describe the Issuer, for which relevant information regarding the Issuer is provided in </w:t>
      </w:r>
      <w:r>
        <w:rPr>
          <w:rFonts w:ascii="Times New Roman" w:cs="Times New Roman" w:eastAsia="Times New Roman" w:hAnsi="Times New Roman"/>
          <w:sz w:val="16"/>
          <w:szCs w:val="16"/>
          <w:b w:val="1"/>
          <w:bCs w:val="1"/>
          <w:color w:val="auto"/>
        </w:rPr>
        <w:t>ANNEX 1</w:t>
      </w:r>
      <w:r>
        <w:rPr>
          <w:rFonts w:ascii="Times New Roman" w:cs="Times New Roman" w:eastAsia="Times New Roman" w:hAnsi="Times New Roman"/>
          <w:sz w:val="16"/>
          <w:szCs w:val="16"/>
          <w:color w:val="auto"/>
        </w:rPr>
        <w:t xml:space="preserve">, which may be verified in different public sources and, in any case, may be corroborated or updated through the Issuer’s website: </w:t>
      </w:r>
      <w:r>
        <w:rPr>
          <w:rFonts w:ascii="Times New Roman" w:cs="Times New Roman" w:eastAsia="Times New Roman" w:hAnsi="Times New Roman"/>
          <w:sz w:val="16"/>
          <w:szCs w:val="16"/>
          <w:u w:val="single" w:color="auto"/>
          <w:color w:val="auto"/>
        </w:rPr>
        <w:t>https://www.grupocredicorp.com/</w:t>
      </w:r>
      <w:r>
        <w:rPr>
          <w:rFonts w:ascii="Times New Roman" w:cs="Times New Roman" w:eastAsia="Times New Roman" w:hAnsi="Times New Roman"/>
          <w:sz w:val="16"/>
          <w:szCs w:val="16"/>
          <w:color w:val="auto"/>
        </w:rPr>
        <w:t xml:space="preserve">, its official social media channels, the SMV’s Securities Market Portal: </w:t>
      </w:r>
      <w:r>
        <w:rPr>
          <w:rFonts w:ascii="Times New Roman" w:cs="Times New Roman" w:eastAsia="Times New Roman" w:hAnsi="Times New Roman"/>
          <w:sz w:val="16"/>
          <w:szCs w:val="16"/>
          <w:u w:val="single" w:color="auto"/>
          <w:color w:val="auto"/>
        </w:rPr>
        <w:t>www.smv.gob.pe</w:t>
      </w:r>
      <w:r>
        <w:rPr>
          <w:rFonts w:ascii="Times New Roman" w:cs="Times New Roman" w:eastAsia="Times New Roman" w:hAnsi="Times New Roman"/>
          <w:sz w:val="16"/>
          <w:szCs w:val="16"/>
          <w:color w:val="auto"/>
        </w:rPr>
        <w:t xml:space="preserve">, the Lima Stock Exchange (BVL): </w:t>
      </w:r>
      <w:r>
        <w:rPr>
          <w:rFonts w:ascii="Times New Roman" w:cs="Times New Roman" w:eastAsia="Times New Roman" w:hAnsi="Times New Roman"/>
          <w:sz w:val="16"/>
          <w:szCs w:val="16"/>
          <w:u w:val="single" w:color="auto"/>
          <w:color w:val="auto"/>
        </w:rPr>
        <w:t>www.bvl.com.pe</w:t>
      </w:r>
      <w:r>
        <w:rPr>
          <w:rFonts w:ascii="Times New Roman" w:cs="Times New Roman" w:eastAsia="Times New Roman" w:hAnsi="Times New Roman"/>
          <w:sz w:val="16"/>
          <w:szCs w:val="16"/>
          <w:color w:val="auto"/>
        </w:rPr>
        <w:t>, among others;</w:t>
      </w:r>
    </w:p>
    <w:p>
      <w:pPr>
        <w:spacing w:after="0" w:line="155" w:lineRule="exact"/>
        <w:rPr>
          <w:rFonts w:ascii="Times New Roman" w:cs="Times New Roman" w:eastAsia="Times New Roman" w:hAnsi="Times New Roman"/>
          <w:sz w:val="16"/>
          <w:szCs w:val="16"/>
          <w:color w:val="auto"/>
        </w:rPr>
      </w:pPr>
    </w:p>
    <w:p>
      <w:pPr>
        <w:ind w:left="583" w:hanging="292"/>
        <w:spacing w:after="0"/>
        <w:tabs>
          <w:tab w:leader="none" w:pos="583"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evaluation of the defenses and arguments submitted by the Issuer is presented below:</w:t>
      </w:r>
    </w:p>
    <w:p>
      <w:pPr>
        <w:spacing w:after="0" w:line="202" w:lineRule="exact"/>
        <w:rPr>
          <w:rFonts w:ascii="Times New Roman" w:cs="Times New Roman" w:eastAsia="Times New Roman" w:hAnsi="Times New Roman"/>
          <w:sz w:val="16"/>
          <w:szCs w:val="16"/>
          <w:color w:val="auto"/>
        </w:rPr>
      </w:pPr>
    </w:p>
    <w:p>
      <w:pPr>
        <w:ind w:left="163" w:hanging="163"/>
        <w:spacing w:after="0"/>
        <w:tabs>
          <w:tab w:leader="none" w:pos="163"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REGARDING THE ALLEGED IMPROPER CLASSIFICATION</w:t>
      </w:r>
    </w:p>
    <w:p>
      <w:pPr>
        <w:spacing w:after="0" w:line="206" w:lineRule="exact"/>
        <w:rPr>
          <w:sz w:val="20"/>
          <w:szCs w:val="20"/>
          <w:color w:val="auto"/>
        </w:rPr>
      </w:pPr>
    </w:p>
    <w:p>
      <w:pPr>
        <w:jc w:val="both"/>
        <w:ind w:left="3"/>
        <w:spacing w:after="0" w:line="208" w:lineRule="exact"/>
        <w:rPr>
          <w:sz w:val="20"/>
          <w:szCs w:val="20"/>
          <w:color w:val="auto"/>
        </w:rPr>
      </w:pPr>
      <w:r>
        <w:rPr>
          <w:rFonts w:ascii="Times New Roman" w:cs="Times New Roman" w:eastAsia="Times New Roman" w:hAnsi="Times New Roman"/>
          <w:sz w:val="16"/>
          <w:szCs w:val="16"/>
          <w:color w:val="auto"/>
        </w:rPr>
        <w:t>The Issuer argues that in formulating the two (02) charges, a generic infraction type was used, namely subsection 1.6, numeral 1 of Annex I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subsection 1.5, numeral 1 of Annex I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w:t>
      </w:r>
    </w:p>
    <w:p>
      <w:pPr>
        <w:spacing w:after="0" w:line="154"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According to the Issuer, the IGCC should have used the specific infraction type described in subsection 2.14, numeral 2 of Annex I of the Sanctions Regulation, which classifies as a serious infraction: “</w:t>
      </w:r>
      <w:r>
        <w:rPr>
          <w:rFonts w:ascii="Times New Roman" w:cs="Times New Roman" w:eastAsia="Times New Roman" w:hAnsi="Times New Roman"/>
          <w:sz w:val="16"/>
          <w:szCs w:val="16"/>
          <w:i w:val="1"/>
          <w:iCs w:val="1"/>
          <w:color w:val="auto"/>
        </w:rPr>
        <w:t>Failure to disclose material events that have significant impact on the market.</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Based on the foregoing, the Issuer considers that the Principles of Legality, Specificity, and Due Procedure have been violated.</w:t>
      </w:r>
    </w:p>
    <w:p>
      <w:pPr>
        <w:spacing w:after="0" w:line="204" w:lineRule="exact"/>
        <w:rPr>
          <w:sz w:val="20"/>
          <w:szCs w:val="20"/>
          <w:color w:val="auto"/>
        </w:rPr>
      </w:pPr>
    </w:p>
    <w:p>
      <w:pPr>
        <w:jc w:val="both"/>
        <w:ind w:left="3" w:right="20"/>
        <w:spacing w:after="0" w:line="264" w:lineRule="auto"/>
        <w:rPr>
          <w:sz w:val="20"/>
          <w:szCs w:val="20"/>
          <w:color w:val="auto"/>
        </w:rPr>
      </w:pPr>
      <w:r>
        <w:rPr>
          <w:rFonts w:ascii="Times New Roman" w:cs="Times New Roman" w:eastAsia="Times New Roman" w:hAnsi="Times New Roman"/>
          <w:sz w:val="16"/>
          <w:szCs w:val="16"/>
          <w:color w:val="auto"/>
        </w:rPr>
        <w:t xml:space="preserve">Before addressing this argument, it is necessary to note — as concluded later in this Resolution — that there has been no improper classification, contrary to what the Issuer claims, because its conduct of nondisclosure and concealment of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cash contributions to the political party FUERZA 2011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AGREEMENT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agreement on contributions to the political party PERUANOS POR EL KAMBIO</w:t>
      </w:r>
      <w:r>
        <w:rPr>
          <w:rFonts w:ascii="Times New Roman" w:cs="Times New Roman" w:eastAsia="Times New Roman" w:hAnsi="Times New Roman"/>
          <w:sz w:val="16"/>
          <w:szCs w:val="16"/>
          <w:color w:val="auto"/>
        </w:rPr>
        <w:t>) does not meet the objective elements of the infraction type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Failure to disclose material events that have significant impact on the market</w:t>
      </w:r>
      <w:r>
        <w:rPr>
          <w:rFonts w:ascii="Times New Roman" w:cs="Times New Roman" w:eastAsia="Times New Roman" w:hAnsi="Times New Roman"/>
          <w:sz w:val="16"/>
          <w:szCs w:val="16"/>
          <w:color w:val="auto"/>
        </w:rPr>
        <w:t>,”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213360</wp:posOffset>
            </wp:positionV>
            <wp:extent cx="714629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88" w:right="319" w:bottom="1440" w:gutter="0" w:footer="0" w:header="0"/>
        </w:sectPr>
      </w:pPr>
    </w:p>
    <w:bookmarkStart w:id="55" w:name="page56"/>
    <w:bookmarkEnd w:id="55"/>
    <w:p>
      <w:pPr>
        <w:jc w:val="both"/>
        <w:ind w:left="583" w:right="20" w:hanging="292"/>
        <w:spacing w:after="0" w:line="260" w:lineRule="auto"/>
        <w:tabs>
          <w:tab w:leader="none" w:pos="58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November 21, 2019, the following were disclosed as material events: (i) the letter from Mr. Romero disseminated via Twitter on November 18, 2019, (ii) the Press Release published on November 18, 2019 on the Issuer’s website, and (iii) the interview published in the November 19, 2019 edition of </w:t>
      </w:r>
      <w:r>
        <w:rPr>
          <w:rFonts w:ascii="Times New Roman" w:cs="Times New Roman" w:eastAsia="Times New Roman" w:hAnsi="Times New Roman"/>
          <w:sz w:val="16"/>
          <w:szCs w:val="16"/>
          <w:i w:val="1"/>
          <w:iCs w:val="1"/>
          <w:color w:val="auto"/>
        </w:rPr>
        <w:t>El Comercio</w:t>
      </w:r>
      <w:r>
        <w:rPr>
          <w:rFonts w:ascii="Times New Roman" w:cs="Times New Roman" w:eastAsia="Times New Roman" w:hAnsi="Times New Roman"/>
          <w:sz w:val="16"/>
          <w:szCs w:val="16"/>
          <w:color w:val="auto"/>
        </w:rPr>
        <w:t>. Only then did the market become aware of relevant events executed by the Issuer that had been deliberately concealed for several years — events unknown to the securities market until then, and which should have been disclosed as material events in accordance with the applicable regulations due to their significance and market impact. Thus, the existence of a deliberate concealment of relevant information, or nondisclosure by the Issuer, is duly evidenced and documented — conduct attributable to the Issuer and, by extension, to its Chairman of the Board, Mr. Romero.</w:t>
      </w:r>
    </w:p>
    <w:p>
      <w:pPr>
        <w:spacing w:after="0" w:line="163" w:lineRule="exact"/>
        <w:rPr>
          <w:rFonts w:ascii="Times New Roman" w:cs="Times New Roman" w:eastAsia="Times New Roman" w:hAnsi="Times New Roman"/>
          <w:sz w:val="16"/>
          <w:szCs w:val="16"/>
          <w:color w:val="auto"/>
        </w:rPr>
      </w:pPr>
    </w:p>
    <w:p>
      <w:pPr>
        <w:ind w:left="583"/>
        <w:spacing w:after="0" w:line="28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important to recognize that although the information was disclosed years later, it has generated significant effects and impacts. Accordingly, it is reasonable to conclude that, had the information been disclosed at the appropriate time, it likely would have had comparable impacts.</w:t>
      </w:r>
    </w:p>
    <w:p>
      <w:pPr>
        <w:spacing w:after="0" w:line="142" w:lineRule="exact"/>
        <w:rPr>
          <w:rFonts w:ascii="Times New Roman" w:cs="Times New Roman" w:eastAsia="Times New Roman" w:hAnsi="Times New Roman"/>
          <w:sz w:val="16"/>
          <w:szCs w:val="16"/>
          <w:color w:val="auto"/>
        </w:rPr>
      </w:pPr>
    </w:p>
    <w:p>
      <w:pPr>
        <w:jc w:val="both"/>
        <w:ind w:left="583"/>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example, it is reasonable to conclude that the fact that one of the largest financial conglomerates operating in Peru, by decision of its Chairman, Mr. Romero, made cash contributions of several million soles to the 2011 presidential and congressional campaign is information that would not have gone unnoticed—had it been known at the appropriate time. Since the Issuer decided to conceal or not disclose it, it is now impossible to reliably measure the potential impact the information would have had when the contributions were made.</w:t>
      </w:r>
      <w:r>
        <w:rPr>
          <w:rFonts w:ascii="Times New Roman" w:cs="Times New Roman" w:eastAsia="Times New Roman" w:hAnsi="Times New Roman"/>
          <w:sz w:val="26"/>
          <w:szCs w:val="26"/>
          <w:color w:val="auto"/>
          <w:vertAlign w:val="superscript"/>
        </w:rPr>
        <w:t>39</w:t>
      </w:r>
    </w:p>
    <w:p>
      <w:pPr>
        <w:spacing w:after="0" w:line="20" w:lineRule="exact"/>
        <w:rPr>
          <w:rFonts w:ascii="Times New Roman" w:cs="Times New Roman" w:eastAsia="Times New Roman" w:hAnsi="Times New Roman"/>
          <w:sz w:val="16"/>
          <w:szCs w:val="16"/>
          <w:color w:val="auto"/>
        </w:rPr>
      </w:pPr>
    </w:p>
    <w:p>
      <w:pPr>
        <w:jc w:val="both"/>
        <w:ind w:left="583" w:right="20" w:hanging="292"/>
        <w:spacing w:after="0" w:line="261" w:lineRule="auto"/>
        <w:tabs>
          <w:tab w:leader="none" w:pos="58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evident that the Issuer’s argument that it should have been charged with the serious infraction of failure to disclose material events represents not only an exercise of its legitimate right to defense but also an attempt to create confusion and redirect this administrative proceeding toward a less serious infraction type. It must be noted that the infraction type “failure to disclose material events” is intended to apply to serious infractions involving omissions in presenting information that should have been disclosed and where nondisclosure is detectable by the supervisor, or where there are insufficient elements to demonstrate concealment. The latter is explained in further detail along this Resolution.</w:t>
      </w:r>
    </w:p>
    <w:p>
      <w:pPr>
        <w:spacing w:after="0" w:line="163" w:lineRule="exact"/>
        <w:rPr>
          <w:rFonts w:ascii="Times New Roman" w:cs="Times New Roman" w:eastAsia="Times New Roman" w:hAnsi="Times New Roman"/>
          <w:sz w:val="16"/>
          <w:szCs w:val="16"/>
          <w:color w:val="auto"/>
        </w:rPr>
      </w:pPr>
    </w:p>
    <w:p>
      <w:pPr>
        <w:jc w:val="both"/>
        <w:ind w:left="583" w:right="2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charges relate to conduct in which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cash contributions to the political party FUERZA 2011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 on contributions to the political party PERUANOS POR EL KAMBIO</w:t>
      </w:r>
      <w:r>
        <w:rPr>
          <w:rFonts w:ascii="Times New Roman" w:cs="Times New Roman" w:eastAsia="Times New Roman" w:hAnsi="Times New Roman"/>
          <w:sz w:val="16"/>
          <w:szCs w:val="16"/>
          <w:color w:val="auto"/>
        </w:rPr>
        <w:t>) were intentionally concealed by the Issuer for several years, despite being clearly relevant information for the market that qualifies as material events.</w:t>
      </w:r>
    </w:p>
    <w:p>
      <w:pPr>
        <w:spacing w:after="0" w:line="153" w:lineRule="exact"/>
        <w:rPr>
          <w:rFonts w:ascii="Times New Roman" w:cs="Times New Roman" w:eastAsia="Times New Roman" w:hAnsi="Times New Roman"/>
          <w:sz w:val="16"/>
          <w:szCs w:val="16"/>
          <w:color w:val="auto"/>
        </w:rPr>
      </w:pPr>
    </w:p>
    <w:p>
      <w:pPr>
        <w:jc w:val="both"/>
        <w:ind w:left="583"/>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this sense, the Issuer’s argument is incoherent because, on one hand, it claims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are not material events, yet on the other hand, asserts that the applicable infraction should have been “failure to disclose material events,” as per subsection 2.14, numeral 2 of Annex I of the Sanctions Regulation, which classify as a serious infraction the “</w:t>
      </w:r>
      <w:r>
        <w:rPr>
          <w:rFonts w:ascii="Times New Roman" w:cs="Times New Roman" w:eastAsia="Times New Roman" w:hAnsi="Times New Roman"/>
          <w:sz w:val="16"/>
          <w:szCs w:val="16"/>
          <w:i w:val="1"/>
          <w:iCs w:val="1"/>
          <w:color w:val="auto"/>
        </w:rPr>
        <w:t>Failure to disclose material events that have significant impact on the market.”</w:t>
      </w:r>
      <w:r>
        <w:rPr>
          <w:rFonts w:ascii="Times New Roman" w:cs="Times New Roman" w:eastAsia="Times New Roman" w:hAnsi="Times New Roman"/>
          <w:sz w:val="16"/>
          <w:szCs w:val="16"/>
          <w:color w:val="auto"/>
        </w:rPr>
        <w:t xml:space="preserve"> This infraction is currently established in subsection 2.10, numeral 2 of Annex I of the Sanctions Regulation currently in force, which was approved by SMV Resolution No. 035-2018-SMV/01 (hereinafter, New Sanctions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178816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325" w:lineRule="exact"/>
        <w:rPr>
          <w:sz w:val="20"/>
          <w:szCs w:val="20"/>
          <w:color w:val="auto"/>
        </w:rPr>
      </w:pPr>
    </w:p>
    <w:p>
      <w:pPr>
        <w:ind w:left="3" w:right="20" w:hanging="3"/>
        <w:spacing w:after="0" w:line="196" w:lineRule="auto"/>
        <w:tabs>
          <w:tab w:leader="none" w:pos="209" w:val="left"/>
        </w:tabs>
        <w:numPr>
          <w:ilvl w:val="0"/>
          <w:numId w:val="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 accordance with the regulations issued by the Superintendency of Banking, Insurance and AFPs (SBS), the Credicorp economic group qualifies as a financial conglomerate.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color w:val="auto"/>
        </w:rPr>
        <w:t>Additionally, there is no improper classification, as the Issuer claims, for the following reasons:</w:t>
      </w:r>
    </w:p>
    <w:p>
      <w:pPr>
        <w:spacing w:after="0" w:line="204" w:lineRule="exact"/>
        <w:rPr>
          <w:sz w:val="20"/>
          <w:szCs w:val="20"/>
          <w:color w:val="auto"/>
        </w:rPr>
      </w:pPr>
    </w:p>
    <w:p>
      <w:pPr>
        <w:jc w:val="both"/>
        <w:ind w:left="580" w:hanging="292"/>
        <w:spacing w:after="0" w:line="261" w:lineRule="auto"/>
        <w:tabs>
          <w:tab w:leader="none" w:pos="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Subsections 1.6 and 1.5 of numeral 1 of Annex I of the Sanctions Regulation, in force at the time the infractions occurred, classify as a very serious infraction: “</w:t>
      </w:r>
      <w:r>
        <w:rPr>
          <w:rFonts w:ascii="Times New Roman" w:cs="Times New Roman" w:eastAsia="Times New Roman" w:hAnsi="Times New Roman"/>
          <w:sz w:val="16"/>
          <w:szCs w:val="16"/>
          <w:i w:val="1"/>
          <w:iCs w:val="1"/>
          <w:color w:val="auto"/>
        </w:rPr>
        <w:t>Carrying out any act, omission, practice or conduct that undermines the integrity or transparency of the market</w:t>
      </w:r>
      <w:r>
        <w:rPr>
          <w:rFonts w:ascii="Times New Roman" w:cs="Times New Roman" w:eastAsia="Times New Roman" w:hAnsi="Times New Roman"/>
          <w:sz w:val="16"/>
          <w:szCs w:val="16"/>
          <w:color w:val="auto"/>
        </w:rPr>
        <w:t>.” This infraction type is appropriate to the charges, because by failing to disclose relevant information regarding the Issuer’s cash contributions to the aforementioned political parties during the 2011 and 2016 campaigns, the Issuer repeatedly demonstrated a pattern of concealment, thereby affecting market transparency. Moreover, this conduct has also harmed the confidence and integrity of the securities market, investor protection, regulatory compliance, and the supervisory role of the SMV.</w:t>
      </w:r>
    </w:p>
    <w:p>
      <w:pPr>
        <w:spacing w:after="0" w:line="165" w:lineRule="exact"/>
        <w:rPr>
          <w:rFonts w:ascii="Times New Roman" w:cs="Times New Roman" w:eastAsia="Times New Roman" w:hAnsi="Times New Roman"/>
          <w:sz w:val="16"/>
          <w:szCs w:val="16"/>
          <w:color w:val="auto"/>
        </w:rPr>
      </w:pPr>
    </w:p>
    <w:p>
      <w:pPr>
        <w:jc w:val="both"/>
        <w:ind w:left="580" w:right="20" w:hanging="292"/>
        <w:spacing w:after="0" w:line="270" w:lineRule="auto"/>
        <w:tabs>
          <w:tab w:leader="none" w:pos="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From the perspective of typification, these infractions have a close relationship with the conduct carried out by the Issuer in intentionally or deliberately concealing information—information that, as noted, is significant and that, despite the passage of several years, results in a set of circumstances and impacts on the Issuer. Illustratively, this is reflected in what Mr. Romero himself acknowledges in the Issuer’s 2019 Annual Report (See </w:t>
      </w:r>
      <w:r>
        <w:rPr>
          <w:rFonts w:ascii="Times New Roman" w:cs="Times New Roman" w:eastAsia="Times New Roman" w:hAnsi="Times New Roman"/>
          <w:sz w:val="16"/>
          <w:szCs w:val="16"/>
          <w:b w:val="1"/>
          <w:bCs w:val="1"/>
          <w:color w:val="auto"/>
        </w:rPr>
        <w:t>ANNEX 1</w:t>
      </w:r>
      <w:r>
        <w:rPr>
          <w:rFonts w:ascii="Times New Roman" w:cs="Times New Roman" w:eastAsia="Times New Roman" w:hAnsi="Times New Roman"/>
          <w:sz w:val="16"/>
          <w:szCs w:val="16"/>
          <w:color w:val="auto"/>
        </w:rPr>
        <w:t>):</w:t>
      </w:r>
    </w:p>
    <w:p>
      <w:pPr>
        <w:spacing w:after="0" w:line="154" w:lineRule="exact"/>
        <w:rPr>
          <w:rFonts w:ascii="Times New Roman" w:cs="Times New Roman" w:eastAsia="Times New Roman" w:hAnsi="Times New Roman"/>
          <w:sz w:val="16"/>
          <w:szCs w:val="16"/>
          <w:color w:val="auto"/>
        </w:rPr>
      </w:pPr>
    </w:p>
    <w:p>
      <w:pPr>
        <w:ind w:left="580" w:right="8940"/>
        <w:spacing w:after="0" w:line="54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b w:val="1"/>
          <w:bCs w:val="1"/>
          <w:color w:val="auto"/>
        </w:rPr>
        <w:t xml:space="preserve">Letter from the President </w:t>
      </w:r>
      <w:r>
        <w:rPr>
          <w:rFonts w:ascii="Times New Roman" w:cs="Times New Roman" w:eastAsia="Times New Roman" w:hAnsi="Times New Roman"/>
          <w:sz w:val="15"/>
          <w:szCs w:val="15"/>
          <w:b w:val="1"/>
          <w:bCs w:val="1"/>
          <w:i w:val="1"/>
          <w:iCs w:val="1"/>
          <w:color w:val="auto"/>
        </w:rPr>
        <w:t>Dear Shareholders,</w:t>
      </w:r>
    </w:p>
    <w:p>
      <w:pPr>
        <w:ind w:left="58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Each year I write this letter to share with you the results of our business and our outlook for the future. On this occasion, I would like to begin by commenting on the impact of events that occurred nine years ago and the measures we have been taking as part of a continuous improvement process in our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99695</wp:posOffset>
            </wp:positionV>
            <wp:extent cx="6868795" cy="8940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68795" cy="894080"/>
                    </a:xfrm>
                    <a:prstGeom prst="rect">
                      <a:avLst/>
                    </a:prstGeom>
                    <a:noFill/>
                  </pic:spPr>
                </pic:pic>
              </a:graphicData>
            </a:graphic>
          </wp:anchor>
        </w:drawing>
      </w:r>
    </w:p>
    <w:p>
      <w:pPr>
        <w:spacing w:after="0" w:line="142" w:lineRule="exact"/>
        <w:rPr>
          <w:sz w:val="20"/>
          <w:szCs w:val="20"/>
          <w:color w:val="auto"/>
        </w:rPr>
      </w:pPr>
    </w:p>
    <w:p>
      <w:pPr>
        <w:jc w:val="both"/>
        <w:ind w:left="540" w:right="100"/>
        <w:spacing w:after="0" w:line="260" w:lineRule="auto"/>
        <w:rPr>
          <w:sz w:val="20"/>
          <w:szCs w:val="20"/>
          <w:color w:val="auto"/>
        </w:rPr>
      </w:pPr>
      <w:r>
        <w:rPr>
          <w:rFonts w:ascii="Times New Roman" w:cs="Times New Roman" w:eastAsia="Times New Roman" w:hAnsi="Times New Roman"/>
          <w:sz w:val="16"/>
          <w:szCs w:val="16"/>
          <w:i w:val="1"/>
          <w:iCs w:val="1"/>
          <w:color w:val="auto"/>
        </w:rPr>
        <w:t>I have recently made public the reasons why I decided, in the years 2010–2011, within a politically risky context for the future of Peru, that Credicorp should contribute funds to the 2011 presidential campaign. I greatly regret the impact these actions have had on our organization and on the perception of our stakeholders. Since late 2011, together with Management and the Board of Directors, we have worked to continuously strengthen and reinforce our corporate governance policies. For example, the political contributions made during the 2016 presidential campaign by three of our subsidiaries (Banco de Crédito del Perú, Mibanco, and Pacífico) were carried out under clear procedures and in strict compliance with transparency and reporting requirements. Furthermore, I want to underline that Credicorp currently has a corporate policy prohibiting political contributions to any political party, regardless of the jurisdiction in which we operate.</w:t>
      </w:r>
    </w:p>
    <w:p>
      <w:pPr>
        <w:spacing w:after="0" w:line="384" w:lineRule="exact"/>
        <w:rPr>
          <w:sz w:val="20"/>
          <w:szCs w:val="20"/>
          <w:color w:val="auto"/>
        </w:rPr>
      </w:pPr>
    </w:p>
    <w:p>
      <w:pPr>
        <w:ind w:left="580" w:right="20"/>
        <w:spacing w:after="0" w:line="287" w:lineRule="auto"/>
        <w:rPr>
          <w:sz w:val="20"/>
          <w:szCs w:val="20"/>
          <w:color w:val="auto"/>
        </w:rPr>
      </w:pPr>
      <w:r>
        <w:rPr>
          <w:rFonts w:ascii="Times New Roman" w:cs="Times New Roman" w:eastAsia="Times New Roman" w:hAnsi="Times New Roman"/>
          <w:sz w:val="16"/>
          <w:szCs w:val="16"/>
          <w:color w:val="auto"/>
        </w:rPr>
        <w:t xml:space="preserve">As shown, Mr. Romero, Chairman of the Issuer’s Board of Directors—who, as stated, is attributed to the Issuer for the purposes of this administrative proceeding— recognizes that the events referred to as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have generated </w:t>
      </w:r>
      <w:r>
        <w:rPr>
          <w:rFonts w:ascii="Times New Roman" w:cs="Times New Roman" w:eastAsia="Times New Roman" w:hAnsi="Times New Roman"/>
          <w:sz w:val="16"/>
          <w:szCs w:val="16"/>
          <w:b w:val="1"/>
          <w:bCs w:val="1"/>
          <w:color w:val="auto"/>
        </w:rPr>
        <w:t>an impact</w:t>
      </w:r>
      <w:r>
        <w:rPr>
          <w:rFonts w:ascii="Times New Roman" w:cs="Times New Roman" w:eastAsia="Times New Roman" w:hAnsi="Times New Roman"/>
          <w:sz w:val="16"/>
          <w:szCs w:val="16"/>
          <w:color w:val="auto"/>
        </w:rPr>
        <w:t xml:space="preserve"> on the organization and on the perception of its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201295</wp:posOffset>
            </wp:positionV>
            <wp:extent cx="714629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7" w:name="page58"/>
    <w:bookmarkEnd w:id="57"/>
    <w:p>
      <w:pPr>
        <w:jc w:val="both"/>
        <w:ind w:left="580" w:hanging="292"/>
        <w:spacing w:after="0" w:line="211" w:lineRule="exact"/>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Likewise, this already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established conduct of concealment by the Issuer is closely connected to the legally protected interest that the general rule seeks to safeguard (Article 10 of the LMV), the punishability of which is reflected in subsections 1.6 and 1.5 of numeral 1 of Annex I of the Sanctions Regulation. In other words, there is a concrete act that falls squarely within this infraction type, whose purpose is to safeguard the transparency of the securities market and investor protection.</w:t>
      </w:r>
    </w:p>
    <w:p>
      <w:pPr>
        <w:spacing w:after="0" w:line="179" w:lineRule="exact"/>
        <w:rPr>
          <w:rFonts w:ascii="Times New Roman" w:cs="Times New Roman" w:eastAsia="Times New Roman" w:hAnsi="Times New Roman"/>
          <w:sz w:val="16"/>
          <w:szCs w:val="16"/>
          <w:color w:val="auto"/>
        </w:rPr>
      </w:pPr>
    </w:p>
    <w:p>
      <w:pPr>
        <w:jc w:val="both"/>
        <w:ind w:left="580" w:hanging="292"/>
        <w:spacing w:after="0" w:line="270" w:lineRule="auto"/>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this regard, there is an accumulation and definition of the core elements of the type, which cannot be understood otherwise: i.e., the performance of conduct whose outcome is the impairment of market transparency and the undermining of investor protection. In summary, the infraction types applicable to the Issuer contain the legal certainty requirements that can reasonably be inferred when, as in this case, there is a voluntary act of information concealment.</w:t>
      </w:r>
    </w:p>
    <w:p>
      <w:pPr>
        <w:spacing w:after="0" w:line="154" w:lineRule="exact"/>
        <w:rPr>
          <w:rFonts w:ascii="Times New Roman" w:cs="Times New Roman" w:eastAsia="Times New Roman" w:hAnsi="Times New Roman"/>
          <w:sz w:val="16"/>
          <w:szCs w:val="16"/>
          <w:color w:val="auto"/>
        </w:rPr>
      </w:pPr>
    </w:p>
    <w:p>
      <w:pPr>
        <w:jc w:val="both"/>
        <w:ind w:left="580" w:hanging="292"/>
        <w:spacing w:after="0" w:line="265" w:lineRule="auto"/>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Issuer voluntarily concealed information regarding </w:t>
      </w:r>
      <w:r>
        <w:rPr>
          <w:rFonts w:ascii="Times New Roman" w:cs="Times New Roman" w:eastAsia="Times New Roman" w:hAnsi="Times New Roman"/>
          <w:sz w:val="16"/>
          <w:szCs w:val="16"/>
          <w:b w:val="1"/>
          <w:bCs w:val="1"/>
          <w:color w:val="auto"/>
        </w:rPr>
        <w:t>THE 2011 CONTRIBUTIONS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and these facts were only revealed due to the intervention of the Public Prosecutor’s Office in November 2019. Therefore, this conduct of information concealment is duly proven and clearly falls within the objective elements of this infraction type. In this sense, it is not admissible that such conduct be classified under a different infraction type from the one already attributed.</w:t>
      </w:r>
    </w:p>
    <w:p>
      <w:pPr>
        <w:spacing w:after="0" w:line="160" w:lineRule="exact"/>
        <w:rPr>
          <w:rFonts w:ascii="Times New Roman" w:cs="Times New Roman" w:eastAsia="Times New Roman" w:hAnsi="Times New Roman"/>
          <w:sz w:val="16"/>
          <w:szCs w:val="16"/>
          <w:color w:val="auto"/>
        </w:rPr>
      </w:pPr>
    </w:p>
    <w:p>
      <w:pPr>
        <w:jc w:val="both"/>
        <w:ind w:left="580"/>
        <w:spacing w:after="0" w:line="197"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Indeed, both charges involve conduct consisting of concealing relevant market information regarding the Issuer’s cash contributions totaling US$ 3.65 million to the political party FUERZA 2011 during the 2011 presidential campaign, and the Issuer’s Executive Committee agreement to make contributions equivalent to one hundred eighty (180) UIT, through its subsidiaries BCP, MIBANCO and PACÍFICO, to the political party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xml:space="preserve"> during the 2016 presidential campaign. These do not constitute a simple omission in disclosing material events under subsection 2.14, numeral 2 of Annex I of the Sanctions Regulation, as the Issuer argues, but rather a conduct of concealment or cover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up, given the details of the facts that became known only after November 2019 and which, by their nature, seriously harmed the transparency of the securities market.</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Therefore, the elements of the infraction type (act, omission, practice or conduct affecting the transparency of the securities market) in this case contain as substantive components a deliberate or intentional concealment of information by the Issuer over time—information that, as noted, was disclosed solely as a result of investigative actions carried out by the Public Prosecutor’s Office, which summoned Mr. Romero to testify regarding contributions to the aforementioned presidential and congressional campaigns. It was during this testimony that the information regarding </w:t>
      </w:r>
      <w:r>
        <w:rPr>
          <w:rFonts w:ascii="Times New Roman" w:cs="Times New Roman" w:eastAsia="Times New Roman" w:hAnsi="Times New Roman"/>
          <w:sz w:val="16"/>
          <w:szCs w:val="16"/>
          <w:b w:val="1"/>
          <w:bCs w:val="1"/>
          <w:color w:val="auto"/>
        </w:rPr>
        <w:t>THE 2011 CONTRIBUTIONS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was revealed. Moreover, it must be noted that it was following this testimony that Mr. Romero publicly disclosed the information via Twitter and the newspaper </w:t>
      </w:r>
      <w:r>
        <w:rPr>
          <w:rFonts w:ascii="Times New Roman" w:cs="Times New Roman" w:eastAsia="Times New Roman" w:hAnsi="Times New Roman"/>
          <w:sz w:val="16"/>
          <w:szCs w:val="16"/>
          <w:i w:val="1"/>
          <w:iCs w:val="1"/>
          <w:color w:val="auto"/>
        </w:rPr>
        <w:t>El Comercio</w:t>
      </w:r>
      <w:r>
        <w:rPr>
          <w:rFonts w:ascii="Times New Roman" w:cs="Times New Roman" w:eastAsia="Times New Roman" w:hAnsi="Times New Roman"/>
          <w:sz w:val="16"/>
          <w:szCs w:val="16"/>
          <w:color w:val="auto"/>
        </w:rPr>
        <w:t>, among others, as stated in the charges and in this Resolution.</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 xml:space="preserve">Thus, the existence of a volitional element in the Issuer’s conduct of concealing relevant market information is evident—that is, the Issuer intentionally carried out the acts or circumstances described in the infraction type by failing to disclose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This is without regard to whether electoral regulations were complied with, which is outside the scope of this administrative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4629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88" w:right="339" w:bottom="1440" w:gutter="0" w:footer="0" w:header="0"/>
        </w:sectPr>
      </w:pPr>
    </w:p>
    <w:bookmarkStart w:id="58" w:name="page59"/>
    <w:bookmarkEnd w:id="58"/>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In sum, the typification of the infractions underlying the two (02) charges contains as objective elements of the type: the conduct of concealment, the intent to conceal the information, and the impairment of securities market transparency. Accordingly, it is further determined that this infraction has the nature of a permanent infraction, insofar as the concealment persisted for approximately more than eight (08) years and more than three (03) years,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following table, the typification of the infractions committed by the Issuer and the objective elements that define the corresponding classification are presented:</w:t>
      </w:r>
    </w:p>
    <w:p>
      <w:pPr>
        <w:sectPr>
          <w:pgSz w:w="11900" w:h="16838" w:orient="portrait"/>
          <w:cols w:equalWidth="0" w:num="1">
            <w:col w:w="11260"/>
          </w:cols>
          <w:pgMar w:left="320" w:top="123" w:right="31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CHARGE</w:t>
      </w:r>
    </w:p>
    <w:p>
      <w:pPr>
        <w:spacing w:after="0" w:line="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The Issuer engaged in conduct that would have affected the transparency of the securities market by failing to disclose relevant information to the market regarding the Issuer’s cash contributions to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during the 2011 presidential campaign.</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The Issuer engaged in conduct that would have affected the transparency of the securities market by failing to disclose relevant information to the market regarding the Issuer’s agreement to make, through its subsidiaries, contributions to the political party </w:t>
      </w:r>
      <w:r>
        <w:rPr>
          <w:rFonts w:ascii="Times New Roman" w:cs="Times New Roman" w:eastAsia="Times New Roman" w:hAnsi="Times New Roman"/>
          <w:sz w:val="16"/>
          <w:szCs w:val="16"/>
          <w:b w:val="1"/>
          <w:bCs w:val="1"/>
          <w:color w:val="auto"/>
        </w:rPr>
        <w:t xml:space="preserve">PERUANOS POR EL KAMBIO </w:t>
      </w:r>
      <w:r>
        <w:rPr>
          <w:rFonts w:ascii="Times New Roman" w:cs="Times New Roman" w:eastAsia="Times New Roman" w:hAnsi="Times New Roman"/>
          <w:sz w:val="16"/>
          <w:szCs w:val="16"/>
          <w:color w:val="auto"/>
        </w:rPr>
        <w:t>during the 2016 presidential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campaign.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TYPE OF INFRACTION </w:t>
      </w:r>
      <w:r>
        <w:rPr>
          <w:rFonts w:ascii="Times New Roman" w:cs="Times New Roman" w:eastAsia="Times New Roman" w:hAnsi="Times New Roman"/>
          <w:sz w:val="16"/>
          <w:szCs w:val="16"/>
          <w:b w:val="1"/>
          <w:bCs w:val="1"/>
          <w:i w:val="1"/>
          <w:iCs w:val="1"/>
          <w:color w:val="auto"/>
        </w:rPr>
        <w:t>(in force at the date the events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-102870</wp:posOffset>
            </wp:positionV>
            <wp:extent cx="7146290" cy="16033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6290" cy="1603375"/>
                    </a:xfrm>
                    <a:prstGeom prst="rect">
                      <a:avLst/>
                    </a:prstGeom>
                    <a:noFill/>
                  </pic:spPr>
                </pic:pic>
              </a:graphicData>
            </a:graphic>
          </wp:anchor>
        </w:drawing>
      </w:r>
    </w:p>
    <w:p>
      <w:pPr>
        <w:spacing w:after="0" w:line="91"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Subsection 1.6, numeral 1 of Annex I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in force at the time the infraction was committed, which establishes as a very serious infraction: “</w:t>
      </w:r>
      <w:r>
        <w:rPr>
          <w:rFonts w:ascii="Times New Roman" w:cs="Times New Roman" w:eastAsia="Times New Roman" w:hAnsi="Times New Roman"/>
          <w:sz w:val="16"/>
          <w:szCs w:val="16"/>
          <w:i w:val="1"/>
          <w:iCs w:val="1"/>
          <w:color w:val="auto"/>
        </w:rPr>
        <w:t>Carrying out any act,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omission, practice or conduct that undermines the integrity or transparency of the market.</w:t>
      </w:r>
      <w:r>
        <w:rPr>
          <w:rFonts w:ascii="Times New Roman" w:cs="Times New Roman" w:eastAsia="Times New Roman" w:hAnsi="Times New Roman"/>
          <w:sz w:val="16"/>
          <w:szCs w:val="16"/>
          <w:color w:val="auto"/>
        </w:rPr>
        <w:t>”</w:t>
      </w:r>
    </w:p>
    <w:p>
      <w:pPr>
        <w:spacing w:after="0" w:line="359" w:lineRule="exact"/>
        <w:rPr>
          <w:sz w:val="20"/>
          <w:szCs w:val="20"/>
          <w:color w:val="auto"/>
        </w:rPr>
      </w:pPr>
    </w:p>
    <w:p>
      <w:pPr>
        <w:jc w:val="both"/>
        <w:ind w:right="20"/>
        <w:spacing w:after="0" w:line="198" w:lineRule="exact"/>
        <w:rPr>
          <w:sz w:val="20"/>
          <w:szCs w:val="20"/>
          <w:color w:val="auto"/>
        </w:rPr>
      </w:pPr>
      <w:r>
        <w:rPr>
          <w:rFonts w:ascii="Times New Roman" w:cs="Times New Roman" w:eastAsia="Times New Roman" w:hAnsi="Times New Roman"/>
          <w:sz w:val="16"/>
          <w:szCs w:val="16"/>
          <w:color w:val="auto"/>
        </w:rPr>
        <w:t>Subsection 1.5, numeral 1 of Annex I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in force at the time the infraction was committed, which establishes as a very serious infraction: “</w:t>
      </w:r>
      <w:r>
        <w:rPr>
          <w:rFonts w:ascii="Times New Roman" w:cs="Times New Roman" w:eastAsia="Times New Roman" w:hAnsi="Times New Roman"/>
          <w:sz w:val="16"/>
          <w:szCs w:val="16"/>
          <w:i w:val="1"/>
          <w:iCs w:val="1"/>
          <w:color w:val="auto"/>
        </w:rPr>
        <w:t>Carrying out any act, omission, practice or conduct that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undermines the integrity or transparency of the market</w:t>
      </w:r>
      <w:r>
        <w:rPr>
          <w:rFonts w:ascii="Times New Roman" w:cs="Times New Roman" w:eastAsia="Times New Roman" w:hAnsi="Times New Roman"/>
          <w:sz w:val="16"/>
          <w:szCs w:val="16"/>
          <w:color w:val="auto"/>
        </w:rPr>
        <w:t>.”</w:t>
      </w:r>
    </w:p>
    <w:p>
      <w:pPr>
        <w:spacing w:after="0" w:line="277" w:lineRule="exact"/>
        <w:rPr>
          <w:sz w:val="20"/>
          <w:szCs w:val="20"/>
          <w:color w:val="auto"/>
        </w:rPr>
      </w:pPr>
    </w:p>
    <w:p>
      <w:pPr>
        <w:sectPr>
          <w:pgSz w:w="11900" w:h="16838" w:orient="portrait"/>
          <w:cols w:equalWidth="0" w:num="3">
            <w:col w:w="240" w:space="440"/>
            <w:col w:w="4600" w:space="120"/>
            <w:col w:w="5860"/>
          </w:cols>
          <w:pgMar w:left="320" w:top="123" w:right="319" w:bottom="1440" w:gutter="0" w:footer="0" w:header="0"/>
          <w:type w:val="continuous"/>
        </w:sect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Without prejudice to what has been previously concluded, it should be noted that the aforementioned concealment of information is also evidenced in the Issuer’s own description in its written submission of December 13, 2019, addressed to the IGSC, when it presented the “</w:t>
      </w:r>
      <w:r>
        <w:rPr>
          <w:rFonts w:ascii="Times New Roman" w:cs="Times New Roman" w:eastAsia="Times New Roman" w:hAnsi="Times New Roman"/>
          <w:sz w:val="16"/>
          <w:szCs w:val="16"/>
          <w:b w:val="1"/>
          <w:bCs w:val="1"/>
          <w:color w:val="auto"/>
        </w:rPr>
        <w:t>Chronology of facts or acts related to the 2011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CONTRIBUTIONS</w:t>
      </w:r>
      <w:r>
        <w:rPr>
          <w:rFonts w:ascii="Times New Roman" w:cs="Times New Roman" w:eastAsia="Times New Roman" w:hAnsi="Times New Roman"/>
          <w:sz w:val="16"/>
          <w:szCs w:val="16"/>
          <w:color w:val="auto"/>
        </w:rPr>
        <w:t>.” In this regard, the following should be indicated:</w:t>
      </w:r>
    </w:p>
    <w:p>
      <w:pPr>
        <w:spacing w:after="0" w:line="156" w:lineRule="exact"/>
        <w:rPr>
          <w:sz w:val="20"/>
          <w:szCs w:val="20"/>
          <w:color w:val="auto"/>
        </w:rPr>
      </w:pPr>
    </w:p>
    <w:p>
      <w:pPr>
        <w:jc w:val="both"/>
        <w:ind w:left="580" w:hanging="292"/>
        <w:spacing w:after="0" w:line="261" w:lineRule="auto"/>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his statement before the Public Prosecutor’s Office, Mr. Romero declared that, in coordination with Mr. Walter Bayly Llona (Mr. Bayly), they decided to support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This, in Peru, was manifested through the ‘Great Transformation Project’ of candidate Ollanta Humala. Faced with this risk and an exceptional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situation of exceptional risk for the companies I lead and for our country’s economy—even for democracy—we decided at CREDICORP, as a leading Peruvian corporate group, to use the tools at our disposal to confront this threat under the prerogatives I have as Chairman of the Board and chief executive of CREDICORP; and in coordination with Manager WALTER BAYLY, we decided to support the Party which, according to the polls, could defeat the Party financed by Venezuela</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4629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59" w:name="page60"/>
    <w:bookmarkEnd w:id="59"/>
    <w:p>
      <w:pPr>
        <w:jc w:val="both"/>
        <w:ind w:left="583" w:right="20" w:hanging="292"/>
        <w:spacing w:after="0" w:line="264" w:lineRule="auto"/>
        <w:tabs>
          <w:tab w:leader="none" w:pos="58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above declaration, it is clear that the decision was allegedly made solely by two (02) individuals: Mr. Romero and Mr. Bayly. As seen from the review of the chronology submitted by the Issuer, this information was not shared with any person within the Issuer’s corporate governance structure and was only disclosed to senior executives of the Issuer on the occasion of Mr. Romero’s testimonial statement before the Public Prosecutor’s Office—and even then, only several years later, between 2018 and 2019.</w:t>
      </w:r>
    </w:p>
    <w:p>
      <w:pPr>
        <w:spacing w:after="0" w:line="161" w:lineRule="exact"/>
        <w:rPr>
          <w:rFonts w:ascii="Times New Roman" w:cs="Times New Roman" w:eastAsia="Times New Roman" w:hAnsi="Times New Roman"/>
          <w:sz w:val="16"/>
          <w:szCs w:val="16"/>
          <w:color w:val="auto"/>
        </w:rPr>
      </w:pPr>
    </w:p>
    <w:p>
      <w:pPr>
        <w:jc w:val="both"/>
        <w:ind w:left="583" w:hanging="292"/>
        <w:spacing w:after="0" w:line="273" w:lineRule="auto"/>
        <w:tabs>
          <w:tab w:leader="none" w:pos="58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this sense, according to the information submitted by the Issuer to the IGSC in the document “Chronology of facts or acts related to the 2011 CONTRIBUTIONS,” after the contributions to the 2011 presidential campaign were made, </w:t>
      </w:r>
      <w:r>
        <w:rPr>
          <w:rFonts w:ascii="Times New Roman" w:cs="Times New Roman" w:eastAsia="Times New Roman" w:hAnsi="Times New Roman"/>
          <w:sz w:val="16"/>
          <w:szCs w:val="16"/>
          <w:b w:val="1"/>
          <w:bCs w:val="1"/>
          <w:u w:val="single" w:color="auto"/>
          <w:color w:val="auto"/>
        </w:rPr>
        <w:t>it was only in November 2018</w:t>
      </w:r>
      <w:r>
        <w:rPr>
          <w:rFonts w:ascii="Times New Roman" w:cs="Times New Roman" w:eastAsia="Times New Roman" w:hAnsi="Times New Roman"/>
          <w:sz w:val="16"/>
          <w:szCs w:val="16"/>
          <w:color w:val="auto"/>
        </w:rPr>
        <w:t>—seven (07) years later—that these contributions were disclosed to the following individuals within the Issuer’s corporate structure:</w:t>
      </w:r>
      <w:r>
        <w:rPr>
          <w:rFonts w:ascii="Times New Roman" w:cs="Times New Roman" w:eastAsia="Times New Roman" w:hAnsi="Times New Roman"/>
          <w:sz w:val="26"/>
          <w:szCs w:val="26"/>
          <w:color w:val="auto"/>
          <w:vertAlign w:val="superscript"/>
        </w:rPr>
        <w:t>40</w:t>
      </w:r>
    </w:p>
    <w:p>
      <w:pPr>
        <w:spacing w:after="0" w:line="18" w:lineRule="exact"/>
        <w:rPr>
          <w:sz w:val="20"/>
          <w:szCs w:val="20"/>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Vice Chairman of the Board</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Three (03) additional Directors of the Issuer</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Deputy Chief Executive Officer</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Chief Risk Officer</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Head of Talent Management</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Head of Legal</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Chief Compliance and Ethics Officer</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Head of Corporate Affairs</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Relations Manager</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Chief Financial Officer</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of BCP</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BCP Wholesale Banking Senior Manager</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BCP Retail Banking Senior Manager</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BCP Transformation Senior Manager</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BCP Criminal Affairs Legal Manager</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BCP Corporate Security Manager</w:t>
      </w:r>
    </w:p>
    <w:p>
      <w:pPr>
        <w:spacing w:after="0" w:line="202" w:lineRule="exact"/>
        <w:rPr>
          <w:sz w:val="20"/>
          <w:szCs w:val="20"/>
          <w:color w:val="auto"/>
        </w:rPr>
      </w:pPr>
    </w:p>
    <w:p>
      <w:pPr>
        <w:ind w:left="583" w:right="20"/>
        <w:spacing w:after="0" w:line="290" w:lineRule="auto"/>
        <w:rPr>
          <w:sz w:val="20"/>
          <w:szCs w:val="20"/>
          <w:color w:val="auto"/>
        </w:rPr>
      </w:pPr>
      <w:r>
        <w:rPr>
          <w:rFonts w:ascii="Times New Roman" w:cs="Times New Roman" w:eastAsia="Times New Roman" w:hAnsi="Times New Roman"/>
          <w:sz w:val="16"/>
          <w:szCs w:val="16"/>
          <w:color w:val="auto"/>
        </w:rPr>
        <w:t xml:space="preserve">Subsequently, </w:t>
      </w:r>
      <w:r>
        <w:rPr>
          <w:rFonts w:ascii="Times New Roman" w:cs="Times New Roman" w:eastAsia="Times New Roman" w:hAnsi="Times New Roman"/>
          <w:sz w:val="16"/>
          <w:szCs w:val="16"/>
          <w:b w:val="1"/>
          <w:bCs w:val="1"/>
          <w:u w:val="single" w:color="auto"/>
          <w:color w:val="auto"/>
        </w:rPr>
        <w:t>after the rescheduling of Mr. Romero’s statement</w:t>
      </w:r>
      <w:r>
        <w:rPr>
          <w:rFonts w:ascii="Times New Roman" w:cs="Times New Roman" w:eastAsia="Times New Roman" w:hAnsi="Times New Roman"/>
          <w:sz w:val="16"/>
          <w:szCs w:val="16"/>
          <w:color w:val="auto"/>
        </w:rPr>
        <w:t>, information regarding the contributions was disclosed in November 2019, only a few days before the statement, to the following individuals:</w:t>
      </w:r>
    </w:p>
    <w:p>
      <w:pPr>
        <w:spacing w:after="0" w:line="140" w:lineRule="exact"/>
        <w:rPr>
          <w:sz w:val="20"/>
          <w:szCs w:val="20"/>
          <w:color w:val="auto"/>
        </w:rPr>
      </w:pPr>
    </w:p>
    <w:p>
      <w:pPr>
        <w:ind w:left="1163" w:hanging="289"/>
        <w:spacing w:after="0"/>
        <w:tabs>
          <w:tab w:leader="none" w:pos="1163"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José Espósito, Chief Corporate Audit Officer</w:t>
      </w:r>
    </w:p>
    <w:p>
      <w:pPr>
        <w:spacing w:after="0" w:line="204" w:lineRule="exact"/>
        <w:rPr>
          <w:rFonts w:ascii="Times New Roman" w:cs="Times New Roman" w:eastAsia="Times New Roman" w:hAnsi="Times New Roman"/>
          <w:sz w:val="16"/>
          <w:szCs w:val="16"/>
          <w:color w:val="auto"/>
        </w:rPr>
      </w:pPr>
    </w:p>
    <w:p>
      <w:pPr>
        <w:ind w:left="1163" w:hanging="289"/>
        <w:spacing w:after="0"/>
        <w:tabs>
          <w:tab w:leader="none" w:pos="1163"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Alfonso Cornejo Ruiz, AML/CFT Compliance Manager at BCP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178816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331" w:lineRule="exact"/>
        <w:rPr>
          <w:sz w:val="20"/>
          <w:szCs w:val="20"/>
          <w:color w:val="auto"/>
        </w:rPr>
      </w:pPr>
    </w:p>
    <w:p>
      <w:pPr>
        <w:ind w:left="3" w:right="20" w:hanging="3"/>
        <w:spacing w:after="0" w:line="311" w:lineRule="exact"/>
        <w:tabs>
          <w:tab w:leader="none" w:pos="210" w:val="left"/>
        </w:tabs>
        <w:numPr>
          <w:ilvl w:val="0"/>
          <w:numId w:val="8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 item 80 of this case file, the more detailed information can be found in: “80 - 2020016085 - Annex 6 - Response to Official Letter 5714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 (6074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 30Dec2019.”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714629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60" w:name="page61"/>
    <w:bookmarkEnd w:id="60"/>
    <w:p>
      <w:pPr>
        <w:ind w:left="580" w:right="20" w:hanging="292"/>
        <w:spacing w:after="0" w:line="287" w:lineRule="auto"/>
        <w:tabs>
          <w:tab w:leader="none" w:pos="5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evidenced from the above list of executives and/or officers of the Issuer and BCP, some were informed of the 2011 contributions only in November 2018, upon notification from the Public Prosecutor’s Office, and others were informed in November 2019, shortly before Mr. Romero’s statement.</w:t>
      </w:r>
    </w:p>
    <w:p>
      <w:pPr>
        <w:spacing w:after="0" w:line="142" w:lineRule="exact"/>
        <w:rPr>
          <w:rFonts w:ascii="Times New Roman" w:cs="Times New Roman" w:eastAsia="Times New Roman" w:hAnsi="Times New Roman"/>
          <w:sz w:val="16"/>
          <w:szCs w:val="16"/>
          <w:color w:val="auto"/>
        </w:rPr>
      </w:pPr>
    </w:p>
    <w:p>
      <w:pPr>
        <w:ind w:left="580" w:right="20" w:hanging="292"/>
        <w:spacing w:after="0" w:line="287" w:lineRule="auto"/>
        <w:tabs>
          <w:tab w:leader="none" w:pos="5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clear, as reflected in the chronology presented by the Issuer, that no individual within the Issuer’s corporate governance structure was informed of the decision that Mr. Romero made jointly with Mr. Bayly in 2011—not until the years 2018 and 2019, due to the events described above.</w:t>
      </w:r>
    </w:p>
    <w:p>
      <w:pPr>
        <w:spacing w:after="0" w:line="142" w:lineRule="exact"/>
        <w:rPr>
          <w:rFonts w:ascii="Times New Roman" w:cs="Times New Roman" w:eastAsia="Times New Roman" w:hAnsi="Times New Roman"/>
          <w:sz w:val="16"/>
          <w:szCs w:val="16"/>
          <w:color w:val="auto"/>
        </w:rPr>
      </w:pPr>
    </w:p>
    <w:p>
      <w:pPr>
        <w:jc w:val="both"/>
        <w:ind w:left="580" w:right="20" w:hanging="292"/>
        <w:spacing w:after="0" w:line="261" w:lineRule="auto"/>
        <w:tabs>
          <w:tab w:leader="none" w:pos="5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important to consider that the individuals mentioned—regarding the Issuer—include the Vice Chairman of the Board, the Directors, the Deputy Chief Executive Officer, the Chief Risk Officer, the Talent Management Officer, the Head of Legal, the Chief Compliance and Ethics Officer, the Head of Corporate Affairs, the Investor Relations Manager, the Chief Financial Officer, the Chief Corporate Audit Officer; and, regarding BCP, a Director, the Wholesale Banking Senior Manager, the Retail Banking Senior Manager, the Transformation Senior Manager, the Criminal Affairs Legal Manager, the Corporate Security Manager and the AML/CFT Compliance Manager.</w:t>
      </w:r>
    </w:p>
    <w:p>
      <w:pPr>
        <w:spacing w:after="0" w:line="163" w:lineRule="exact"/>
        <w:rPr>
          <w:rFonts w:ascii="Times New Roman" w:cs="Times New Roman" w:eastAsia="Times New Roman" w:hAnsi="Times New Roman"/>
          <w:sz w:val="16"/>
          <w:szCs w:val="16"/>
          <w:color w:val="auto"/>
        </w:rPr>
      </w:pPr>
    </w:p>
    <w:p>
      <w:pPr>
        <w:jc w:val="both"/>
        <w:ind w:left="580" w:hanging="292"/>
        <w:spacing w:after="0" w:line="271" w:lineRule="auto"/>
        <w:tabs>
          <w:tab w:leader="none" w:pos="5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Therefore, we are faced with an event confirmed by the Issuer itself: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was not only never disclosed as a material event to the market, but was also kept concealed internally within the organization in 2011, becoming known only due to the notice of the Public Prosecutor’s Office </w:t>
      </w:r>
      <w:r>
        <w:rPr>
          <w:rFonts w:ascii="Times New Roman" w:cs="Times New Roman" w:eastAsia="Times New Roman" w:hAnsi="Times New Roman"/>
          <w:sz w:val="16"/>
          <w:szCs w:val="16"/>
          <w:b w:val="1"/>
          <w:bCs w:val="1"/>
          <w:u w:val="single" w:color="auto"/>
          <w:color w:val="auto"/>
        </w:rPr>
        <w:t>in November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2018</w:t>
      </w:r>
      <w:r>
        <w:rPr>
          <w:rFonts w:ascii="Times New Roman" w:cs="Times New Roman" w:eastAsia="Times New Roman" w:hAnsi="Times New Roman"/>
          <w:sz w:val="16"/>
          <w:szCs w:val="16"/>
          <w:color w:val="auto"/>
        </w:rPr>
        <w:t>, and in some cases shortly before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November 2019</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w:t>
      </w:r>
    </w:p>
    <w:p>
      <w:pPr>
        <w:spacing w:after="0" w:line="155" w:lineRule="exact"/>
        <w:rPr>
          <w:rFonts w:ascii="Times New Roman" w:cs="Times New Roman" w:eastAsia="Times New Roman" w:hAnsi="Times New Roman"/>
          <w:sz w:val="16"/>
          <w:szCs w:val="16"/>
          <w:color w:val="auto"/>
        </w:rPr>
      </w:pPr>
    </w:p>
    <w:p>
      <w:pPr>
        <w:jc w:val="both"/>
        <w:ind w:left="580" w:right="20" w:hanging="292"/>
        <w:spacing w:after="0" w:line="264" w:lineRule="auto"/>
        <w:tabs>
          <w:tab w:leader="none" w:pos="5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particular, and due to the special nature of their functions, it is important to emphasize that the Risk Manager and the Compliance Manager were informed only in 2018—and not in 2011—and that the Internal Audit Manager became aware only after the rescheduled statement of February 20, 2019. In other words, the Issuer’s executives theoretically most specialized in regulatory compliance and internal control were not informed of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at the time of its occurrence in 2011, but only in 2018 and 2019.</w:t>
      </w:r>
    </w:p>
    <w:p>
      <w:pPr>
        <w:spacing w:after="0" w:line="16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Thus, the foregoing corroborates that the Issuer maintained </w:t>
      </w:r>
      <w:r>
        <w:rPr>
          <w:rFonts w:ascii="Times New Roman" w:cs="Times New Roman" w:eastAsia="Times New Roman" w:hAnsi="Times New Roman"/>
          <w:sz w:val="16"/>
          <w:szCs w:val="16"/>
          <w:b w:val="1"/>
          <w:bCs w:val="1"/>
          <w:color w:val="auto"/>
        </w:rPr>
        <w:t>a conduct of concealing relevant market information</w:t>
      </w:r>
      <w:r>
        <w:rPr>
          <w:rFonts w:ascii="Times New Roman" w:cs="Times New Roman" w:eastAsia="Times New Roman" w:hAnsi="Times New Roman"/>
          <w:sz w:val="16"/>
          <w:szCs w:val="16"/>
          <w:color w:val="auto"/>
        </w:rPr>
        <w:t>—conduct that extended even to senior internal officers —and supports the corresponding typification of the committed infraction.</w:t>
      </w:r>
    </w:p>
    <w:p>
      <w:pPr>
        <w:spacing w:after="0" w:line="104"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Furthermore, nondisclosure of material events may result from negligence; however, that is not the case here. Concealing market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relevant information for more than eight (8) years is not an act of negligence—it is a deliberate or intentional act of concealment, only revealed after a request by the SMV with the material event disclosure of November 21, 2019, and solely as a result of Mr. Romero’s testimony before the Public Prosecutor’s Office—information that likely would not have been known otherwise.</w:t>
      </w:r>
    </w:p>
    <w:p>
      <w:pPr>
        <w:spacing w:after="0" w:line="17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Accordingly, it is demonstrated that the charge does not violate the Principle of Specificity, because </w:t>
      </w:r>
      <w:r>
        <w:rPr>
          <w:rFonts w:ascii="Times New Roman" w:cs="Times New Roman" w:eastAsia="Times New Roman" w:hAnsi="Times New Roman"/>
          <w:sz w:val="16"/>
          <w:szCs w:val="16"/>
          <w:b w:val="1"/>
          <w:bCs w:val="1"/>
          <w:color w:val="auto"/>
        </w:rPr>
        <w:t>concealment</w:t>
      </w:r>
      <w:r>
        <w:rPr>
          <w:rFonts w:ascii="Times New Roman" w:cs="Times New Roman" w:eastAsia="Times New Roman" w:hAnsi="Times New Roman"/>
          <w:sz w:val="16"/>
          <w:szCs w:val="16"/>
          <w:color w:val="auto"/>
        </w:rPr>
        <w:t xml:space="preserve"> does not depend on the lack of a duty of diligence—it is directly linked to an intent to cover up information, regardless of the ultimate motive or purpose of such concealment. This is the key distinction from the infraction type invoked by the Issuer in its defenses. Therefore, it is conclusively established that there is no improper typification of the infraction attributed to the Issuer.</w:t>
      </w:r>
    </w:p>
    <w:p>
      <w:pPr>
        <w:spacing w:after="0" w:line="15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 xml:space="preserve">The same reasoning applies to the Issuer’s Executive Committee agreement to make contributions totaling one hundred eighty (180) UIT, through its subsidiaries BCP, MIBANCO and PACÍFICO, to the political party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xml:space="preserve"> during the 2016 presidential campaign. As in the previous case, there is intentional concealment.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4629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1" w:name="page62"/>
    <w:bookmarkEnd w:id="61"/>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In this case, although the political party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xml:space="preserve"> reported these contributions to ONPE and they were published by that institution, for purposes of securities market disclosure,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remained concealed for more than three (3) years and was only revealed with the material event disclosure of November 21, 2019, following an SMV request and as a result of Mr. Romero’s statement as Chairman of the Issuer before the Public Prosecutor’s Office.</w:t>
      </w:r>
    </w:p>
    <w:p>
      <w:pPr>
        <w:spacing w:after="0" w:line="120"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Additionally, it must be noted that transparency in the securities market is a supra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individual legal interest, or diffuse interest, because it safeguards the interests of investors. As such, it is sectoral in nature: in the securities market, investors—whether individually or collectively—may be harmed when transparency norms are violated, preventing them from making fully informed investment decisions regarding the issuer and its securities.</w:t>
      </w:r>
    </w:p>
    <w:p>
      <w:pPr>
        <w:spacing w:after="0" w:line="145" w:lineRule="exact"/>
        <w:rPr>
          <w:sz w:val="20"/>
          <w:szCs w:val="20"/>
          <w:color w:val="auto"/>
        </w:rPr>
      </w:pPr>
    </w:p>
    <w:p>
      <w:pPr>
        <w:jc w:val="both"/>
        <w:ind w:right="20"/>
        <w:spacing w:after="0" w:line="221" w:lineRule="exact"/>
        <w:rPr>
          <w:sz w:val="20"/>
          <w:szCs w:val="20"/>
          <w:color w:val="auto"/>
        </w:rPr>
      </w:pPr>
      <w:r>
        <w:rPr>
          <w:rFonts w:ascii="Times New Roman" w:cs="Times New Roman" w:eastAsia="Times New Roman" w:hAnsi="Times New Roman"/>
          <w:sz w:val="16"/>
          <w:szCs w:val="16"/>
          <w:color w:val="auto"/>
        </w:rPr>
        <w:t>Consequently, transparency—being a socially valued supra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individual legal interest—must be protected, as it contributes to the strengthening and development of the securities market.</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In this regard, it is reasonable to conclude that the Issuer decided to keep concealed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as their disclosure at the appropriate time could reasonably have influenced investors’ decisions regarding the Issuer’s securities or had an impact, as Mr. Romero himself acknowledges in the 2019 Annual Report.</w:t>
      </w:r>
    </w:p>
    <w:p>
      <w:pPr>
        <w:spacing w:after="0" w:line="156" w:lineRule="exact"/>
        <w:rPr>
          <w:sz w:val="20"/>
          <w:szCs w:val="20"/>
          <w:color w:val="auto"/>
        </w:rPr>
      </w:pPr>
    </w:p>
    <w:p>
      <w:pPr>
        <w:jc w:val="both"/>
        <w:spacing w:after="0" w:line="198" w:lineRule="exact"/>
        <w:rPr>
          <w:sz w:val="20"/>
          <w:szCs w:val="20"/>
          <w:color w:val="auto"/>
        </w:rPr>
      </w:pPr>
      <w:r>
        <w:rPr>
          <w:rFonts w:ascii="Times New Roman" w:cs="Times New Roman" w:eastAsia="Times New Roman" w:hAnsi="Times New Roman"/>
          <w:sz w:val="16"/>
          <w:szCs w:val="16"/>
          <w:color w:val="auto"/>
        </w:rPr>
        <w:t xml:space="preserve">Indeed, as evidenced by the facts and documentation in the case file, the Issuer voluntarily deprived investors and potential investors of the market of the opportunity to know, evaluate and decide based on such information. Through this concealment, harm was caused to market transparency and integrity, and to investor confidence in the information provided by the Issuer. Given that there have been two cases of concealment—revealed not by the Issuer’s initiative to repair the concealment but due to Public Prosecutor proceedings—it is reasonable to infer that information disclosed by the Issuer in compliance with its obligations may not be complete, truthful or timely. This, which in other circumstances would be speculation, becomes a probability based on the concealment of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raising a concrete alert and requiring, among other things, </w:t>
      </w:r>
      <w:r>
        <w:rPr>
          <w:rFonts w:ascii="Times New Roman" w:cs="Times New Roman" w:eastAsia="Times New Roman" w:hAnsi="Times New Roman"/>
          <w:sz w:val="16"/>
          <w:szCs w:val="16"/>
          <w:b w:val="1"/>
          <w:bCs w:val="1"/>
          <w:u w:val="single" w:color="auto"/>
          <w:color w:val="auto"/>
        </w:rPr>
        <w:t>that the securities market supervisor (SMV) require the Issuer—and all issuers in general—to reinforce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policies, practices, rules and internal procedures regarding material event disclosure, corporate governance and regulatory compliance</w:t>
      </w:r>
      <w:r>
        <w:rPr>
          <w:rFonts w:ascii="Times New Roman" w:cs="Times New Roman" w:eastAsia="Times New Roman" w:hAnsi="Times New Roman"/>
          <w:sz w:val="16"/>
          <w:szCs w:val="16"/>
          <w:color w:val="auto"/>
        </w:rPr>
        <w:t>, and implement periodic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internal controls to provide reasonable assurance to shareholders, potential investors, the Board, stakeholders and the market at large that material events are communicated truthfully, sufficiently, and timely in accordance with the LMV, and applying rigorous quantitative, qualitative and common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sense criteria replicating those of a reasonable investor.</w:t>
      </w:r>
    </w:p>
    <w:p>
      <w:pPr>
        <w:spacing w:after="0" w:line="36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It should also be noted that the Issuer’s concealment of information—constituting an infraction of securities market regulations—also harmed the SMV’s role as market supervisor, because by concealing such information, the Issuer deprived the SMV of the capacity to evaluate risks, conduct oversight or pursue supervisory actions. In other words, it prevented the SMV from effectively fulfilling its core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4629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2" w:name="page63"/>
    <w:bookmarkEnd w:id="62"/>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Additionally, the repeated concealment of relevant information raises the question: if information was concealed in two cases, what assurance is there that it has not occurred, or will not occur, in other cases? To restore confidence in the Issuer’s compliance with its disclosure obligations, it will be necessary—as previously stated—for the Issuer to implement and/or strengthen its internal control and compliance mechanisms and procedures to ensure complete disclosure of required information, and to inform the market of such measures.</w:t>
      </w:r>
    </w:p>
    <w:p>
      <w:pPr>
        <w:spacing w:after="0" w:line="16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Accordingly, there is sufficient evidence demonstrating the concealment of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and that such concealment affected the transparency of the securities market.</w:t>
      </w:r>
    </w:p>
    <w:p>
      <w:pPr>
        <w:spacing w:after="0" w:line="140" w:lineRule="exact"/>
        <w:rPr>
          <w:sz w:val="20"/>
          <w:szCs w:val="20"/>
          <w:color w:val="auto"/>
        </w:rPr>
      </w:pPr>
    </w:p>
    <w:p>
      <w:pPr>
        <w:jc w:val="both"/>
        <w:ind w:right="20"/>
        <w:spacing w:after="0" w:line="208" w:lineRule="exact"/>
        <w:rPr>
          <w:sz w:val="20"/>
          <w:szCs w:val="20"/>
          <w:color w:val="auto"/>
        </w:rPr>
      </w:pPr>
      <w:r>
        <w:rPr>
          <w:rFonts w:ascii="Times New Roman" w:cs="Times New Roman" w:eastAsia="Times New Roman" w:hAnsi="Times New Roman"/>
          <w:sz w:val="16"/>
          <w:szCs w:val="16"/>
          <w:color w:val="auto"/>
        </w:rPr>
        <w:t>Therefore, it is correct to affirm that the conduct of concealing relevant market information is contemplated in the infraction type set forth in subsection 1.6, numeral 1 of Annex I of the Sanctions Regulation for the first charge, and in subsection 1.5, numeral 1 of Annex I of the Sanctions Regulation as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for the second charge.</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According to the foregoing, it has been demonstrated that in the present case there is no improper classification in the charges brought and, </w:t>
      </w:r>
      <w:r>
        <w:rPr>
          <w:rFonts w:ascii="Times New Roman" w:cs="Times New Roman" w:eastAsia="Times New Roman" w:hAnsi="Times New Roman"/>
          <w:sz w:val="16"/>
          <w:szCs w:val="16"/>
          <w:b w:val="1"/>
          <w:bCs w:val="1"/>
          <w:u w:val="single" w:color="auto"/>
          <w:color w:val="auto"/>
        </w:rPr>
        <w:t>therefore, no violation 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Principles of Legality, Specificity, or Due Procedure</w:t>
      </w:r>
      <w:r>
        <w:rPr>
          <w:rFonts w:ascii="Times New Roman" w:cs="Times New Roman" w:eastAsia="Times New Roman" w:hAnsi="Times New Roman"/>
          <w:sz w:val="16"/>
          <w:szCs w:val="16"/>
          <w:color w:val="auto"/>
        </w:rPr>
        <w:t>. Notwithstanding this, further below we will analyze additional considerations regarding these principles, which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Issuer reiterates in its defenses as having been violated in the present administrative sanctioning proceeding.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REGARDING THE CONDUCT ATTRIBUTED</w:t>
      </w:r>
    </w:p>
    <w:p>
      <w:pPr>
        <w:spacing w:after="0" w:line="20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 xml:space="preserve">The Issuer argues that, in the present case, the conduct that should have been attributed to it is the failure to disclose information about the contributions made to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as a material event. In the Issuer’s view, this is evidenced in the Charges Letter, where it is stated that the information regarding the contributions to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should have been disclosed because it had the capacity to significantly influence investors’ decisions regarding the Issuer’s securities, and that the attributed conduct ceased with the disclosure of the material event on November 21, 2019.</w:t>
      </w:r>
    </w:p>
    <w:p>
      <w:pPr>
        <w:spacing w:after="0" w:line="160" w:lineRule="exact"/>
        <w:rPr>
          <w:sz w:val="20"/>
          <w:szCs w:val="20"/>
          <w:color w:val="auto"/>
        </w:rPr>
      </w:pPr>
    </w:p>
    <w:p>
      <w:pPr>
        <w:jc w:val="both"/>
        <w:spacing w:after="0" w:line="200" w:lineRule="exact"/>
        <w:rPr>
          <w:sz w:val="20"/>
          <w:szCs w:val="20"/>
          <w:color w:val="auto"/>
        </w:rPr>
      </w:pPr>
      <w:r>
        <w:rPr>
          <w:rFonts w:ascii="Times New Roman" w:cs="Times New Roman" w:eastAsia="Times New Roman" w:hAnsi="Times New Roman"/>
          <w:sz w:val="16"/>
          <w:szCs w:val="16"/>
          <w:color w:val="auto"/>
        </w:rPr>
        <w:t xml:space="preserve">In this regard, it should be emphasized that the fact that the IGCC stated in the Charges Letter that </w:t>
      </w:r>
      <w:r>
        <w:rPr>
          <w:rFonts w:ascii="Times New Roman" w:cs="Times New Roman" w:eastAsia="Times New Roman" w:hAnsi="Times New Roman"/>
          <w:sz w:val="16"/>
          <w:szCs w:val="16"/>
          <w:b w:val="1"/>
          <w:bCs w:val="1"/>
          <w:color w:val="auto"/>
        </w:rPr>
        <w:t>THE 2011 INFORMATION (cash contributions to the political party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FUERZA 2011)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THE 2016 AGREEMENT (agreement to make contributions to the political party PERUANOS POR EL KAMBIO) </w:t>
      </w:r>
      <w:r>
        <w:rPr>
          <w:rFonts w:ascii="Times New Roman" w:cs="Times New Roman" w:eastAsia="Times New Roman" w:hAnsi="Times New Roman"/>
          <w:sz w:val="16"/>
          <w:szCs w:val="16"/>
          <w:color w:val="auto"/>
        </w:rPr>
        <w:t>should have been disclosed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 timely manner, and that the conduct ceased with the disclosure of the material event on November 21, 2019, does not imply that the infraction under analysis corresponds to the failure to disclose material events. Rather, these are significant facts whose concealment, as the core element of the Issuer’s conduct, corresponds to a very serious infraction. Therefore, the infraction types set forth in subsection 1.6, numeral 1 of Annex I of the Sanctions Regulation for the first charge, and subsection 1.5, numeral 1 of Annex I of the Sanctions Regulation as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for the second charge, are appropriate, as they concern permanent infractions.</w:t>
      </w:r>
    </w:p>
    <w:p>
      <w:pPr>
        <w:spacing w:after="0" w:line="3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 xml:space="preserve">Furthermore, it should be reiterated that the conduct attributed to the Issuer is the concealment of relevant market information. It may even be argued that such concealment could extend to and impact the Issuer or its three (03) subsidiaries in other areas. In fact, it has already had an impact on BCP, the Issuer’s most important subsidiary (see ANNEX 1), since the contributions referred to in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led its regulator, the Superintendency of Banking, Insurance and AFPs (SBS), to initiate an administrative sanctioning procedure, as evidenced in the material event disclosed on August 5, 2020 (File No. 2020027470), in which BCP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215265</wp:posOffset>
            </wp:positionV>
            <wp:extent cx="714629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i w:val="1"/>
          <w:iCs w:val="1"/>
          <w:color w:val="auto"/>
        </w:rPr>
        <w:t>Ref.: Material Events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Dear Sirs:</w:t>
      </w:r>
    </w:p>
    <w:p>
      <w:pPr>
        <w:spacing w:after="0" w:line="173" w:lineRule="exact"/>
        <w:rPr>
          <w:sz w:val="20"/>
          <w:szCs w:val="20"/>
          <w:color w:val="auto"/>
        </w:rPr>
      </w:pPr>
    </w:p>
    <w:p>
      <w:pPr>
        <w:jc w:val="both"/>
        <w:spacing w:after="0" w:line="203" w:lineRule="exact"/>
        <w:rPr>
          <w:sz w:val="20"/>
          <w:szCs w:val="20"/>
          <w:color w:val="auto"/>
        </w:rPr>
      </w:pPr>
      <w:r>
        <w:rPr>
          <w:rFonts w:ascii="Times New Roman" w:cs="Times New Roman" w:eastAsia="Times New Roman" w:hAnsi="Times New Roman"/>
          <w:sz w:val="16"/>
          <w:szCs w:val="16"/>
          <w:i w:val="1"/>
          <w:iCs w:val="1"/>
          <w:color w:val="auto"/>
        </w:rPr>
        <w:t>In accordance with the provisions of Article 28 of the Consolidated Text of the Securities Market Law approved by Supreme Decree No. 093</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2002</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EF, and with the Regulations on Material Events and Reserved Information approved by SMV Resolution No. 005</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2014</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SMV/01, we hereby inform you, in our capacity as issuer of a Material Event, that on date, through Official Letter No. 18770</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2020</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SBS, the Superintendency of Banking, Insurance and AFPs has notified Banco de Crédito del Perú (BCP) of the initiation of an administrative sanctioning proceeding resulting from the supervisory action carried out by the Ad Hoc Working Group created pursuant to Resolution SBS No. 5651</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 xml:space="preserve">2019 of November 29, 2019, to investigate </w:t>
      </w:r>
      <w:r>
        <w:rPr>
          <w:rFonts w:ascii="Times New Roman" w:cs="Times New Roman" w:eastAsia="Times New Roman" w:hAnsi="Times New Roman"/>
          <w:sz w:val="16"/>
          <w:szCs w:val="16"/>
          <w:i w:val="1"/>
          <w:iCs w:val="1"/>
          <w:u w:val="single" w:color="auto"/>
          <w:color w:val="auto"/>
        </w:rPr>
        <w:t>and evaluate the actions carried out by BCP, Pacífico Seguros S.A., and Mibanco S.A. 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the contributions made to presidential election campaigns</w:t>
      </w:r>
      <w:r>
        <w:rPr>
          <w:rFonts w:ascii="Times New Roman" w:cs="Times New Roman" w:eastAsia="Times New Roman" w:hAnsi="Times New Roman"/>
          <w:sz w:val="16"/>
          <w:szCs w:val="16"/>
          <w:i w:val="1"/>
          <w:iCs w:val="1"/>
          <w:color w:val="auto"/>
        </w:rPr>
        <w:t>.</w:t>
      </w:r>
    </w:p>
    <w:p>
      <w:pPr>
        <w:spacing w:after="0" w:line="179" w:lineRule="exact"/>
        <w:rPr>
          <w:sz w:val="20"/>
          <w:szCs w:val="20"/>
          <w:color w:val="auto"/>
        </w:rPr>
      </w:pPr>
    </w:p>
    <w:p>
      <w:pPr>
        <w:jc w:val="both"/>
        <w:spacing w:after="0" w:line="199" w:lineRule="exact"/>
        <w:rPr>
          <w:sz w:val="20"/>
          <w:szCs w:val="20"/>
          <w:color w:val="auto"/>
        </w:rPr>
      </w:pPr>
      <w:r>
        <w:rPr>
          <w:rFonts w:ascii="Times New Roman" w:cs="Times New Roman" w:eastAsia="Times New Roman" w:hAnsi="Times New Roman"/>
          <w:sz w:val="16"/>
          <w:szCs w:val="16"/>
          <w:i w:val="1"/>
          <w:iCs w:val="1"/>
          <w:u w:val="single" w:color="auto"/>
          <w:color w:val="auto"/>
        </w:rPr>
        <w:t>The infringements that the SBS attributes to BCP are four in number and refer to: (i) accounting records during the period between the months of November 2010 and September 2019</w:t>
      </w:r>
      <w:r>
        <w:rPr>
          <w:rFonts w:ascii="Times New Roman" w:cs="Times New Roman" w:eastAsia="Times New Roman" w:hAnsi="Times New Roman"/>
          <w:sz w:val="16"/>
          <w:szCs w:val="16"/>
          <w:i w:val="1"/>
          <w:iCs w:val="1"/>
          <w:color w:val="auto"/>
        </w:rPr>
        <w:t>, involving third</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party transactions in accounting account 1909; (ii) the lack of registration or errors in the registration of certain transactions that should have been recorded in the Operations Register during the period between November 2010 and September 2019; (iii) the lack of precise and complete preservation of the Operations Register within the time period established by law; and (iv) the lack of documentary evidence regarding the analysis of certain AML alerts.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Sincerely,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BANCO DE CRÉDITO DEL PERÚ</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Thus, as shown in BCP’s material event, although the disclosed facts occurred (or were initiated) more than eight (8) and three (3) years ago, respectively, their subsequent revelation is generating impacts on the Issuer and its three subsidiaries. These are facts—real and evidenced—not assumptions by the Issuer, which repeatedly argues that the contributions referred to in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are not material information, do not qualify as material events, and are insignificant relative to its financial statements. The reality demonstrates the opposite: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are material or relevant information that should have been disclosed to the market as material events, rather than kept concealed.</w:t>
      </w:r>
    </w:p>
    <w:p>
      <w:pPr>
        <w:spacing w:after="0" w:line="165" w:lineRule="exact"/>
        <w:rPr>
          <w:sz w:val="20"/>
          <w:szCs w:val="20"/>
          <w:color w:val="auto"/>
        </w:rPr>
      </w:pPr>
    </w:p>
    <w:p>
      <w:pPr>
        <w:jc w:val="both"/>
        <w:spacing w:after="0" w:line="200" w:lineRule="exact"/>
        <w:rPr>
          <w:sz w:val="20"/>
          <w:szCs w:val="20"/>
          <w:color w:val="auto"/>
        </w:rPr>
      </w:pPr>
      <w:r>
        <w:rPr>
          <w:rFonts w:ascii="Times New Roman" w:cs="Times New Roman" w:eastAsia="Times New Roman" w:hAnsi="Times New Roman"/>
          <w:sz w:val="16"/>
          <w:szCs w:val="16"/>
          <w:color w:val="auto"/>
        </w:rPr>
        <w:t>Therefore, it should be reaffirmed that the classification of the charge under subsection 1.6, numeral 1 of the Sanctions Regulation, and subsection 1.5, numeral 1 of Annex I of the Sanctions Regulation as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maintains a direct correspondence between the conduct of concealment and the infraction type attributed to the Issuer—understood as a permanent, deliberate, or intentional infraction.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224155</wp:posOffset>
            </wp:positionV>
            <wp:extent cx="714629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jc w:val="both"/>
        <w:spacing w:after="0" w:line="259" w:lineRule="auto"/>
        <w:rPr>
          <w:sz w:val="20"/>
          <w:szCs w:val="20"/>
          <w:color w:val="auto"/>
        </w:rPr>
      </w:pPr>
      <w:r>
        <w:rPr>
          <w:rFonts w:ascii="Times New Roman" w:cs="Times New Roman" w:eastAsia="Times New Roman" w:hAnsi="Times New Roman"/>
          <w:sz w:val="16"/>
          <w:szCs w:val="16"/>
          <w:color w:val="auto"/>
        </w:rPr>
        <w:t>It should also be noted that the infraction type in subsection 2.14, numeral 2 of Annex I of the Sanctions Regulation, currently set forth in subsection 2.10, numeral 2 of Annex I of the New Sanctions Regulation, refers only to the failure to disclose a material event. In this case, purely illustratively and considering that each case must be evaluated individually—and that every administrative sanctioning procedure involves a distinct evaluation of the conduct involved—it should be noted that the infraction concerning the “failure to disclose a material event” may be detected, among other situations, by the SMV when it knows that an event should have been disclosed and has not been communicated through a material event; or when there are not sufficient elements indicating a deliberate concealment of the material event; or when, during the investigative or sanctioning phase of an administrative proceeding, the Issuer can show that the nondisclosure was due to a lack of diligence or operational error, among other considerations and illustrative examples.</w:t>
      </w:r>
    </w:p>
    <w:p>
      <w:pPr>
        <w:spacing w:after="0" w:line="16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In this regard, the infraction type in subsection 2.14, numeral 2 of Annex I of the Sanctions Regulation—currently subsection 2.10, numeral 2 of Annex I of the New Sanctions Regulation—protects the immediacy, urgency and timeliness required for the disclosure of material events, a circumstance that does not apply to the facts described in the Charges Letter. Indeed, the infraction type “failure to disclose a material event” does not aim to deter or sanction deliberate concealment of information for more than eight (8) and three (3) years, respectively.</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Another element indicating concealment is the fact that the cash contributions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were made through seventeen (17) transfers involving BCP and Atlantic Security Bank, following the Issuer’s instructions. As shown in the table below, these transfers were made between November 2, 2010 and May 20, 2011, in minimum amounts of US$ 100,000 and maximum amounts of US$ 500,000, amounting to a total of US$ 3,650,000. This method of withdrawing cash for the benefit of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demonstrates the intention to conceal the contributions or the total amount contributed—by dividing them into smaller amounts to avoid detection had they been made in a single payment—and delivering them in cash, without banking traceability, and in briefcases outside the official premises of the Issuer or its subsidiaries, which could reasonably be classified as </w:t>
      </w:r>
      <w:r>
        <w:rPr>
          <w:rFonts w:ascii="Times New Roman" w:cs="Times New Roman" w:eastAsia="Times New Roman" w:hAnsi="Times New Roman"/>
          <w:sz w:val="16"/>
          <w:szCs w:val="16"/>
          <w:b w:val="1"/>
          <w:bCs w:val="1"/>
          <w:u w:val="single" w:color="auto"/>
          <w:color w:val="auto"/>
        </w:rPr>
        <w:t>clandestine cash transfers</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In view of the flow of transactions used to make the cash deliveries to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this clearly demonstrates that the conduct attributed to the Issuer corresponds to the very serious infraction typified in subsection 1.6, numeral 1 of Annex I of the Sanctions Regulation.</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82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w:t>
            </w:r>
          </w:p>
        </w:tc>
        <w:tc>
          <w:tcPr>
            <w:tcW w:w="18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8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17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Date of Credicorp</w:t>
            </w:r>
          </w:p>
        </w:tc>
        <w:tc>
          <w:tcPr>
            <w:tcW w:w="21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Effective</w:t>
            </w:r>
          </w:p>
        </w:tc>
      </w:tr>
      <w:tr>
        <w:trPr>
          <w:trHeight w:val="194"/>
        </w:trPr>
        <w:tc>
          <w:tcPr>
            <w:tcW w:w="82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BCP</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Cash</w:t>
            </w: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Effectively</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Instruction to</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Reimbursement</w:t>
            </w:r>
          </w:p>
        </w:tc>
      </w:tr>
      <w:tr>
        <w:trPr>
          <w:trHeight w:val="194"/>
        </w:trPr>
        <w:tc>
          <w:tcPr>
            <w:tcW w:w="82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Instruction</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Withdrawal</w:t>
            </w: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Withdrawn</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Atlantic Security</w:t>
            </w:r>
          </w:p>
        </w:tc>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Date to BCP</w:t>
            </w:r>
          </w:p>
        </w:tc>
      </w:tr>
      <w:tr>
        <w:trPr>
          <w:trHeight w:val="194"/>
        </w:trPr>
        <w:tc>
          <w:tcPr>
            <w:tcW w:w="82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for Cash</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(US$)</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Bank for</w:t>
            </w:r>
          </w:p>
        </w:tc>
        <w:tc>
          <w:tcPr>
            <w:tcW w:w="2140" w:type="dxa"/>
            <w:vAlign w:val="bottom"/>
            <w:tcBorders>
              <w:right w:val="single" w:sz="8" w:color="auto"/>
            </w:tcBorders>
          </w:tcPr>
          <w:p>
            <w:pPr>
              <w:spacing w:after="0"/>
              <w:rPr>
                <w:sz w:val="16"/>
                <w:szCs w:val="16"/>
                <w:color w:val="auto"/>
              </w:rPr>
            </w:pPr>
          </w:p>
        </w:tc>
      </w:tr>
      <w:tr>
        <w:trPr>
          <w:trHeight w:val="194"/>
        </w:trPr>
        <w:tc>
          <w:tcPr>
            <w:tcW w:w="82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Withdrawal</w:t>
            </w:r>
          </w:p>
        </w:tc>
        <w:tc>
          <w:tcPr>
            <w:tcW w:w="18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Reimbursement to</w:t>
            </w:r>
          </w:p>
        </w:tc>
        <w:tc>
          <w:tcPr>
            <w:tcW w:w="2140" w:type="dxa"/>
            <w:vAlign w:val="bottom"/>
            <w:tcBorders>
              <w:right w:val="single" w:sz="8" w:color="auto"/>
            </w:tcBorders>
          </w:tcPr>
          <w:p>
            <w:pPr>
              <w:spacing w:after="0"/>
              <w:rPr>
                <w:sz w:val="16"/>
                <w:szCs w:val="16"/>
                <w:color w:val="auto"/>
              </w:rPr>
            </w:pPr>
          </w:p>
        </w:tc>
      </w:tr>
      <w:tr>
        <w:trPr>
          <w:trHeight w:val="217"/>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BCP</w:t>
            </w:r>
          </w:p>
        </w:tc>
        <w:tc>
          <w:tcPr>
            <w:tcW w:w="2140" w:type="dxa"/>
            <w:vAlign w:val="bottom"/>
            <w:tcBorders>
              <w:bottom w:val="single" w:sz="8" w:color="auto"/>
              <w:right w:val="single" w:sz="8" w:color="auto"/>
            </w:tcBorders>
          </w:tcPr>
          <w:p>
            <w:pPr>
              <w:spacing w:after="0"/>
              <w:rPr>
                <w:sz w:val="18"/>
                <w:szCs w:val="18"/>
                <w:color w:val="auto"/>
              </w:rPr>
            </w:pPr>
          </w:p>
        </w:tc>
      </w:tr>
      <w:tr>
        <w:trPr>
          <w:trHeight w:val="199"/>
        </w:trPr>
        <w:tc>
          <w:tcPr>
            <w:tcW w:w="82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w:t>
            </w:r>
          </w:p>
        </w:tc>
        <w:tc>
          <w:tcPr>
            <w:tcW w:w="182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11/02/2010</w:t>
            </w:r>
          </w:p>
        </w:tc>
        <w:tc>
          <w:tcPr>
            <w:tcW w:w="18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11/03/2010</w:t>
            </w:r>
          </w:p>
        </w:tc>
        <w:tc>
          <w:tcPr>
            <w:tcW w:w="17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200,000</w:t>
            </w:r>
          </w:p>
        </w:tc>
        <w:tc>
          <w:tcPr>
            <w:tcW w:w="21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11/15/2010</w:t>
            </w:r>
          </w:p>
        </w:tc>
        <w:tc>
          <w:tcPr>
            <w:tcW w:w="21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11/16/2010</w:t>
            </w:r>
          </w:p>
        </w:tc>
      </w:tr>
      <w:tr>
        <w:trPr>
          <w:trHeight w:val="199"/>
        </w:trPr>
        <w:tc>
          <w:tcPr>
            <w:tcW w:w="820" w:type="dxa"/>
            <w:vAlign w:val="bottom"/>
            <w:tcBorders>
              <w:left w:val="single" w:sz="8" w:color="auto"/>
              <w:bottom w:val="single" w:sz="8" w:color="CCEEFF"/>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2010</w:t>
            </w:r>
          </w:p>
        </w:tc>
        <w:tc>
          <w:tcPr>
            <w:tcW w:w="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w:t>
            </w:r>
          </w:p>
        </w:tc>
        <w:tc>
          <w:tcPr>
            <w:tcW w:w="1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12/13/2010</w:t>
            </w:r>
          </w:p>
        </w:tc>
        <w:tc>
          <w:tcPr>
            <w:tcW w:w="1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12/13/2010</w:t>
            </w:r>
          </w:p>
        </w:tc>
        <w:tc>
          <w:tcPr>
            <w:tcW w:w="17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200,000</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12/30/2010</w:t>
            </w:r>
          </w:p>
        </w:tc>
        <w:tc>
          <w:tcPr>
            <w:tcW w:w="2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12/30/2010</w:t>
            </w:r>
          </w:p>
        </w:tc>
      </w:tr>
      <w:tr>
        <w:trPr>
          <w:trHeight w:val="199"/>
        </w:trPr>
        <w:tc>
          <w:tcPr>
            <w:tcW w:w="8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w:t>
            </w:r>
          </w:p>
        </w:tc>
        <w:tc>
          <w:tcPr>
            <w:tcW w:w="182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12/27/2010</w:t>
            </w:r>
          </w:p>
        </w:tc>
        <w:tc>
          <w:tcPr>
            <w:tcW w:w="18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12/29/2010</w:t>
            </w:r>
          </w:p>
        </w:tc>
        <w:tc>
          <w:tcPr>
            <w:tcW w:w="17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300,000</w:t>
            </w:r>
          </w:p>
        </w:tc>
        <w:tc>
          <w:tcPr>
            <w:tcW w:w="21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12/30/2010</w:t>
            </w:r>
          </w:p>
        </w:tc>
        <w:tc>
          <w:tcPr>
            <w:tcW w:w="21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12/30/2010</w:t>
            </w:r>
          </w:p>
        </w:tc>
      </w:tr>
      <w:tr>
        <w:trPr>
          <w:trHeight w:val="199"/>
        </w:trPr>
        <w:tc>
          <w:tcPr>
            <w:tcW w:w="3440" w:type="dxa"/>
            <w:vAlign w:val="bottom"/>
            <w:tcBorders>
              <w:left w:val="single" w:sz="8" w:color="auto"/>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 disbursements 2010</w:t>
            </w:r>
          </w:p>
        </w:tc>
        <w:tc>
          <w:tcPr>
            <w:tcW w:w="180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700,000</w:t>
            </w:r>
          </w:p>
        </w:tc>
        <w:tc>
          <w:tcPr>
            <w:tcW w:w="2120" w:type="dxa"/>
            <w:vAlign w:val="bottom"/>
            <w:tcBorders>
              <w:bottom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r>
      <w:tr>
        <w:trPr>
          <w:trHeight w:val="356"/>
        </w:trPr>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23" w:right="319" w:bottom="1440" w:gutter="0" w:footer="0" w:header="0"/>
        </w:sectPr>
      </w:pPr>
    </w:p>
    <w:bookmarkStart w:id="65" w:name="page66"/>
    <w:bookmarkEnd w:id="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28524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6290" cy="28524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8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w:t>
            </w:r>
          </w:p>
        </w:tc>
        <w:tc>
          <w:tcPr>
            <w:tcW w:w="18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7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17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Date of Credicorp</w:t>
            </w:r>
          </w:p>
        </w:tc>
        <w:tc>
          <w:tcPr>
            <w:tcW w:w="21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BCP</w:t>
            </w:r>
          </w:p>
        </w:tc>
        <w:tc>
          <w:tcPr>
            <w:tcW w:w="1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Cash</w:t>
            </w:r>
          </w:p>
        </w:tc>
        <w:tc>
          <w:tcPr>
            <w:tcW w:w="1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Effectively</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Instruction to</w:t>
            </w:r>
          </w:p>
        </w:tc>
        <w:tc>
          <w:tcPr>
            <w:tcW w:w="21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Reimbursement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Instruction</w:t>
            </w:r>
          </w:p>
        </w:tc>
        <w:tc>
          <w:tcPr>
            <w:tcW w:w="1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Withdrawal</w:t>
            </w:r>
          </w:p>
        </w:tc>
        <w:tc>
          <w:tcPr>
            <w:tcW w:w="1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Withdrawn</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Atlantic Security</w:t>
            </w:r>
          </w:p>
        </w:tc>
        <w:tc>
          <w:tcPr>
            <w:tcW w:w="21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Date to BCP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for Cash</w:t>
            </w:r>
          </w:p>
        </w:tc>
        <w:tc>
          <w:tcPr>
            <w:tcW w:w="1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(US$)</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Bank for</w:t>
            </w: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Withdrawal</w:t>
            </w:r>
          </w:p>
        </w:tc>
        <w:tc>
          <w:tcPr>
            <w:tcW w:w="17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Reimbursement to</w:t>
            </w: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BCP</w:t>
            </w:r>
          </w:p>
        </w:tc>
        <w:tc>
          <w:tcPr>
            <w:tcW w:w="2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4</w:t>
            </w:r>
          </w:p>
        </w:tc>
        <w:tc>
          <w:tcPr>
            <w:tcW w:w="182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01/12/2011</w:t>
            </w:r>
          </w:p>
        </w:tc>
        <w:tc>
          <w:tcPr>
            <w:tcW w:w="17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01/12/2011</w:t>
            </w:r>
          </w:p>
        </w:tc>
        <w:tc>
          <w:tcPr>
            <w:tcW w:w="17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350,000</w:t>
            </w:r>
          </w:p>
        </w:tc>
        <w:tc>
          <w:tcPr>
            <w:tcW w:w="21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01/27/2011</w:t>
            </w:r>
          </w:p>
        </w:tc>
        <w:tc>
          <w:tcPr>
            <w:tcW w:w="2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01/28/2011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5</w:t>
            </w:r>
          </w:p>
        </w:tc>
        <w:tc>
          <w:tcPr>
            <w:tcW w:w="1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01/25/2011</w:t>
            </w:r>
          </w:p>
        </w:tc>
        <w:tc>
          <w:tcPr>
            <w:tcW w:w="1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01/26/2011</w:t>
            </w:r>
          </w:p>
        </w:tc>
        <w:tc>
          <w:tcPr>
            <w:tcW w:w="1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100,000</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01/27/2011</w:t>
            </w:r>
          </w:p>
        </w:tc>
        <w:tc>
          <w:tcPr>
            <w:tcW w:w="2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01/28/2011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6</w:t>
            </w:r>
          </w:p>
        </w:tc>
        <w:tc>
          <w:tcPr>
            <w:tcW w:w="182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02/21/2011</w:t>
            </w:r>
          </w:p>
        </w:tc>
        <w:tc>
          <w:tcPr>
            <w:tcW w:w="17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02/23/2011</w:t>
            </w:r>
          </w:p>
        </w:tc>
        <w:tc>
          <w:tcPr>
            <w:tcW w:w="17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250,000</w:t>
            </w:r>
          </w:p>
        </w:tc>
        <w:tc>
          <w:tcPr>
            <w:tcW w:w="21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02/24/2011</w:t>
            </w:r>
          </w:p>
        </w:tc>
        <w:tc>
          <w:tcPr>
            <w:tcW w:w="2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02/25/2011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7</w:t>
            </w:r>
          </w:p>
        </w:tc>
        <w:tc>
          <w:tcPr>
            <w:tcW w:w="1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03/08/2011</w:t>
            </w:r>
          </w:p>
        </w:tc>
        <w:tc>
          <w:tcPr>
            <w:tcW w:w="1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03/09/2011</w:t>
            </w:r>
          </w:p>
        </w:tc>
        <w:tc>
          <w:tcPr>
            <w:tcW w:w="1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100,000</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04/01/2011</w:t>
            </w:r>
          </w:p>
        </w:tc>
        <w:tc>
          <w:tcPr>
            <w:tcW w:w="2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04/04/2011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8</w:t>
            </w:r>
          </w:p>
        </w:tc>
        <w:tc>
          <w:tcPr>
            <w:tcW w:w="182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03/11/2011</w:t>
            </w:r>
          </w:p>
        </w:tc>
        <w:tc>
          <w:tcPr>
            <w:tcW w:w="17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03/14/2011</w:t>
            </w:r>
          </w:p>
        </w:tc>
        <w:tc>
          <w:tcPr>
            <w:tcW w:w="17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200,000</w:t>
            </w:r>
          </w:p>
        </w:tc>
        <w:tc>
          <w:tcPr>
            <w:tcW w:w="21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03/23/2011</w:t>
            </w:r>
          </w:p>
        </w:tc>
        <w:tc>
          <w:tcPr>
            <w:tcW w:w="2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03/28/2011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9</w:t>
            </w:r>
          </w:p>
        </w:tc>
        <w:tc>
          <w:tcPr>
            <w:tcW w:w="1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03/17/2011</w:t>
            </w:r>
          </w:p>
        </w:tc>
        <w:tc>
          <w:tcPr>
            <w:tcW w:w="1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03/17/2011</w:t>
            </w:r>
          </w:p>
        </w:tc>
        <w:tc>
          <w:tcPr>
            <w:tcW w:w="1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250,000</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03/23/2011</w:t>
            </w:r>
          </w:p>
        </w:tc>
        <w:tc>
          <w:tcPr>
            <w:tcW w:w="2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03/28/2011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right w:val="single" w:sz="8" w:color="auto"/>
            </w:tcBorders>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2011</w:t>
            </w:r>
          </w:p>
        </w:tc>
        <w:tc>
          <w:tcPr>
            <w:tcW w:w="8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10</w:t>
            </w:r>
          </w:p>
        </w:tc>
        <w:tc>
          <w:tcPr>
            <w:tcW w:w="182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04/04/2011</w:t>
            </w:r>
          </w:p>
        </w:tc>
        <w:tc>
          <w:tcPr>
            <w:tcW w:w="17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04/06/2011</w:t>
            </w:r>
          </w:p>
        </w:tc>
        <w:tc>
          <w:tcPr>
            <w:tcW w:w="17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200,000</w:t>
            </w:r>
          </w:p>
        </w:tc>
        <w:tc>
          <w:tcPr>
            <w:tcW w:w="21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04/11/2011</w:t>
            </w:r>
          </w:p>
        </w:tc>
        <w:tc>
          <w:tcPr>
            <w:tcW w:w="2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04/13/2011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820" w:type="dxa"/>
            <w:vAlign w:val="bottom"/>
            <w:tcBorders>
              <w:right w:val="single" w:sz="8" w:color="auto"/>
            </w:tcBorders>
            <w:vMerge w:val="continue"/>
            <w:shd w:val="clear" w:color="auto" w:fill="CCEEFF"/>
          </w:tcPr>
          <w:p>
            <w:pPr>
              <w:spacing w:after="0"/>
              <w:rPr>
                <w:sz w:val="7"/>
                <w:szCs w:val="7"/>
                <w:color w:val="auto"/>
              </w:rPr>
            </w:pPr>
          </w:p>
        </w:tc>
        <w:tc>
          <w:tcPr>
            <w:tcW w:w="8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11</w:t>
            </w:r>
          </w:p>
        </w:tc>
        <w:tc>
          <w:tcPr>
            <w:tcW w:w="18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04/13/2011</w:t>
            </w:r>
          </w:p>
        </w:tc>
        <w:tc>
          <w:tcPr>
            <w:tcW w:w="17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04/14/2011</w:t>
            </w:r>
          </w:p>
        </w:tc>
        <w:tc>
          <w:tcPr>
            <w:tcW w:w="1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500,000</w:t>
            </w:r>
          </w:p>
        </w:tc>
        <w:tc>
          <w:tcPr>
            <w:tcW w:w="2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04/18/2011</w:t>
            </w:r>
          </w:p>
        </w:tc>
        <w:tc>
          <w:tcPr>
            <w:tcW w:w="21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04/19/2011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820" w:type="dxa"/>
            <w:vAlign w:val="bottom"/>
            <w:tcBorders>
              <w:bottom w:val="single" w:sz="8" w:color="CCEEFF"/>
              <w:right w:val="single" w:sz="8" w:color="auto"/>
            </w:tcBorders>
            <w:shd w:val="clear" w:color="auto" w:fill="CCEEFF"/>
          </w:tcPr>
          <w:p>
            <w:pPr>
              <w:spacing w:after="0"/>
              <w:rPr>
                <w:sz w:val="9"/>
                <w:szCs w:val="9"/>
                <w:color w:val="auto"/>
              </w:rPr>
            </w:pPr>
          </w:p>
        </w:tc>
        <w:tc>
          <w:tcPr>
            <w:tcW w:w="800" w:type="dxa"/>
            <w:vAlign w:val="bottom"/>
            <w:tcBorders>
              <w:bottom w:val="single" w:sz="8" w:color="auto"/>
              <w:right w:val="single" w:sz="8" w:color="auto"/>
            </w:tcBorders>
            <w:vMerge w:val="continue"/>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2120" w:type="dxa"/>
            <w:vAlign w:val="bottom"/>
            <w:tcBorders>
              <w:bottom w:val="single" w:sz="8" w:color="auto"/>
              <w:right w:val="single" w:sz="8" w:color="auto"/>
            </w:tcBorders>
            <w:vMerge w:val="continue"/>
          </w:tcPr>
          <w:p>
            <w:pPr>
              <w:spacing w:after="0"/>
              <w:rPr>
                <w:sz w:val="9"/>
                <w:szCs w:val="9"/>
                <w:color w:val="auto"/>
              </w:rPr>
            </w:pPr>
          </w:p>
        </w:tc>
        <w:tc>
          <w:tcPr>
            <w:tcW w:w="212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12</w:t>
            </w:r>
          </w:p>
        </w:tc>
        <w:tc>
          <w:tcPr>
            <w:tcW w:w="182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04/28/2011</w:t>
            </w:r>
          </w:p>
        </w:tc>
        <w:tc>
          <w:tcPr>
            <w:tcW w:w="17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04/29/2011</w:t>
            </w:r>
          </w:p>
        </w:tc>
        <w:tc>
          <w:tcPr>
            <w:tcW w:w="17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100,000</w:t>
            </w:r>
          </w:p>
        </w:tc>
        <w:tc>
          <w:tcPr>
            <w:tcW w:w="21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05/16/2011</w:t>
            </w:r>
          </w:p>
        </w:tc>
        <w:tc>
          <w:tcPr>
            <w:tcW w:w="2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05/17/2011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13</w:t>
            </w:r>
          </w:p>
        </w:tc>
        <w:tc>
          <w:tcPr>
            <w:tcW w:w="1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05/04/2011</w:t>
            </w:r>
          </w:p>
        </w:tc>
        <w:tc>
          <w:tcPr>
            <w:tcW w:w="1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05/05/2011</w:t>
            </w:r>
          </w:p>
        </w:tc>
        <w:tc>
          <w:tcPr>
            <w:tcW w:w="1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100,000</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05/16/2011</w:t>
            </w:r>
          </w:p>
        </w:tc>
        <w:tc>
          <w:tcPr>
            <w:tcW w:w="2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05/17/2011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14</w:t>
            </w:r>
          </w:p>
        </w:tc>
        <w:tc>
          <w:tcPr>
            <w:tcW w:w="182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05/09/2011</w:t>
            </w:r>
          </w:p>
        </w:tc>
        <w:tc>
          <w:tcPr>
            <w:tcW w:w="17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05/10/2011</w:t>
            </w:r>
          </w:p>
        </w:tc>
        <w:tc>
          <w:tcPr>
            <w:tcW w:w="17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100,000</w:t>
            </w:r>
          </w:p>
        </w:tc>
        <w:tc>
          <w:tcPr>
            <w:tcW w:w="21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05/16/2011</w:t>
            </w:r>
          </w:p>
        </w:tc>
        <w:tc>
          <w:tcPr>
            <w:tcW w:w="2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05/17/2011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15</w:t>
            </w:r>
          </w:p>
        </w:tc>
        <w:tc>
          <w:tcPr>
            <w:tcW w:w="1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05/18/2011</w:t>
            </w:r>
          </w:p>
        </w:tc>
        <w:tc>
          <w:tcPr>
            <w:tcW w:w="1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05/19/2011</w:t>
            </w:r>
          </w:p>
        </w:tc>
        <w:tc>
          <w:tcPr>
            <w:tcW w:w="1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200,000</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05/27/2011</w:t>
            </w:r>
          </w:p>
        </w:tc>
        <w:tc>
          <w:tcPr>
            <w:tcW w:w="2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05/30/2011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16</w:t>
            </w:r>
          </w:p>
        </w:tc>
        <w:tc>
          <w:tcPr>
            <w:tcW w:w="182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05/20/2011</w:t>
            </w:r>
          </w:p>
        </w:tc>
        <w:tc>
          <w:tcPr>
            <w:tcW w:w="17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05/20/2011</w:t>
            </w:r>
          </w:p>
        </w:tc>
        <w:tc>
          <w:tcPr>
            <w:tcW w:w="17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300,000</w:t>
            </w:r>
          </w:p>
        </w:tc>
        <w:tc>
          <w:tcPr>
            <w:tcW w:w="21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05/27/2011</w:t>
            </w:r>
          </w:p>
        </w:tc>
        <w:tc>
          <w:tcPr>
            <w:tcW w:w="2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05/30/2011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auto"/>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17</w:t>
            </w:r>
          </w:p>
        </w:tc>
        <w:tc>
          <w:tcPr>
            <w:tcW w:w="1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05/20/2011</w:t>
            </w:r>
          </w:p>
        </w:tc>
        <w:tc>
          <w:tcPr>
            <w:tcW w:w="1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05/23/2011</w:t>
            </w:r>
          </w:p>
        </w:tc>
        <w:tc>
          <w:tcPr>
            <w:tcW w:w="1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200,000</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05/27/2011</w:t>
            </w:r>
          </w:p>
        </w:tc>
        <w:tc>
          <w:tcPr>
            <w:tcW w:w="2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05/30/2011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4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disbursements 2011</w:t>
            </w:r>
          </w:p>
        </w:tc>
        <w:tc>
          <w:tcPr>
            <w:tcW w:w="1780" w:type="dxa"/>
            <w:vAlign w:val="bottom"/>
            <w:tcBorders>
              <w:right w:val="single" w:sz="8" w:color="CCEEFF"/>
            </w:tcBorders>
            <w:shd w:val="clear" w:color="auto" w:fill="CCEEFF"/>
          </w:tcPr>
          <w:p>
            <w:pPr>
              <w:spacing w:after="0"/>
              <w:rPr>
                <w:sz w:val="17"/>
                <w:szCs w:val="17"/>
                <w:color w:val="auto"/>
              </w:rPr>
            </w:pPr>
          </w:p>
        </w:tc>
        <w:tc>
          <w:tcPr>
            <w:tcW w:w="17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2,950,000</w:t>
            </w:r>
          </w:p>
        </w:tc>
        <w:tc>
          <w:tcPr>
            <w:tcW w:w="2120" w:type="dxa"/>
            <w:vAlign w:val="bottom"/>
            <w:tcBorders>
              <w:right w:val="single" w:sz="8" w:color="CCEEFF"/>
            </w:tcBorders>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right="20"/>
        <w:spacing w:after="0" w:line="200" w:lineRule="exact"/>
        <w:rPr>
          <w:sz w:val="20"/>
          <w:szCs w:val="20"/>
          <w:color w:val="auto"/>
        </w:rPr>
      </w:pPr>
      <w:r>
        <w:rPr>
          <w:rFonts w:ascii="Times New Roman" w:cs="Times New Roman" w:eastAsia="Times New Roman" w:hAnsi="Times New Roman"/>
          <w:sz w:val="16"/>
          <w:szCs w:val="16"/>
          <w:color w:val="auto"/>
        </w:rPr>
        <w:t>Source: Information provided by the Issuer in response to Official Letter No. 5714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(Case File No. 2019046686), as detailed in the IGSC Report, which forms part of the present case file.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REGARDING THE LEGAL BASIS OF THE DISCLOSURE OBLIGATION</w:t>
      </w:r>
    </w:p>
    <w:p>
      <w:pPr>
        <w:spacing w:after="0" w:line="20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 xml:space="preserve">With respect to the Issuer’s argument that, if the SMV considers that </w:t>
      </w:r>
      <w:r>
        <w:rPr>
          <w:rFonts w:ascii="Times New Roman" w:cs="Times New Roman" w:eastAsia="Times New Roman" w:hAnsi="Times New Roman"/>
          <w:sz w:val="16"/>
          <w:szCs w:val="16"/>
          <w:b w:val="1"/>
          <w:bCs w:val="1"/>
          <w:color w:val="auto"/>
        </w:rPr>
        <w:t>THE 2011 INFORMATION (cash contributions to the political party FUERZA 2011)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2016 AGREEMENT (agreement to make contributions to the political party PERUANOS POR EL KAMBIO) </w:t>
      </w:r>
      <w:r>
        <w:rPr>
          <w:rFonts w:ascii="Times New Roman" w:cs="Times New Roman" w:eastAsia="Times New Roman" w:hAnsi="Times New Roman"/>
          <w:sz w:val="16"/>
          <w:szCs w:val="16"/>
          <w:color w:val="auto"/>
        </w:rPr>
        <w:t>should have been disclosed to the market by the Issuer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that such consideration would imply that the authority understands these facts to be material events and that the Issuer should have complied with Article 28 of the LMV—the following must be stated:</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Article 28 of the LMV provides that: </w:t>
      </w:r>
      <w:r>
        <w:rPr>
          <w:rFonts w:ascii="Times New Roman" w:cs="Times New Roman" w:eastAsia="Times New Roman" w:hAnsi="Times New Roman"/>
          <w:sz w:val="16"/>
          <w:szCs w:val="16"/>
          <w:i w:val="1"/>
          <w:iCs w:val="1"/>
          <w:color w:val="auto"/>
        </w:rPr>
        <w:t>“The registration of a given security or issuance program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entails for its issuer the obligation to report to CONASEV</w:t>
      </w:r>
      <w:r>
        <w:rPr>
          <w:rFonts w:ascii="Times New Roman" w:cs="Times New Roman" w:eastAsia="Times New Roman" w:hAnsi="Times New Roman"/>
          <w:sz w:val="16"/>
          <w:szCs w:val="16"/>
          <w:i w:val="1"/>
          <w:iCs w:val="1"/>
          <w:color w:val="auto"/>
        </w:rPr>
        <w:t>, and, where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applicable, to the relevant exchange or the entity responsible for operating the centralized mechanism, all material events, including ongoing negotiations, concerning itself, the security and any offering thereof, and to disclose such events in a truthful, sufficient and timely manner. The information must be provided to such institutions and disclosed as soon as the event occurs or the issuer becomes aware of it,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212725</wp:posOffset>
            </wp:positionV>
            <wp:extent cx="714629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66" w:name="page67"/>
    <w:bookmarkEnd w:id="66"/>
    <w:p>
      <w:pPr>
        <w:jc w:val="both"/>
        <w:spacing w:after="0" w:line="198" w:lineRule="exact"/>
        <w:rPr>
          <w:sz w:val="20"/>
          <w:szCs w:val="20"/>
          <w:color w:val="auto"/>
        </w:rPr>
      </w:pPr>
      <w:r>
        <w:rPr>
          <w:rFonts w:ascii="Times New Roman" w:cs="Times New Roman" w:eastAsia="Times New Roman" w:hAnsi="Times New Roman"/>
          <w:sz w:val="16"/>
          <w:szCs w:val="16"/>
          <w:color w:val="auto"/>
        </w:rPr>
        <w:t>Consistent with Article 28 of the LMV, Article 7 of the Regulation on Material Events, Confidential Information and Other Communications, approved by CONASEV Resolution No. 107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EF/94.10 (Former Regulation on Material Events), in force at the time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occurred, provides that: </w:t>
      </w:r>
      <w:r>
        <w:rPr>
          <w:rFonts w:ascii="Times New Roman" w:cs="Times New Roman" w:eastAsia="Times New Roman" w:hAnsi="Times New Roman"/>
          <w:sz w:val="16"/>
          <w:szCs w:val="16"/>
          <w:i w:val="1"/>
          <w:iCs w:val="1"/>
          <w:color w:val="auto"/>
        </w:rPr>
        <w:t>“Material events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must be reported as soon as possible through the means established by CONASEV and before being disclosed to any other person or media outlet, and no later than the business day following the adoption of the agreement or decision, or the occurrence of the event or act, as applicable.”</w:t>
      </w:r>
    </w:p>
    <w:p>
      <w:pPr>
        <w:spacing w:after="0" w:line="180" w:lineRule="exact"/>
        <w:rPr>
          <w:sz w:val="20"/>
          <w:szCs w:val="20"/>
          <w:color w:val="auto"/>
        </w:rPr>
      </w:pPr>
    </w:p>
    <w:p>
      <w:pPr>
        <w:jc w:val="both"/>
        <w:ind w:right="20"/>
        <w:spacing w:after="0" w:line="200" w:lineRule="exact"/>
        <w:rPr>
          <w:sz w:val="20"/>
          <w:szCs w:val="20"/>
          <w:color w:val="auto"/>
        </w:rPr>
      </w:pPr>
      <w:r>
        <w:rPr>
          <w:rFonts w:ascii="Times New Roman" w:cs="Times New Roman" w:eastAsia="Times New Roman" w:hAnsi="Times New Roman"/>
          <w:sz w:val="16"/>
          <w:szCs w:val="16"/>
          <w:color w:val="auto"/>
        </w:rPr>
        <w:t>Likewise, consistent with Article 28 of the LMV, numeral 7.1 of Article 7 of the Regulation on Material Events and Confidential Information, approved by SMV Resolution No. 005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SMV/01 (Regulation on Material Events), in force when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occurred, establishes that: </w:t>
      </w:r>
      <w:r>
        <w:rPr>
          <w:rFonts w:ascii="Times New Roman" w:cs="Times New Roman" w:eastAsia="Times New Roman" w:hAnsi="Times New Roman"/>
          <w:sz w:val="16"/>
          <w:szCs w:val="16"/>
          <w:i w:val="1"/>
          <w:iCs w:val="1"/>
          <w:color w:val="auto"/>
        </w:rPr>
        <w:t>“The Issuer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u w:val="single" w:color="auto"/>
          <w:color w:val="auto"/>
        </w:rPr>
        <w:t>must report its material event as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u w:val="single" w:color="auto"/>
          <w:color w:val="auto"/>
        </w:rPr>
        <w:t>soon as such event occurs or the Issuer becomes aware of it</w:t>
      </w:r>
      <w:r>
        <w:rPr>
          <w:rFonts w:ascii="Times New Roman" w:cs="Times New Roman" w:eastAsia="Times New Roman" w:hAnsi="Times New Roman"/>
          <w:sz w:val="16"/>
          <w:szCs w:val="16"/>
          <w:i w:val="1"/>
          <w:iCs w:val="1"/>
          <w:color w:val="auto"/>
        </w:rPr>
        <w:t>, and in no case later than the day on which it occurred or became known (…).”</w:t>
      </w:r>
    </w:p>
    <w:p>
      <w:pPr>
        <w:spacing w:after="0" w:line="17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 xml:space="preserve">Accordingly, it is considered that in compliance with the aforementioned rules, at the time the contribution and the agreement occurred, the Issuer was obligated to report </w:t>
      </w:r>
      <w:r>
        <w:rPr>
          <w:rFonts w:ascii="Times New Roman" w:cs="Times New Roman" w:eastAsia="Times New Roman" w:hAnsi="Times New Roman"/>
          <w:sz w:val="16"/>
          <w:szCs w:val="16"/>
          <w:b w:val="1"/>
          <w:bCs w:val="1"/>
          <w:color w:val="auto"/>
        </w:rPr>
        <w:t xml:space="preserve">THE 2011 INFORMATION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THE 2016 AGREEMENT </w:t>
      </w:r>
      <w:r>
        <w:rPr>
          <w:rFonts w:ascii="Times New Roman" w:cs="Times New Roman" w:eastAsia="Times New Roman" w:hAnsi="Times New Roman"/>
          <w:sz w:val="16"/>
          <w:szCs w:val="16"/>
          <w:color w:val="auto"/>
        </w:rPr>
        <w:t>to the SMV as relevant (material) events. It must be emphasized that material event disclosure rules primarily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protect the transparency of information—ensuring that the market receives relevant information about the Issuer—and also protect immediacy and timeliness in disclosure, among other purposes, to preserve information symmetry (so that the market receives information under equitable and simultaneous conditions). Therefore, it cannot be argued that the Issuer’s conduct—concealing information for more than eight (8) years and more than three (3) years, respectively—constitutes merely a simple violation of timeliness in the disclosure of material events.</w:t>
      </w:r>
    </w:p>
    <w:p>
      <w:pPr>
        <w:spacing w:after="0" w:line="16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In this regard, this is not a scenario involving a simple omission of information disclosure, which is typified under subsection 2.14, numeral 2 of Annex I of the Sanctions Regulation—currently subsection 2.10, numeral 2 of Annex I of the New Sanctions Regulation—as the Issuer argues.</w:t>
      </w:r>
    </w:p>
    <w:p>
      <w:pPr>
        <w:spacing w:after="0" w:line="14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 xml:space="preserve">Regarding the Issuer’s assertion that the Charges Letter repeatedly states that the information was material and therefore should have been disclosed, it is considered that </w:t>
      </w:r>
      <w:r>
        <w:rPr>
          <w:rFonts w:ascii="Times New Roman" w:cs="Times New Roman" w:eastAsia="Times New Roman" w:hAnsi="Times New Roman"/>
          <w:sz w:val="16"/>
          <w:szCs w:val="16"/>
          <w:b w:val="1"/>
          <w:bCs w:val="1"/>
          <w:color w:val="auto"/>
        </w:rPr>
        <w:t xml:space="preserve">THE 2011 INFORMATION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THE 2016 AGREEMENT</w:t>
      </w:r>
      <w:r>
        <w:rPr>
          <w:rFonts w:ascii="Times New Roman" w:cs="Times New Roman" w:eastAsia="Times New Roman" w:hAnsi="Times New Roman"/>
          <w:sz w:val="16"/>
          <w:szCs w:val="16"/>
          <w:color w:val="auto"/>
        </w:rPr>
        <w:t>—based on what has been presented and evidenced in this Resolution—do constitute material or significant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as will be addressed in the relevant section of this Resolution. The Issuer’s counterargument on materiality relies solely on a quantitative perspective based on indicators or quantitative variables that it selectively considers and compares.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Furthermore, regarding the Issuer’s argument that the Charges Letter expressly states that the attributed conduct ceased upon disclosure of the 2011 and 2016 electoral contributions through the material event of November 21, 2019, at the SMV’s request—and that, according to the Issuer, this would imply that the SMV considered the conduct to be a failure to disclose a material event—it must be noted that although the material event of November 21, 2019 allowed the securities market to learn of the previously made contributions, such statement does not imply that the attributed conduct corresponded to the failure to disclose material events. </w:t>
      </w:r>
      <w:r>
        <w:rPr>
          <w:rFonts w:ascii="Times New Roman" w:cs="Times New Roman" w:eastAsia="Times New Roman" w:hAnsi="Times New Roman"/>
          <w:sz w:val="16"/>
          <w:szCs w:val="16"/>
          <w:b w:val="1"/>
          <w:bCs w:val="1"/>
          <w:color w:val="auto"/>
        </w:rPr>
        <w:t>THE 2011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INFORMATION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THE 2016 AGREEMENT </w:t>
      </w:r>
      <w:r>
        <w:rPr>
          <w:rFonts w:ascii="Times New Roman" w:cs="Times New Roman" w:eastAsia="Times New Roman" w:hAnsi="Times New Roman"/>
          <w:sz w:val="16"/>
          <w:szCs w:val="16"/>
          <w:color w:val="auto"/>
        </w:rPr>
        <w:t>were concealed for more than eight (8) and more than three (3) years, respectively—something entirely different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events disclosed belatedly or even late but voluntarily. In contrast, the circumstances in which this information emerged—after several years and only because it could no longer be concealed—within the context of a Public Prosecutor investigation clearly align with the conduct described in the Charges Letter: concealment of relevant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341630</wp:posOffset>
            </wp:positionV>
            <wp:extent cx="714629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7" w:name="page68"/>
    <w:bookmarkEnd w:id="67"/>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 xml:space="preserve">Thus, reiterating once again, the fact that the Charges Letter states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should have been disclosed in a timely manner, and that the conduct ceased with the disclosure of the material event on November 21, 2019, does not imply that the infraction corresponds to the failure to disclose a material event. It corresponds to a very serious infraction, given that the Issuer engaged in conduct of concealing relevant information, characterizing a permanent infraction. Simply stated, the conduct attributed to the Issuer is the concealment of significant information which, even today, continues to produce various effects and consequences that have impacted the Issuer and its three (03) subsidiaries, based on the facts set out in this Resolution.</w:t>
      </w:r>
    </w:p>
    <w:p>
      <w:pPr>
        <w:spacing w:after="0" w:line="127"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Regarding the Issuer’s point that Memorandums Nos. 4365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and 4804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refer expressly to “</w:t>
      </w:r>
      <w:r>
        <w:rPr>
          <w:rFonts w:ascii="Times New Roman" w:cs="Times New Roman" w:eastAsia="Times New Roman" w:hAnsi="Times New Roman"/>
          <w:sz w:val="16"/>
          <w:szCs w:val="16"/>
          <w:i w:val="1"/>
          <w:iCs w:val="1"/>
          <w:color w:val="auto"/>
        </w:rPr>
        <w:t>indications of alleged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compliance in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disclosure of material events by Credicorp</w:t>
      </w:r>
      <w:r>
        <w:rPr>
          <w:rFonts w:ascii="Times New Roman" w:cs="Times New Roman" w:eastAsia="Times New Roman" w:hAnsi="Times New Roman"/>
          <w:sz w:val="16"/>
          <w:szCs w:val="16"/>
          <w:color w:val="auto"/>
        </w:rPr>
        <w:t>,” it must be noted that, as the Issuer acknowledges, these are merely indication reports. The authority responsible for classifying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infractions and determining whether to initiate a sanctioning proceeding is the IGCC, as provided in numeral 1 of Article 49 of the ROF and the second paragraph of Article 9 of the New Sanctions Regulation.</w:t>
      </w:r>
    </w:p>
    <w:p>
      <w:pPr>
        <w:spacing w:after="0" w:line="17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Therefore, in the present case, regardless of the IGSC’s findings, and after assessing the relevant indications, the circumstances of the Issuer’s infractions were weighed, leading to the initiation of the sanctioning procedure for a very serious infraction, as evidenced in the Charges Letter.</w:t>
      </w:r>
    </w:p>
    <w:p>
      <w:pPr>
        <w:spacing w:after="0" w:line="143" w:lineRule="exact"/>
        <w:rPr>
          <w:sz w:val="20"/>
          <w:szCs w:val="20"/>
          <w:color w:val="auto"/>
        </w:rPr>
      </w:pPr>
    </w:p>
    <w:p>
      <w:pPr>
        <w:jc w:val="both"/>
        <w:ind w:right="20"/>
        <w:spacing w:after="0" w:line="198" w:lineRule="exact"/>
        <w:rPr>
          <w:sz w:val="20"/>
          <w:szCs w:val="20"/>
          <w:color w:val="auto"/>
        </w:rPr>
      </w:pPr>
      <w:r>
        <w:rPr>
          <w:rFonts w:ascii="Times New Roman" w:cs="Times New Roman" w:eastAsia="Times New Roman" w:hAnsi="Times New Roman"/>
          <w:sz w:val="16"/>
          <w:szCs w:val="16"/>
          <w:color w:val="auto"/>
        </w:rPr>
        <w:t xml:space="preserve">Regarding the Issuer’s argument that its conduct corresponds to the failure to disclose material events under Article 28 of the LMV and the Regulation on Material Events— and thus constitutes a “serious” infraction, not a “very serious” one—and that, regarding the </w:t>
      </w:r>
      <w:r>
        <w:rPr>
          <w:rFonts w:ascii="Times New Roman" w:cs="Times New Roman" w:eastAsia="Times New Roman" w:hAnsi="Times New Roman"/>
          <w:sz w:val="16"/>
          <w:szCs w:val="16"/>
          <w:b w:val="1"/>
          <w:bCs w:val="1"/>
          <w:color w:val="auto"/>
        </w:rPr>
        <w:t>2011 INFORMATION</w:t>
      </w:r>
      <w:r>
        <w:rPr>
          <w:rFonts w:ascii="Times New Roman" w:cs="Times New Roman" w:eastAsia="Times New Roman" w:hAnsi="Times New Roman"/>
          <w:sz w:val="16"/>
          <w:szCs w:val="16"/>
          <w:color w:val="auto"/>
        </w:rPr>
        <w:t>, prescription would have occurred, it must be emphasized that the infractions attributed are typified in subsection 1.6, numeral 1 of Annex I of the Sanctions Regulation (first charge) and subsection 1.5, numeral 1 of Annex I of the Sanctions Regulation as amended by RSMV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(second charge). As such, being permanent infractions, neither the infraction nor the SMV’s authority to determine its existence has prescribed.</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As stated, the infractions attributed to the Issuer ceased on November 21, 2019, when the IGSC required the Issuer to disclose, on that date and as a material event, the following: (i) the letter by Mr. Romero disseminated via Twitter on November 18, 2019, (ii) the Press Release published on the Issuer’s website on November 18, 2019, (iii) the interview published in </w:t>
      </w:r>
      <w:r>
        <w:rPr>
          <w:rFonts w:ascii="Times New Roman" w:cs="Times New Roman" w:eastAsia="Times New Roman" w:hAnsi="Times New Roman"/>
          <w:sz w:val="16"/>
          <w:szCs w:val="16"/>
          <w:i w:val="1"/>
          <w:iCs w:val="1"/>
          <w:color w:val="auto"/>
        </w:rPr>
        <w:t>El Comercio</w:t>
      </w:r>
      <w:r>
        <w:rPr>
          <w:rFonts w:ascii="Times New Roman" w:cs="Times New Roman" w:eastAsia="Times New Roman" w:hAnsi="Times New Roman"/>
          <w:sz w:val="16"/>
          <w:szCs w:val="16"/>
          <w:color w:val="auto"/>
        </w:rPr>
        <w:t xml:space="preserve"> on November 19, 2019, and (iv) any other relevant information related to or derived from the three preceding documents that may be of interest to investors and potential investors.</w:t>
      </w:r>
    </w:p>
    <w:p>
      <w:pPr>
        <w:spacing w:after="0" w:line="16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Thus, it is considered that the Principle of Legality has not been violated in this proceeding, especially since the SMV has the authority—under the law—to classify infringing conduct of market participants and impose sanctions on those who violate the applicable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201295</wp:posOffset>
            </wp:positionV>
            <wp:extent cx="714629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8" w:name="page69"/>
    <w:bookmarkEnd w:id="68"/>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 xml:space="preserve">Regarding the Issuer’s argument that the Charges Letter identifies Article 10 of the LMV as the breached obligation—and that such article merely establishes an informational principle concerning the quality of information disclosed to the market, whereas, in its view, the breached rule should be Article 28 of the LMV—it must be noted that the Issuer did not disclose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when required, and did so many years later. This constitutes a very serious impairment of the transparency referred to in Article 10 of the LMV—that is, that all information disclosed to the market must be </w:t>
      </w:r>
      <w:r>
        <w:rPr>
          <w:rFonts w:ascii="Times New Roman" w:cs="Times New Roman" w:eastAsia="Times New Roman" w:hAnsi="Times New Roman"/>
          <w:sz w:val="16"/>
          <w:szCs w:val="16"/>
          <w:b w:val="1"/>
          <w:bCs w:val="1"/>
          <w:color w:val="auto"/>
        </w:rPr>
        <w:t>truthful, sufficient, and timely</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 xml:space="preserve">Article 10 of the LMV is a guiding norm whose purpose is to safeguard market transparency (Title II “Market Transparency” of the LMV). Besides being a fundamental principle of the securities market, it also constitutes a duty and an obligation applicable to all market participants. Therefore, based on the facts described—namely, the Issuer’s conduct of concealing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(for more than 8 years)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(for more than 3 years)—it can be validly concluded that these specific acts constitute a violation of the principle of transparency, which is fundamental for the existence and functioning of the securities market.</w:t>
      </w:r>
    </w:p>
    <w:p>
      <w:pPr>
        <w:spacing w:after="0" w:line="160" w:lineRule="exact"/>
        <w:rPr>
          <w:sz w:val="20"/>
          <w:szCs w:val="20"/>
          <w:color w:val="auto"/>
        </w:rPr>
      </w:pPr>
    </w:p>
    <w:p>
      <w:pPr>
        <w:jc w:val="both"/>
        <w:ind w:right="20"/>
        <w:spacing w:after="0" w:line="203" w:lineRule="exact"/>
        <w:rPr>
          <w:sz w:val="20"/>
          <w:szCs w:val="20"/>
          <w:color w:val="auto"/>
        </w:rPr>
      </w:pPr>
      <w:r>
        <w:rPr>
          <w:rFonts w:ascii="Times New Roman" w:cs="Times New Roman" w:eastAsia="Times New Roman" w:hAnsi="Times New Roman"/>
          <w:sz w:val="16"/>
          <w:szCs w:val="16"/>
          <w:color w:val="auto"/>
        </w:rPr>
        <w:t>Moreover, Article 10 of the LMV—based on the principle of legality—establishes the minimum standard for information disclosed to the market (“</w:t>
      </w:r>
      <w:r>
        <w:rPr>
          <w:rFonts w:ascii="Times New Roman" w:cs="Times New Roman" w:eastAsia="Times New Roman" w:hAnsi="Times New Roman"/>
          <w:sz w:val="16"/>
          <w:szCs w:val="16"/>
          <w:b w:val="1"/>
          <w:bCs w:val="1"/>
          <w:color w:val="auto"/>
        </w:rPr>
        <w:t>truthful, sufficient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timely</w:t>
      </w:r>
      <w:r>
        <w:rPr>
          <w:rFonts w:ascii="Times New Roman" w:cs="Times New Roman" w:eastAsia="Times New Roman" w:hAnsi="Times New Roman"/>
          <w:sz w:val="16"/>
          <w:szCs w:val="16"/>
          <w:color w:val="auto"/>
        </w:rPr>
        <w:t>”).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necessarily impacts the classification of the infraction: if concealing relevant market information were treated as a mere omission, it would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encourage market participants to deliberately conceal relevant information, regardless of whether it may affect the market. Thus, consistent with the Principle of Specificity, violation of Article 10 of the LMV is appropriately classified under subsection 1.6, numeral 1 of Annex I of the Sanctions Regulation, and subsection 1.5, numeral 1 of Annex I of the Sanctions Regulation as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Accordingly, the concealment of relevant information in the securities market—as occurred in this case for more than eight (8) and more than three (3) years—cannot be considered a simple “nondisclosure” or omission and therefore cannot be classified under subsection 2.14, numeral 2 of Annex I of the Sanctions Regulation. If, hypothetically, this were accepted, it would pose a serious threat to market transparency and investor protection, since it would create a perverse incentive for potential offenders to deliberately conceal information: they might conclude that it is more advantageous to hide information than disclose it, since, if detected, they would only face a “serious” infraction with a fine of up to 50 UIT. From a supervisory standpoint, such a result is neither reasonable nor legally sound. Accepting the Issuer’s simplistic argument—that all undisclosed or concealed information should automatically be sanctioned under the “failure to disclose material events” category—would effectively encourage issuers to hide relevant information, undermining the very essence of the securities market. Such a reductionist argument lacks legal basis and contradicts basic logic and common sense.</w:t>
      </w:r>
    </w:p>
    <w:p>
      <w:pPr>
        <w:spacing w:after="0" w:line="36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Regardless of the fact that, legally, the infraction type applied in the Charges Letter is the correct one, it is additionally necessary to send the proper signals to the market: concealment of relevant information will lead to the most severe consequences legally possible, including the most stringent administrative measures and the highest sanctions permitted under the law. The supervisor must act with the utmost rigor to deter and penalize conduct that harms market transparency, investor protection, confidence and integrity in the market, regulatory compliance, and the supervisory mission of the SMV.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213360</wp:posOffset>
            </wp:positionV>
            <wp:extent cx="7146290"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9" w:name="page70"/>
    <w:bookmarkEnd w:id="69"/>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In conclusion, subsection 2.14, numeral 2 of Annex I of the Sanctions Regulation—which the Issuer argues should have been applied—</w:t>
      </w:r>
      <w:r>
        <w:rPr>
          <w:rFonts w:ascii="Times New Roman" w:cs="Times New Roman" w:eastAsia="Times New Roman" w:hAnsi="Times New Roman"/>
          <w:sz w:val="16"/>
          <w:szCs w:val="16"/>
          <w:b w:val="1"/>
          <w:bCs w:val="1"/>
          <w:u w:val="single" w:color="auto"/>
          <w:color w:val="auto"/>
        </w:rPr>
        <w:t>does not correspond to the Issuer’s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conduct or to the infraction committed</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jc w:val="both"/>
        <w:ind w:right="20"/>
        <w:spacing w:after="0" w:line="221" w:lineRule="exact"/>
        <w:rPr>
          <w:sz w:val="20"/>
          <w:szCs w:val="20"/>
          <w:color w:val="auto"/>
        </w:rPr>
      </w:pPr>
      <w:r>
        <w:rPr>
          <w:rFonts w:ascii="Times New Roman" w:cs="Times New Roman" w:eastAsia="Times New Roman" w:hAnsi="Times New Roman"/>
          <w:sz w:val="16"/>
          <w:szCs w:val="16"/>
          <w:color w:val="auto"/>
        </w:rPr>
        <w:t>Finally, since the Issuer repeatedly reiterates this argument throughout its defenses, this Resolution provides evidence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grounds rejecting the Issuer’s claims, and the conclusion stated in the preceding paragraph is reaffirmed.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THE ALLEGED INTENT TO CONCEAL DOES NOT CHANGE THE INFRACTION</w:t>
      </w:r>
    </w:p>
    <w:p>
      <w:pPr>
        <w:spacing w:after="0" w:line="20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 xml:space="preserve">According to the analysis repeatedly conducted regarding the charges formulated and the defenses presented by the Issuer, it has been demonstrated that the Issuer intended to conceal for years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(contribution to the political party FUERZA 2011)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(agreement to contribute to the political party PERUANOS POR EL KAMBIO) and, consequently, it has been shown that the Issuer deliberately decided to conceal such information relevant to the market and that this concealment affected the transparency of the securities market.</w:t>
      </w:r>
    </w:p>
    <w:p>
      <w:pPr>
        <w:spacing w:after="0" w:line="1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Regarding the Issuer’s position that “</w:t>
      </w:r>
      <w:r>
        <w:rPr>
          <w:rFonts w:ascii="Times New Roman" w:cs="Times New Roman" w:eastAsia="Times New Roman" w:hAnsi="Times New Roman"/>
          <w:sz w:val="16"/>
          <w:szCs w:val="16"/>
          <w:i w:val="1"/>
          <w:iCs w:val="1"/>
          <w:color w:val="auto"/>
        </w:rPr>
        <w:t>We have demonstrated that Credicorp did not intend to conceal relevant information. However, even assuming, for the sake of argument,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that such intent existed, this intentional element does not justify a change in the classification. At most, it could be relevant as a criterion in the determination of the sanction</w:t>
      </w:r>
      <w:r>
        <w:rPr>
          <w:rFonts w:ascii="Times New Roman" w:cs="Times New Roman" w:eastAsia="Times New Roman" w:hAnsi="Times New Roman"/>
          <w:sz w:val="16"/>
          <w:szCs w:val="16"/>
          <w:color w:val="auto"/>
        </w:rPr>
        <w:t>,” it is necessary to clarify the following:</w:t>
      </w:r>
    </w:p>
    <w:p>
      <w:pPr>
        <w:spacing w:after="0" w:line="15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 xml:space="preserve">This argument lacks foundation because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constitute relevant information for the market, since, independently of the impact on market transparency, the Issuer’s investors could have been affected insofar as they should have known at the time that the Issuer had decided to financially support a political ticket during the 2011 and 2016 presidential campaigns, and, if applicable, make an investment decision accordingly. Such evaluation could not occur because the Issuer decided to keep the information secret for more than eight (8) years and more than three (3) years, and it was revealed only when compelled by prosecutorial investigations.</w:t>
      </w:r>
    </w:p>
    <w:p>
      <w:pPr>
        <w:spacing w:after="0" w:line="163" w:lineRule="exact"/>
        <w:rPr>
          <w:sz w:val="20"/>
          <w:szCs w:val="20"/>
          <w:color w:val="auto"/>
        </w:rPr>
      </w:pPr>
    </w:p>
    <w:p>
      <w:pPr>
        <w:jc w:val="both"/>
        <w:ind w:right="20"/>
        <w:spacing w:after="0" w:line="208" w:lineRule="exact"/>
        <w:rPr>
          <w:sz w:val="20"/>
          <w:szCs w:val="20"/>
          <w:color w:val="auto"/>
        </w:rPr>
      </w:pPr>
      <w:r>
        <w:rPr>
          <w:rFonts w:ascii="Times New Roman" w:cs="Times New Roman" w:eastAsia="Times New Roman" w:hAnsi="Times New Roman"/>
          <w:sz w:val="16"/>
          <w:szCs w:val="16"/>
          <w:color w:val="auto"/>
        </w:rPr>
        <w:t>In this regard, the intent to conceal or cover up the information does affect the definition of the applicable infraction type, because this is a conduct of intentional character that was kept secret for several years. Therefore, it is reiterated that the infraction types applied to the Issuer are those established in subsection 1.6, numeral 1 of Annex I of the Sanctions Regulation and subsection 1.5, numeral 1 of Annex I of the Sanctions Regulation as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w:t>
      </w:r>
    </w:p>
    <w:p>
      <w:pPr>
        <w:spacing w:after="0" w:line="15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 xml:space="preserve">Furthermore, in the infraction related to the concealment of information relevant to the market, </w:t>
      </w:r>
      <w:r>
        <w:rPr>
          <w:rFonts w:ascii="Times New Roman" w:cs="Times New Roman" w:eastAsia="Times New Roman" w:hAnsi="Times New Roman"/>
          <w:sz w:val="16"/>
          <w:szCs w:val="16"/>
          <w:b w:val="1"/>
          <w:bCs w:val="1"/>
          <w:u w:val="single" w:color="auto"/>
          <w:color w:val="auto"/>
        </w:rPr>
        <w:t>intentionality is part of the infraction type</w:t>
      </w:r>
      <w:r>
        <w:rPr>
          <w:rFonts w:ascii="Times New Roman" w:cs="Times New Roman" w:eastAsia="Times New Roman" w:hAnsi="Times New Roman"/>
          <w:sz w:val="16"/>
          <w:szCs w:val="16"/>
          <w:color w:val="auto"/>
        </w:rPr>
        <w:t xml:space="preserve"> (subjective element of the type); therefore, it is unfounded to argue that intent does not change the infraction of failing to disclose material events of significant relevance. As previously stated, the conduct attributed to the Issuer consists of having concealed significant information which, since being made public, has generated visible effects and impacts on the Issuer and its three (03) subsidiaries.</w:t>
      </w:r>
    </w:p>
    <w:p>
      <w:pPr>
        <w:spacing w:after="0" w:line="161" w:lineRule="exact"/>
        <w:rPr>
          <w:sz w:val="20"/>
          <w:szCs w:val="20"/>
          <w:color w:val="auto"/>
        </w:rPr>
      </w:pPr>
    </w:p>
    <w:p>
      <w:pPr>
        <w:jc w:val="both"/>
        <w:spacing w:after="0" w:line="200" w:lineRule="exact"/>
        <w:rPr>
          <w:sz w:val="20"/>
          <w:szCs w:val="20"/>
          <w:color w:val="auto"/>
        </w:rPr>
      </w:pPr>
      <w:r>
        <w:rPr>
          <w:rFonts w:ascii="Times New Roman" w:cs="Times New Roman" w:eastAsia="Times New Roman" w:hAnsi="Times New Roman"/>
          <w:sz w:val="16"/>
          <w:szCs w:val="16"/>
          <w:color w:val="auto"/>
        </w:rPr>
        <w:t>Therefore, it must be reiterated that the classification of the charge under subsection 1.6, numeral 1 of the Sanctions Regulation and subsection 1.5, numeral 1 of Annex I of the Sanctions Regulation as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corresponds precisely to concealment conduct, understood as a manifestly intentional, permanent infraction.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224155</wp:posOffset>
            </wp:positionV>
            <wp:extent cx="714629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0" w:name="page71"/>
    <w:bookmarkEnd w:id="70"/>
    <w:p>
      <w:pPr>
        <w:jc w:val="both"/>
        <w:ind w:left="3" w:right="20"/>
        <w:spacing w:after="0" w:line="261" w:lineRule="auto"/>
        <w:rPr>
          <w:sz w:val="20"/>
          <w:szCs w:val="20"/>
          <w:color w:val="auto"/>
        </w:rPr>
      </w:pPr>
      <w:r>
        <w:rPr>
          <w:rFonts w:ascii="Times New Roman" w:cs="Times New Roman" w:eastAsia="Times New Roman" w:hAnsi="Times New Roman"/>
          <w:sz w:val="16"/>
          <w:szCs w:val="16"/>
          <w:color w:val="auto"/>
        </w:rPr>
        <w:t>Likewise, since the Issuer reiterates it, it must again be emphasized that subsection 2.14, numeral 2 of Annex I of the Sanctions Regulation—currently subsection 2.10, numeral 2 of Annex I of the New Sanctions Regulation—refers to an action of failing to disclose a material event, in which no intentional or volitional element is present. Therefore, concealment of significant information in the securities market for more than eight (8) years and more than three (3) years cannot and must not be considered a simple omission in the submission of information—an omission that would be more consistent with lack of diligence or inadvertent error, not with a deliberate decision to keep information secret.</w:t>
      </w:r>
    </w:p>
    <w:p>
      <w:pPr>
        <w:spacing w:after="0" w:line="165"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Regarding the Issuer’s argument that failing to disclose relevant information that affected market transparency does not turn the alleged infraction into another infraction type, the following must be stated:</w:t>
      </w:r>
    </w:p>
    <w:p>
      <w:pPr>
        <w:spacing w:after="0" w:line="107" w:lineRule="exact"/>
        <w:rPr>
          <w:sz w:val="20"/>
          <w:szCs w:val="20"/>
          <w:color w:val="auto"/>
        </w:rPr>
      </w:pPr>
    </w:p>
    <w:p>
      <w:pPr>
        <w:jc w:val="both"/>
        <w:ind w:left="3"/>
        <w:spacing w:after="0" w:line="232" w:lineRule="exact"/>
        <w:rPr>
          <w:sz w:val="20"/>
          <w:szCs w:val="20"/>
          <w:color w:val="auto"/>
        </w:rPr>
      </w:pPr>
      <w:r>
        <w:rPr>
          <w:rFonts w:ascii="Times New Roman" w:cs="Times New Roman" w:eastAsia="Times New Roman" w:hAnsi="Times New Roman"/>
          <w:sz w:val="16"/>
          <w:szCs w:val="16"/>
          <w:color w:val="auto"/>
        </w:rPr>
        <w:t>Market transparency is understood in doctrine as “</w:t>
      </w:r>
      <w:r>
        <w:rPr>
          <w:rFonts w:ascii="Times New Roman" w:cs="Times New Roman" w:eastAsia="Times New Roman" w:hAnsi="Times New Roman"/>
          <w:sz w:val="16"/>
          <w:szCs w:val="16"/>
          <w:i w:val="1"/>
          <w:iCs w:val="1"/>
          <w:color w:val="auto"/>
        </w:rPr>
        <w:t>the market’s ability to generate and disseminate information on prices and quantities. Sound decision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making requires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investors to have access to all information necessary to select the investment that best suits their interests. It is also evident that access to such information must be as rapid as possible and under equal conditions for all participants. Therefore, high market transparency enables investors to know at all times the situation of the market and, more specifically, the situation of each security admitted to trading (…) When determining the level of transparency of a market, we must consider issues such as the degree of access to market information; the immediacy of information; the degree of aggregation of information (…).</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41</w:t>
      </w:r>
    </w:p>
    <w:p>
      <w:pPr>
        <w:spacing w:after="0" w:line="46" w:lineRule="exact"/>
        <w:rPr>
          <w:sz w:val="20"/>
          <w:szCs w:val="20"/>
          <w:color w:val="auto"/>
        </w:rPr>
      </w:pPr>
    </w:p>
    <w:p>
      <w:pPr>
        <w:jc w:val="both"/>
        <w:ind w:left="3"/>
        <w:spacing w:after="0" w:line="261" w:lineRule="auto"/>
        <w:rPr>
          <w:sz w:val="20"/>
          <w:szCs w:val="20"/>
          <w:color w:val="auto"/>
        </w:rPr>
      </w:pPr>
      <w:r>
        <w:rPr>
          <w:rFonts w:ascii="Times New Roman" w:cs="Times New Roman" w:eastAsia="Times New Roman" w:hAnsi="Times New Roman"/>
          <w:sz w:val="16"/>
          <w:szCs w:val="16"/>
          <w:color w:val="auto"/>
        </w:rPr>
        <w:t xml:space="preserve">Thus, Article 10 of the LMV—which governs information quality—has a purpose, a guarantee, a function: that the securities market operates with information and transparency, which is its very essence. The securities market cannot exist without information. It cannot be accepted that a market participant (the issuer) intentionally decides not to disclose, to withhold, or to conceal information from those who have a legitimate interest in knowing it: the shareholders who own the issuer, other issuers with similar obligations who may imitate such conduct, and the supervisor who must ensure compliance with disclosure obligations. Additionally, information disclosed to the market must be </w:t>
      </w:r>
      <w:r>
        <w:rPr>
          <w:rFonts w:ascii="Times New Roman" w:cs="Times New Roman" w:eastAsia="Times New Roman" w:hAnsi="Times New Roman"/>
          <w:sz w:val="16"/>
          <w:szCs w:val="16"/>
          <w:b w:val="1"/>
          <w:bCs w:val="1"/>
          <w:color w:val="auto"/>
        </w:rPr>
        <w:t>truthful, sufficient and timely</w:t>
      </w:r>
      <w:r>
        <w:rPr>
          <w:rFonts w:ascii="Times New Roman" w:cs="Times New Roman" w:eastAsia="Times New Roman" w:hAnsi="Times New Roman"/>
          <w:sz w:val="16"/>
          <w:szCs w:val="16"/>
          <w:color w:val="auto"/>
        </w:rPr>
        <w:t>, so that investors receive similar information within the same time horizon.</w:t>
      </w:r>
    </w:p>
    <w:p>
      <w:pPr>
        <w:spacing w:after="0" w:line="165" w:lineRule="exact"/>
        <w:rPr>
          <w:sz w:val="20"/>
          <w:szCs w:val="20"/>
          <w:color w:val="auto"/>
        </w:rPr>
      </w:pPr>
    </w:p>
    <w:p>
      <w:pPr>
        <w:jc w:val="both"/>
        <w:ind w:left="3" w:right="20"/>
        <w:spacing w:after="0" w:line="264" w:lineRule="auto"/>
        <w:rPr>
          <w:sz w:val="20"/>
          <w:szCs w:val="20"/>
          <w:color w:val="auto"/>
        </w:rPr>
      </w:pPr>
      <w:r>
        <w:rPr>
          <w:rFonts w:ascii="Times New Roman" w:cs="Times New Roman" w:eastAsia="Times New Roman" w:hAnsi="Times New Roman"/>
          <w:sz w:val="16"/>
          <w:szCs w:val="16"/>
          <w:color w:val="auto"/>
        </w:rPr>
        <w:t xml:space="preserve">Therefore, as doctrine and securities regulation recognize, transparency is the legally protected interest, and its impairment can arise from different typified behaviors. In this case, the infraction types charged—unlike the one invoked by the Issuer—seek to protect the legal interest of market transparency, with the differentiating factor being the conduct of concealment, which has been demonstrated. </w:t>
      </w:r>
      <w:r>
        <w:rPr>
          <w:rFonts w:ascii="Times New Roman" w:cs="Times New Roman" w:eastAsia="Times New Roman" w:hAnsi="Times New Roman"/>
          <w:sz w:val="16"/>
          <w:szCs w:val="16"/>
          <w:u w:val="single" w:color="auto"/>
          <w:color w:val="auto"/>
        </w:rPr>
        <w:t>Here, the Issuer’s conduct is not a mere omission in the disclosure of a material event; it constitutes a deliberate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conduct aimed at keeping secret relevant information that should have been disclosed to the market</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left="3" w:right="20"/>
        <w:spacing w:after="0" w:line="271" w:lineRule="auto"/>
        <w:rPr>
          <w:sz w:val="20"/>
          <w:szCs w:val="20"/>
          <w:color w:val="auto"/>
        </w:rPr>
      </w:pPr>
      <w:r>
        <w:rPr>
          <w:rFonts w:ascii="Times New Roman" w:cs="Times New Roman" w:eastAsia="Times New Roman" w:hAnsi="Times New Roman"/>
          <w:sz w:val="16"/>
          <w:szCs w:val="16"/>
          <w:color w:val="auto"/>
        </w:rPr>
        <w:t>The Issuer argues that “</w:t>
      </w:r>
      <w:r>
        <w:rPr>
          <w:rFonts w:ascii="Times New Roman" w:cs="Times New Roman" w:eastAsia="Times New Roman" w:hAnsi="Times New Roman"/>
          <w:sz w:val="16"/>
          <w:szCs w:val="16"/>
          <w:i w:val="1"/>
          <w:iCs w:val="1"/>
          <w:color w:val="auto"/>
        </w:rPr>
        <w:t>mandatory disclosure</w:t>
      </w:r>
      <w:r>
        <w:rPr>
          <w:rFonts w:ascii="Times New Roman" w:cs="Times New Roman" w:eastAsia="Times New Roman" w:hAnsi="Times New Roman"/>
          <w:sz w:val="16"/>
          <w:szCs w:val="16"/>
          <w:color w:val="auto"/>
        </w:rPr>
        <w:t xml:space="preserve">” is one of the most important mechanisms to achieve market transparency. We agree with the Issuer in this regard; however, applying mandatory disclosure means the Issuer should have complied with this obligation when it made the contributions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and when the Executive Committee adopted the agreement to make contributions to </w:t>
      </w:r>
      <w:r>
        <w:rPr>
          <w:rFonts w:ascii="Times New Roman" w:cs="Times New Roman" w:eastAsia="Times New Roman" w:hAnsi="Times New Roman"/>
          <w:sz w:val="16"/>
          <w:szCs w:val="16"/>
          <w:b w:val="1"/>
          <w:bCs w:val="1"/>
          <w:color w:val="auto"/>
        </w:rPr>
        <w:t>PERUANOS POR EL KAMBIO.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78816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316" w:lineRule="exact"/>
        <w:rPr>
          <w:sz w:val="20"/>
          <w:szCs w:val="20"/>
          <w:color w:val="auto"/>
        </w:rPr>
      </w:pPr>
    </w:p>
    <w:p>
      <w:pPr>
        <w:ind w:left="3" w:right="20" w:hanging="3"/>
        <w:spacing w:after="0" w:line="197" w:lineRule="auto"/>
        <w:tabs>
          <w:tab w:leader="none" w:pos="184" w:val="left"/>
        </w:tabs>
        <w:numPr>
          <w:ilvl w:val="0"/>
          <w:numId w:val="9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PÉREZ CARBALLO, Alfonso. </w:t>
      </w:r>
      <w:r>
        <w:rPr>
          <w:rFonts w:ascii="Times New Roman" w:cs="Times New Roman" w:eastAsia="Times New Roman" w:hAnsi="Times New Roman"/>
          <w:sz w:val="16"/>
          <w:szCs w:val="16"/>
          <w:i w:val="1"/>
          <w:iCs w:val="1"/>
          <w:color w:val="auto"/>
        </w:rPr>
        <w:t>“La protección de los inversores y la transparencia” En “El Espacio Financiero Único en la Unión Europea”. Marcial Pons, Ediciones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Jurídicas y Sociales S.A. Madrid</w:t>
      </w:r>
      <w:r>
        <w:rPr>
          <w:rFonts w:ascii="Times New Roman" w:cs="Times New Roman" w:eastAsia="Times New Roman" w:hAnsi="Times New Roman"/>
          <w:sz w:val="16"/>
          <w:szCs w:val="16"/>
          <w:color w:val="auto"/>
        </w:rPr>
        <w:t>, 2005, p. 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71" w:name="page72"/>
    <w:bookmarkEnd w:id="71"/>
    <w:p>
      <w:pPr>
        <w:jc w:val="both"/>
        <w:ind w:right="20"/>
        <w:spacing w:after="0" w:line="208" w:lineRule="exact"/>
        <w:rPr>
          <w:sz w:val="20"/>
          <w:szCs w:val="20"/>
          <w:color w:val="auto"/>
        </w:rPr>
      </w:pPr>
      <w:r>
        <w:rPr>
          <w:rFonts w:ascii="Times New Roman" w:cs="Times New Roman" w:eastAsia="Times New Roman" w:hAnsi="Times New Roman"/>
          <w:sz w:val="16"/>
          <w:szCs w:val="16"/>
          <w:color w:val="auto"/>
        </w:rPr>
        <w:t>The Issuer argues that in previous cases involving failure to disclose highly relevant information—even intentional—the SMV did not attempt to create a new infraction type but applied the “</w:t>
      </w:r>
      <w:r>
        <w:rPr>
          <w:rFonts w:ascii="Times New Roman" w:cs="Times New Roman" w:eastAsia="Times New Roman" w:hAnsi="Times New Roman"/>
          <w:sz w:val="16"/>
          <w:szCs w:val="16"/>
          <w:i w:val="1"/>
          <w:iCs w:val="1"/>
          <w:color w:val="auto"/>
        </w:rPr>
        <w:t>failure to disclose material events of significant impact</w:t>
      </w:r>
      <w:r>
        <w:rPr>
          <w:rFonts w:ascii="Times New Roman" w:cs="Times New Roman" w:eastAsia="Times New Roman" w:hAnsi="Times New Roman"/>
          <w:sz w:val="16"/>
          <w:szCs w:val="16"/>
          <w:color w:val="auto"/>
        </w:rPr>
        <w:t>” infraction, and that intent is only relevant for sanction determination. It cites SMV Deputy Superintendency Resolutions Nos. 033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062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and 056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MV/11.</w:t>
      </w:r>
    </w:p>
    <w:p>
      <w:pPr>
        <w:spacing w:after="0" w:line="152" w:lineRule="exact"/>
        <w:rPr>
          <w:sz w:val="20"/>
          <w:szCs w:val="20"/>
          <w:color w:val="auto"/>
        </w:rPr>
      </w:pPr>
    </w:p>
    <w:p>
      <w:pPr>
        <w:jc w:val="both"/>
        <w:ind w:right="20"/>
        <w:spacing w:after="0" w:line="203" w:lineRule="exact"/>
        <w:rPr>
          <w:sz w:val="20"/>
          <w:szCs w:val="20"/>
          <w:color w:val="auto"/>
        </w:rPr>
      </w:pPr>
      <w:r>
        <w:rPr>
          <w:rFonts w:ascii="Times New Roman" w:cs="Times New Roman" w:eastAsia="Times New Roman" w:hAnsi="Times New Roman"/>
          <w:sz w:val="16"/>
          <w:szCs w:val="16"/>
          <w:color w:val="auto"/>
        </w:rPr>
        <w:t>However, the circumstances in those cases are different. The conduct in those resolutions corresponds to the infraction “</w:t>
      </w:r>
      <w:r>
        <w:rPr>
          <w:rFonts w:ascii="Times New Roman" w:cs="Times New Roman" w:eastAsia="Times New Roman" w:hAnsi="Times New Roman"/>
          <w:sz w:val="16"/>
          <w:szCs w:val="16"/>
          <w:i w:val="1"/>
          <w:iCs w:val="1"/>
          <w:color w:val="auto"/>
        </w:rPr>
        <w:t>failure to disclose material events of significant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impact</w:t>
      </w:r>
      <w:r>
        <w:rPr>
          <w:rFonts w:ascii="Times New Roman" w:cs="Times New Roman" w:eastAsia="Times New Roman" w:hAnsi="Times New Roman"/>
          <w:sz w:val="16"/>
          <w:szCs w:val="16"/>
          <w:color w:val="auto"/>
        </w:rPr>
        <w:t>,” under subsection 2.14, numeral 2 of Annex I of the Sanctions Regulation. These were different facts occurring under different conditions. In contrast, the Issuer’s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conduct consists of the concealment of relevant information, typified under subsection 1.6, numeral 1 of Annex I of the Sanctions Regulation: “</w:t>
      </w:r>
      <w:r>
        <w:rPr>
          <w:rFonts w:ascii="Times New Roman" w:cs="Times New Roman" w:eastAsia="Times New Roman" w:hAnsi="Times New Roman"/>
          <w:sz w:val="16"/>
          <w:szCs w:val="16"/>
          <w:i w:val="1"/>
          <w:iCs w:val="1"/>
          <w:color w:val="auto"/>
        </w:rPr>
        <w:t>Engaging in conduct that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undermines market transparency.</w:t>
      </w:r>
      <w:r>
        <w:rPr>
          <w:rFonts w:ascii="Times New Roman" w:cs="Times New Roman" w:eastAsia="Times New Roman" w:hAnsi="Times New Roman"/>
          <w:sz w:val="16"/>
          <w:szCs w:val="16"/>
          <w:color w:val="auto"/>
        </w:rPr>
        <w:t>” The distinction lies in that the infraction attributed to the Issuer involves concealment of relevant information, where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intentionality is part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of the infraction type</w:t>
      </w:r>
      <w:r>
        <w:rPr>
          <w:rFonts w:ascii="Times New Roman" w:cs="Times New Roman" w:eastAsia="Times New Roman" w:hAnsi="Times New Roman"/>
          <w:sz w:val="16"/>
          <w:szCs w:val="16"/>
          <w:color w:val="auto"/>
        </w:rPr>
        <w:t xml:space="preserve"> (subjective element), unlike the omitted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disclosure infraction—which generally reflects negligence.</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Nevertheless, different circumstances and fact patterns can arise. For example, the omission of disclosure may also involve intentionality when, for instance, the SMV detects information that must be disclosed, requests its disclosure, and the issuer refuses—even requiring the SMV to publish the information itself. In such a case, the nondisclosure infraction becomes intentional.</w:t>
      </w:r>
    </w:p>
    <w:p>
      <w:pPr>
        <w:spacing w:after="0" w:line="156" w:lineRule="exact"/>
        <w:rPr>
          <w:sz w:val="20"/>
          <w:szCs w:val="20"/>
          <w:color w:val="auto"/>
        </w:rPr>
      </w:pPr>
    </w:p>
    <w:p>
      <w:pPr>
        <w:jc w:val="both"/>
        <w:ind w:right="20"/>
        <w:spacing w:after="0" w:line="208" w:lineRule="exact"/>
        <w:rPr>
          <w:sz w:val="20"/>
          <w:szCs w:val="20"/>
          <w:color w:val="auto"/>
        </w:rPr>
      </w:pPr>
      <w:r>
        <w:rPr>
          <w:rFonts w:ascii="Times New Roman" w:cs="Times New Roman" w:eastAsia="Times New Roman" w:hAnsi="Times New Roman"/>
          <w:sz w:val="16"/>
          <w:szCs w:val="16"/>
          <w:color w:val="auto"/>
        </w:rPr>
        <w:t>Moreover, as previously noted, subsection 2.14 of numeral 2 of Annex I of the Sanctions Regulation (now subsection 2.10 of the New Sanctions Regulation) applies to omissions occurring within a short or immediate timeframe, because timeliness is inherent to material event disclosure. However, concealing information intentionally for more than eight (8) and three (3) years does not fit the omission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disclosure infraction.</w:t>
      </w:r>
    </w:p>
    <w:p>
      <w:pPr>
        <w:spacing w:after="0" w:line="1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Thus, from the perspective of typification, the infraction set forth in subsection 1.6, numeral 1 of Annex I of the Sanctions Regulation has a close relationship with the Issuer’s conduct of intentionally concealing relevant information—information whose subsequent disclosure has produced effects and impacts on the Issuer and its subsidiaries.</w:t>
      </w:r>
    </w:p>
    <w:p>
      <w:pPr>
        <w:spacing w:after="0" w:line="34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This infraction is intimately linked with the legally protected interest at the core of Article 10 of the LMV: the transparency of the securities market. Infraction of the latter can be sanctioned in application of the infraction type set forth in subsection 1.6, numeral 1 of Annex I of the Sanctions Regulation. In other words, there is a concrete act that falls squarely within this infraction type, whose purpose is to safeguard the transparency of the securities market.</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Finally, regarding the Issuer’s argument that the SMV applied a generic infraction type with a higher sanction and that this violates due administrative procedure, this argument is refuted in this Resolution. It must be reiterated that no generic infraction has been applied; rather, the infraction type used is the one that corresponds to and fits the Issuer’s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4629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2" w:name="page73"/>
    <w:bookmarkEnd w:id="72"/>
    <w:p>
      <w:pPr>
        <w:ind w:left="3" w:right="2880" w:hanging="3"/>
        <w:spacing w:after="0" w:line="508" w:lineRule="auto"/>
        <w:tabs>
          <w:tab w:leader="none" w:pos="165"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REGARDING THE ALLEGED VIOLATION OF THE PRINCIPLES OF ADMINISTRATIVE SANCTIONING LAW Principle of Specificity and Principle of Legality</w:t>
      </w:r>
    </w:p>
    <w:p>
      <w:pPr>
        <w:jc w:val="both"/>
        <w:ind w:left="3"/>
        <w:spacing w:after="0" w:line="200" w:lineRule="exact"/>
        <w:rPr>
          <w:sz w:val="20"/>
          <w:szCs w:val="20"/>
          <w:color w:val="auto"/>
        </w:rPr>
      </w:pPr>
      <w:r>
        <w:rPr>
          <w:rFonts w:ascii="Times New Roman" w:cs="Times New Roman" w:eastAsia="Times New Roman" w:hAnsi="Times New Roman"/>
          <w:sz w:val="16"/>
          <w:szCs w:val="16"/>
          <w:color w:val="auto"/>
        </w:rPr>
        <w:t>With respect to the Issuer’s references to the principles of Specificity and Legality, we agree with the Issuer when it states that specificity refers to the legal description of a specific conduct. We also agree with the Issuer when it cites the well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known Constitutional Court decision referring to the sub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principle of specificity and exhaustiveness, which constitute manifestations or materializations of the principle of legality.</w:t>
      </w:r>
    </w:p>
    <w:p>
      <w:pPr>
        <w:spacing w:after="0" w:line="1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We likewise agree with the Issuer when it states that, for the State to sanction administered parties, the specific conduct being sanctioned must be duly typified.</w:t>
      </w:r>
    </w:p>
    <w:p>
      <w:pPr>
        <w:spacing w:after="0" w:line="204" w:lineRule="exact"/>
        <w:rPr>
          <w:sz w:val="20"/>
          <w:szCs w:val="20"/>
          <w:color w:val="auto"/>
        </w:rPr>
      </w:pPr>
    </w:p>
    <w:p>
      <w:pPr>
        <w:jc w:val="both"/>
        <w:ind w:left="3" w:right="20"/>
        <w:spacing w:after="0" w:line="261" w:lineRule="auto"/>
        <w:rPr>
          <w:sz w:val="20"/>
          <w:szCs w:val="20"/>
          <w:color w:val="auto"/>
        </w:rPr>
      </w:pPr>
      <w:r>
        <w:rPr>
          <w:rFonts w:ascii="Times New Roman" w:cs="Times New Roman" w:eastAsia="Times New Roman" w:hAnsi="Times New Roman"/>
          <w:sz w:val="16"/>
          <w:szCs w:val="16"/>
          <w:color w:val="auto"/>
        </w:rPr>
        <w:t>However, considering what has been outlined previously on this matter, it must be stated here that what is not admissible is that the Issuer—based on these arguments and citations of the Constitutional Court and various authors—attempts to claim that it should have been charged with the infraction type set forth in subsection 2.14, numeral 2 of Annex I of the Sanctions Regulation (in force at the time the events occurred) and not with subsection 1.6, numeral 1 of Annex I of the Sanctions Regulation (</w:t>
      </w: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contributions to the political party FUERZA 2011</w:t>
      </w:r>
      <w:r>
        <w:rPr>
          <w:rFonts w:ascii="Times New Roman" w:cs="Times New Roman" w:eastAsia="Times New Roman" w:hAnsi="Times New Roman"/>
          <w:sz w:val="16"/>
          <w:szCs w:val="16"/>
          <w:color w:val="auto"/>
        </w:rPr>
        <w:t>), nor with subsection 1.5, numeral 1 of Annex I of the Sanctions Regulation (</w:t>
      </w:r>
      <w:r>
        <w:rPr>
          <w:rFonts w:ascii="Times New Roman" w:cs="Times New Roman" w:eastAsia="Times New Roman" w:hAnsi="Times New Roman"/>
          <w:sz w:val="16"/>
          <w:szCs w:val="16"/>
          <w:b w:val="1"/>
          <w:bCs w:val="1"/>
          <w:color w:val="auto"/>
        </w:rPr>
        <w:t>agreement regarding contributions to the political party PERUANOS POR EL KAMBIO</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left="3" w:right="20"/>
        <w:spacing w:after="0" w:line="258" w:lineRule="auto"/>
        <w:rPr>
          <w:sz w:val="20"/>
          <w:szCs w:val="20"/>
          <w:color w:val="auto"/>
        </w:rPr>
      </w:pPr>
      <w:r>
        <w:rPr>
          <w:rFonts w:ascii="Times New Roman" w:cs="Times New Roman" w:eastAsia="Times New Roman" w:hAnsi="Times New Roman"/>
          <w:sz w:val="16"/>
          <w:szCs w:val="16"/>
          <w:color w:val="auto"/>
        </w:rPr>
        <w:t xml:space="preserve">As stated earlier, the conduct attributed to the Issuer consists of having concealed relevant information from the securities market, which—even after the passage of years— has generated and continues to generate effects or impacts on the Issuer, as previously noted. It must be emphasized that the conduct executed by the Issuer fits squarely within the infraction type applied by the instructing authority. This is supported by factual circumstances evidenced in the record, including what the Issuer itself reported: that the cash contributions to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consisted of seventeen (17) transfers involving BCP and Atlantic Security Bank, ordered by the Issuer, occurring between November 2, 2010 and May 20, 2011, in minimum amounts of US$ 100,000 and maximum amounts of US$ 500,000, totaling US$ 3,650,000. Thus, this method of withdrawing or delivering cash, along with other details and circumstances evidenced in the case file, demonstrate the intent to conceal the contributions by dividing them into smaller amounts that would not attract attention had they been delivered in a single transaction, and by avoiding banking traceability—among other circumstantial elements acknowledged by the Issuer in its responses and described in the IGSC Report.</w:t>
      </w:r>
    </w:p>
    <w:p>
      <w:pPr>
        <w:spacing w:after="0" w:line="166" w:lineRule="exact"/>
        <w:rPr>
          <w:sz w:val="20"/>
          <w:szCs w:val="20"/>
          <w:color w:val="auto"/>
        </w:rPr>
      </w:pPr>
    </w:p>
    <w:p>
      <w:pPr>
        <w:jc w:val="both"/>
        <w:ind w:left="3" w:right="20"/>
        <w:spacing w:after="0" w:line="200" w:lineRule="exact"/>
        <w:rPr>
          <w:sz w:val="20"/>
          <w:szCs w:val="20"/>
          <w:color w:val="auto"/>
        </w:rPr>
      </w:pPr>
      <w:r>
        <w:rPr>
          <w:rFonts w:ascii="Times New Roman" w:cs="Times New Roman" w:eastAsia="Times New Roman" w:hAnsi="Times New Roman"/>
          <w:sz w:val="16"/>
          <w:szCs w:val="16"/>
          <w:color w:val="auto"/>
        </w:rPr>
        <w:t>For these reasons, and in observance of the Principle of Specificity, it must be reiterated that the classification of the charge under subsection 1.6, numeral 1 of Annex I of the Sanctions Regulation and subsection 1.5, numeral 1 of Annex I of the Sanctions Regulation as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corresponds precisely to the conduct of concealment, understood as a permanent and intentional infraction.</w:t>
      </w:r>
    </w:p>
    <w:p>
      <w:pPr>
        <w:spacing w:after="0" w:line="179" w:lineRule="exact"/>
        <w:rPr>
          <w:sz w:val="20"/>
          <w:szCs w:val="20"/>
          <w:color w:val="auto"/>
        </w:rPr>
      </w:pPr>
    </w:p>
    <w:p>
      <w:pPr>
        <w:jc w:val="both"/>
        <w:ind w:left="3"/>
        <w:spacing w:after="0" w:line="270" w:lineRule="auto"/>
        <w:rPr>
          <w:sz w:val="20"/>
          <w:szCs w:val="20"/>
          <w:color w:val="auto"/>
        </w:rPr>
      </w:pPr>
      <w:r>
        <w:rPr>
          <w:rFonts w:ascii="Times New Roman" w:cs="Times New Roman" w:eastAsia="Times New Roman" w:hAnsi="Times New Roman"/>
          <w:sz w:val="16"/>
          <w:szCs w:val="16"/>
          <w:color w:val="auto"/>
        </w:rPr>
        <w:t>Accordingly, the formulation of the charges is coherent and strictly observes the Principles of Legality and Specificity. Moreover, it is appropriate to highlight the powers vested in the SMV to impose sanctions and establish infraction types applicable to violations committed. Article 342 of the LMV provides that persons within the scope of that law are subject to sanctions by the SMV if they commit infractions of its provisions or of the general rules issued by the SMV—thus satisfying the Principle of Legality.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14629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73" w:name="page74"/>
    <w:bookmarkEnd w:id="73"/>
    <w:p>
      <w:pPr>
        <w:jc w:val="both"/>
        <w:ind w:left="3" w:right="20"/>
        <w:spacing w:after="0" w:line="270" w:lineRule="auto"/>
        <w:rPr>
          <w:sz w:val="20"/>
          <w:szCs w:val="20"/>
          <w:color w:val="auto"/>
        </w:rPr>
      </w:pPr>
      <w:r>
        <w:rPr>
          <w:rFonts w:ascii="Times New Roman" w:cs="Times New Roman" w:eastAsia="Times New Roman" w:hAnsi="Times New Roman"/>
          <w:sz w:val="16"/>
          <w:szCs w:val="16"/>
          <w:color w:val="auto"/>
        </w:rPr>
        <w:t>Likewise, under Article 3, numeral 9 of the LOSMV, it is the responsibility of the Superintendent of the Securities Market to impose sanctions on those who violate norms within its jurisdiction. Likewise, it is the responsibility of the SMV’s Board, pursuant to subsection (d) of Article 5 of the LOSMV, to typify infractions. Thus, the Principle of Specificity is satisfied, and consequently, so is the Principle of Legality.</w:t>
      </w:r>
    </w:p>
    <w:p>
      <w:pPr>
        <w:spacing w:after="0" w:line="154" w:lineRule="exact"/>
        <w:rPr>
          <w:sz w:val="20"/>
          <w:szCs w:val="20"/>
          <w:color w:val="auto"/>
        </w:rPr>
      </w:pPr>
    </w:p>
    <w:p>
      <w:pPr>
        <w:jc w:val="both"/>
        <w:ind w:left="3" w:right="20"/>
        <w:spacing w:after="0" w:line="290" w:lineRule="auto"/>
        <w:rPr>
          <w:sz w:val="20"/>
          <w:szCs w:val="20"/>
          <w:color w:val="auto"/>
        </w:rPr>
      </w:pPr>
      <w:r>
        <w:rPr>
          <w:rFonts w:ascii="Times New Roman" w:cs="Times New Roman" w:eastAsia="Times New Roman" w:hAnsi="Times New Roman"/>
          <w:sz w:val="16"/>
          <w:szCs w:val="16"/>
          <w:color w:val="auto"/>
        </w:rPr>
        <w:t>Additionally, Article 13 of the New Sanctions Regulation states that “</w:t>
      </w:r>
      <w:r>
        <w:rPr>
          <w:rFonts w:ascii="Times New Roman" w:cs="Times New Roman" w:eastAsia="Times New Roman" w:hAnsi="Times New Roman"/>
          <w:sz w:val="16"/>
          <w:szCs w:val="16"/>
          <w:i w:val="1"/>
          <w:iCs w:val="1"/>
          <w:color w:val="auto"/>
        </w:rPr>
        <w:t>The General Compliance Intendencies, each within their respective areas of competence, are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investigative bodies responsible for conducting the investigation during the investigative phase</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left="3"/>
        <w:spacing w:after="0" w:line="261" w:lineRule="auto"/>
        <w:rPr>
          <w:sz w:val="20"/>
          <w:szCs w:val="20"/>
          <w:color w:val="auto"/>
        </w:rPr>
      </w:pPr>
      <w:r>
        <w:rPr>
          <w:rFonts w:ascii="Times New Roman" w:cs="Times New Roman" w:eastAsia="Times New Roman" w:hAnsi="Times New Roman"/>
          <w:sz w:val="16"/>
          <w:szCs w:val="16"/>
          <w:color w:val="auto"/>
        </w:rPr>
        <w:t>Therefore, there is no indication that the present administrative sanctioning procedure has been carried out in violation of the Principles of Legality or Specificity. The fact that the Issuer considers the charges to be incorrect and that a different infraction type should have been applied does not amount to a violation of those principles. Rather, what is expected is an adequate defense specifically addressing the charges raised—something not observed in the Issuer’s submissions—although this does not imply any restriction on its right to defense. The central point of the charges attributed to the Issuer is its intentional conduct of concealing information for more than eight (8) years and more than three (3) years, and that such concealment was not remedied voluntarily but only emerged due to a prosecutorial investigation regarding possible criminal offenses.</w:t>
      </w:r>
    </w:p>
    <w:p>
      <w:pPr>
        <w:spacing w:after="0" w:line="359" w:lineRule="exact"/>
        <w:rPr>
          <w:sz w:val="20"/>
          <w:szCs w:val="20"/>
          <w:color w:val="auto"/>
        </w:rPr>
      </w:pPr>
    </w:p>
    <w:p>
      <w:pPr>
        <w:jc w:val="both"/>
        <w:ind w:left="3" w:right="20"/>
        <w:spacing w:after="0" w:line="225" w:lineRule="auto"/>
        <w:rPr>
          <w:sz w:val="20"/>
          <w:szCs w:val="20"/>
          <w:color w:val="auto"/>
        </w:rPr>
      </w:pPr>
      <w:r>
        <w:rPr>
          <w:rFonts w:ascii="Times New Roman" w:cs="Times New Roman" w:eastAsia="Times New Roman" w:hAnsi="Times New Roman"/>
          <w:sz w:val="16"/>
          <w:szCs w:val="16"/>
          <w:color w:val="auto"/>
        </w:rPr>
        <w:t>Regarding the Principle of Speciality, as invoked by the Issuer, it must first be clarified that Peruvian administrative law incorporates, as part of the administrative sanctioning procedure, the concept of concurrence of infractions, in accordance with numeral 6 of Article 248 of the TUO of the LPAG (ideal concurrence)</w:t>
      </w:r>
      <w:r>
        <w:rPr>
          <w:rFonts w:ascii="Times New Roman" w:cs="Times New Roman" w:eastAsia="Times New Roman" w:hAnsi="Times New Roman"/>
          <w:sz w:val="26"/>
          <w:szCs w:val="26"/>
          <w:color w:val="auto"/>
          <w:vertAlign w:val="superscript"/>
        </w:rPr>
        <w:t>42</w:t>
      </w:r>
      <w:r>
        <w:rPr>
          <w:rFonts w:ascii="Times New Roman" w:cs="Times New Roman" w:eastAsia="Times New Roman" w:hAnsi="Times New Roman"/>
          <w:sz w:val="16"/>
          <w:szCs w:val="16"/>
          <w:color w:val="auto"/>
        </w:rPr>
        <w:t xml:space="preserve"> and Article 29 of the New Sanctions Regulation (which regulates real concurrence of infractions)</w:t>
      </w:r>
      <w:r>
        <w:rPr>
          <w:rFonts w:ascii="Times New Roman" w:cs="Times New Roman" w:eastAsia="Times New Roman" w:hAnsi="Times New Roman"/>
          <w:sz w:val="26"/>
          <w:szCs w:val="26"/>
          <w:color w:val="auto"/>
          <w:vertAlign w:val="superscript"/>
        </w:rPr>
        <w:t>43</w:t>
      </w:r>
      <w:r>
        <w:rPr>
          <w:rFonts w:ascii="Times New Roman" w:cs="Times New Roman" w:eastAsia="Times New Roman" w:hAnsi="Times New Roman"/>
          <w:sz w:val="16"/>
          <w:szCs w:val="16"/>
          <w:color w:val="auto"/>
        </w:rPr>
        <w:t>.</w:t>
      </w:r>
    </w:p>
    <w:p>
      <w:pPr>
        <w:spacing w:after="0" w:line="42" w:lineRule="exact"/>
        <w:rPr>
          <w:sz w:val="20"/>
          <w:szCs w:val="20"/>
          <w:color w:val="auto"/>
        </w:rPr>
      </w:pPr>
    </w:p>
    <w:p>
      <w:pPr>
        <w:jc w:val="both"/>
        <w:ind w:left="3"/>
        <w:spacing w:after="0" w:line="201" w:lineRule="exact"/>
        <w:rPr>
          <w:sz w:val="20"/>
          <w:szCs w:val="20"/>
          <w:color w:val="auto"/>
        </w:rPr>
      </w:pPr>
      <w:r>
        <w:rPr>
          <w:rFonts w:ascii="Times New Roman" w:cs="Times New Roman" w:eastAsia="Times New Roman" w:hAnsi="Times New Roman"/>
          <w:sz w:val="16"/>
          <w:szCs w:val="16"/>
          <w:color w:val="auto"/>
        </w:rPr>
        <w:t xml:space="preserve">In this regard, neither the TUO of the LPAG nor the current or prior Sanctions Regulations incorporate the </w:t>
      </w:r>
      <w:r>
        <w:rPr>
          <w:rFonts w:ascii="Times New Roman" w:cs="Times New Roman" w:eastAsia="Times New Roman" w:hAnsi="Times New Roman"/>
          <w:sz w:val="16"/>
          <w:szCs w:val="16"/>
          <w:b w:val="1"/>
          <w:bCs w:val="1"/>
          <w:color w:val="auto"/>
        </w:rPr>
        <w:t>Principle of Speciality</w:t>
      </w:r>
      <w:r>
        <w:rPr>
          <w:rFonts w:ascii="Times New Roman" w:cs="Times New Roman" w:eastAsia="Times New Roman" w:hAnsi="Times New Roman"/>
          <w:sz w:val="16"/>
          <w:szCs w:val="16"/>
          <w:color w:val="auto"/>
        </w:rPr>
        <w:t xml:space="preserve"> as understood in criminal law—i.e., a tool used to resolve </w:t>
      </w:r>
      <w:r>
        <w:rPr>
          <w:rFonts w:ascii="Times New Roman" w:cs="Times New Roman" w:eastAsia="Times New Roman" w:hAnsi="Times New Roman"/>
          <w:sz w:val="16"/>
          <w:szCs w:val="16"/>
          <w:b w:val="1"/>
          <w:bCs w:val="1"/>
          <w:color w:val="auto"/>
        </w:rPr>
        <w:t>Apparent Conflict of Laws</w:t>
      </w:r>
      <w:r>
        <w:rPr>
          <w:rFonts w:ascii="Times New Roman" w:cs="Times New Roman" w:eastAsia="Times New Roman" w:hAnsi="Times New Roman"/>
          <w:sz w:val="16"/>
          <w:szCs w:val="16"/>
          <w:color w:val="auto"/>
        </w:rPr>
        <w:t xml:space="preserve"> through sub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principles such as </w:t>
      </w:r>
      <w:r>
        <w:rPr>
          <w:rFonts w:ascii="Times New Roman" w:cs="Times New Roman" w:eastAsia="Times New Roman" w:hAnsi="Times New Roman"/>
          <w:sz w:val="16"/>
          <w:szCs w:val="16"/>
          <w:b w:val="1"/>
          <w:bCs w:val="1"/>
          <w:color w:val="auto"/>
        </w:rPr>
        <w:t>subsidiarity, absorption (consunción), and alternativity</w:t>
      </w:r>
      <w:r>
        <w:rPr>
          <w:rFonts w:ascii="Times New Roman" w:cs="Times New Roman" w:eastAsia="Times New Roman" w:hAnsi="Times New Roman"/>
          <w:sz w:val="16"/>
          <w:szCs w:val="16"/>
          <w:color w:val="auto"/>
        </w:rPr>
        <w:t>, which are typically applied by criminal courts when different criminal statutes appear applicable to the same facts.</w:t>
      </w:r>
    </w:p>
    <w:p>
      <w:pPr>
        <w:spacing w:after="0" w:line="177" w:lineRule="exact"/>
        <w:rPr>
          <w:sz w:val="20"/>
          <w:szCs w:val="20"/>
          <w:color w:val="auto"/>
        </w:rPr>
      </w:pPr>
    </w:p>
    <w:p>
      <w:pPr>
        <w:jc w:val="both"/>
        <w:ind w:left="3" w:right="20"/>
        <w:spacing w:after="0" w:line="271" w:lineRule="auto"/>
        <w:rPr>
          <w:sz w:val="20"/>
          <w:szCs w:val="20"/>
          <w:color w:val="auto"/>
        </w:rPr>
      </w:pPr>
      <w:r>
        <w:rPr>
          <w:rFonts w:ascii="Times New Roman" w:cs="Times New Roman" w:eastAsia="Times New Roman" w:hAnsi="Times New Roman"/>
          <w:sz w:val="16"/>
          <w:szCs w:val="16"/>
          <w:color w:val="auto"/>
        </w:rPr>
        <w:t>Nonetheless, based on the citations provided by the Issuer, it appears that it makes an extensive interpretation of criminal law principles when arguing that, “</w:t>
      </w:r>
      <w:r>
        <w:rPr>
          <w:rFonts w:ascii="Times New Roman" w:cs="Times New Roman" w:eastAsia="Times New Roman" w:hAnsi="Times New Roman"/>
          <w:sz w:val="16"/>
          <w:szCs w:val="16"/>
          <w:i w:val="1"/>
          <w:iCs w:val="1"/>
          <w:color w:val="auto"/>
        </w:rPr>
        <w:t>in the presence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a concurrence of laws, the special provision must prevail over the general one, as it regulates more precisely and completely the infraction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If the act in question can be subsumed under two criminal offenses, or under two administrative offenses, the special rule must be chosen</w:t>
      </w:r>
      <w:r>
        <w:rPr>
          <w:rFonts w:ascii="Times New Roman" w:cs="Times New Roman" w:eastAsia="Times New Roman" w:hAnsi="Times New Roman"/>
          <w:sz w:val="16"/>
          <w:szCs w:val="16"/>
          <w:color w:val="auto"/>
        </w:rPr>
        <w:t>.” (According to the Issuer.)</w:t>
      </w:r>
    </w:p>
    <w:p>
      <w:pPr>
        <w:spacing w:after="0" w:line="120" w:lineRule="exact"/>
        <w:rPr>
          <w:sz w:val="20"/>
          <w:szCs w:val="20"/>
          <w:color w:val="auto"/>
        </w:rPr>
      </w:pPr>
    </w:p>
    <w:p>
      <w:pPr>
        <w:jc w:val="both"/>
        <w:ind w:left="3"/>
        <w:spacing w:after="0" w:line="204" w:lineRule="exact"/>
        <w:rPr>
          <w:sz w:val="20"/>
          <w:szCs w:val="20"/>
          <w:color w:val="auto"/>
        </w:rPr>
      </w:pPr>
      <w:r>
        <w:rPr>
          <w:rFonts w:ascii="Times New Roman" w:cs="Times New Roman" w:eastAsia="Times New Roman" w:hAnsi="Times New Roman"/>
          <w:sz w:val="16"/>
          <w:szCs w:val="16"/>
          <w:color w:val="auto"/>
        </w:rPr>
        <w:t>In response, reference may be made to Professor Luis Miguel Bramont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Arias Torres regarding Apparent Conflict of Laws: “</w:t>
      </w:r>
      <w:r>
        <w:rPr>
          <w:rFonts w:ascii="Times New Roman" w:cs="Times New Roman" w:eastAsia="Times New Roman" w:hAnsi="Times New Roman"/>
          <w:sz w:val="16"/>
          <w:szCs w:val="16"/>
          <w:i w:val="1"/>
          <w:iCs w:val="1"/>
          <w:color w:val="auto"/>
        </w:rPr>
        <w:t>It is a problem of interpretation that arises when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active subject performs an action that could apparently be classified under more than one criminal type, when in reality only one should apply. As Carlos Creus states: ‘(…) multiple classification becomes a single classification (hence the term “apparent” concurrence) when one of the types displaces the others, leaving only the displacing type applicable</w:t>
      </w:r>
      <w:r>
        <w:rPr>
          <w:rFonts w:ascii="Times New Roman" w:cs="Times New Roman" w:eastAsia="Times New Roman" w:hAnsi="Times New Roman"/>
          <w:sz w:val="16"/>
          <w:szCs w:val="16"/>
          <w:color w:val="auto"/>
        </w:rPr>
        <w:t>.’” Likewise, Professor Mir Puig states: “</w:t>
      </w:r>
      <w:r>
        <w:rPr>
          <w:rFonts w:ascii="Times New Roman" w:cs="Times New Roman" w:eastAsia="Times New Roman" w:hAnsi="Times New Roman"/>
          <w:sz w:val="16"/>
          <w:szCs w:val="16"/>
          <w:i w:val="1"/>
          <w:iCs w:val="1"/>
          <w:color w:val="auto"/>
        </w:rPr>
        <w:t>(…) when one or several acts fall under several criminal provisions but only one may be applied, because applying them jointly would result in bis in idem. This occurs whenever one provision fully encompasses the disvalue of the act(s) in question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178816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342" w:lineRule="exact"/>
        <w:rPr>
          <w:sz w:val="20"/>
          <w:szCs w:val="20"/>
          <w:color w:val="auto"/>
        </w:rPr>
      </w:pPr>
    </w:p>
    <w:p>
      <w:pPr>
        <w:ind w:left="3" w:right="20" w:hanging="3"/>
        <w:spacing w:after="0" w:line="201" w:lineRule="auto"/>
        <w:tabs>
          <w:tab w:leader="none" w:pos="178" w:val="left"/>
        </w:tabs>
        <w:numPr>
          <w:ilvl w:val="0"/>
          <w:numId w:val="9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i w:val="1"/>
          <w:iCs w:val="1"/>
          <w:color w:val="auto"/>
        </w:rPr>
        <w:t>“6. Concurrence of Violations.— When a single conduct qualifies as more than one violation, the sanction established for the most serious violation shall apply, without prejudice to any other liabilities established by law that may also be enforced.”</w:t>
      </w:r>
    </w:p>
    <w:p>
      <w:pPr>
        <w:spacing w:after="0" w:line="1" w:lineRule="exact"/>
        <w:rPr>
          <w:rFonts w:ascii="Times New Roman" w:cs="Times New Roman" w:eastAsia="Times New Roman" w:hAnsi="Times New Roman"/>
          <w:sz w:val="26"/>
          <w:szCs w:val="26"/>
          <w:color w:val="auto"/>
          <w:vertAlign w:val="superscript"/>
        </w:rPr>
      </w:pPr>
    </w:p>
    <w:p>
      <w:pPr>
        <w:ind w:left="3" w:right="20" w:hanging="3"/>
        <w:spacing w:after="0" w:line="193" w:lineRule="auto"/>
        <w:tabs>
          <w:tab w:leader="none" w:pos="178" w:val="left"/>
        </w:tabs>
        <w:numPr>
          <w:ilvl w:val="0"/>
          <w:numId w:val="9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i w:val="1"/>
          <w:iCs w:val="1"/>
          <w:color w:val="auto"/>
        </w:rPr>
        <w:t>“Article 29.— Concurrence of Violations.— When a single conduct qualifies as more than one violation, the sanction established for the most serious violation shall apply. Likewise, when several conducts qualify as more than one violation, the sanction corresponding to the most serious violation shall be imposed.”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74" w:name="page75"/>
    <w:bookmarkEnd w:id="74"/>
    <w:p>
      <w:pPr>
        <w:jc w:val="both"/>
        <w:ind w:left="3" w:right="20"/>
        <w:spacing w:after="0" w:line="268" w:lineRule="auto"/>
        <w:rPr>
          <w:sz w:val="20"/>
          <w:szCs w:val="20"/>
          <w:color w:val="auto"/>
        </w:rPr>
      </w:pPr>
      <w:r>
        <w:rPr>
          <w:rFonts w:ascii="Times New Roman" w:cs="Times New Roman" w:eastAsia="Times New Roman" w:hAnsi="Times New Roman"/>
          <w:sz w:val="16"/>
          <w:szCs w:val="16"/>
          <w:color w:val="auto"/>
        </w:rPr>
        <w:t xml:space="preserve">As Professor Mir Puig emphasizes, the decision as to when there is a concurrence of laws (and thus a single offense) rather than a concurrence of offenses, as well as, where applicable, the determination of which rule is preferable and which one should be displaced, depends on the interpretation of the different criminal norms involved. In order to guide a proper interpretation of the issue of apparent concurrence of laws, legal doctrine has established a series of principles such as: </w:t>
      </w:r>
      <w:r>
        <w:rPr>
          <w:rFonts w:ascii="Times New Roman" w:cs="Times New Roman" w:eastAsia="Times New Roman" w:hAnsi="Times New Roman"/>
          <w:sz w:val="16"/>
          <w:szCs w:val="16"/>
          <w:b w:val="1"/>
          <w:bCs w:val="1"/>
          <w:u w:val="single" w:color="auto"/>
          <w:color w:val="auto"/>
        </w:rPr>
        <w:t>specialty, alternativity,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subsidiarity, and consumption</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44</w:t>
      </w:r>
    </w:p>
    <w:p>
      <w:pPr>
        <w:spacing w:after="0" w:line="19" w:lineRule="exact"/>
        <w:rPr>
          <w:sz w:val="20"/>
          <w:szCs w:val="20"/>
          <w:color w:val="auto"/>
        </w:rPr>
      </w:pPr>
    </w:p>
    <w:p>
      <w:pPr>
        <w:jc w:val="both"/>
        <w:ind w:left="3" w:right="20"/>
        <w:spacing w:after="0" w:line="265" w:lineRule="auto"/>
        <w:rPr>
          <w:sz w:val="20"/>
          <w:szCs w:val="20"/>
          <w:color w:val="auto"/>
        </w:rPr>
      </w:pPr>
      <w:r>
        <w:rPr>
          <w:rFonts w:ascii="Times New Roman" w:cs="Times New Roman" w:eastAsia="Times New Roman" w:hAnsi="Times New Roman"/>
          <w:sz w:val="16"/>
          <w:szCs w:val="16"/>
          <w:color w:val="auto"/>
        </w:rPr>
        <w:t>Regarding the Principle of Speciality specifically, the same professor notes: “1</w:t>
      </w:r>
      <w:r>
        <w:rPr>
          <w:rFonts w:ascii="Times New Roman" w:cs="Times New Roman" w:eastAsia="Times New Roman" w:hAnsi="Times New Roman"/>
          <w:sz w:val="16"/>
          <w:szCs w:val="16"/>
          <w:i w:val="1"/>
          <w:iCs w:val="1"/>
          <w:color w:val="auto"/>
        </w:rPr>
        <w:t>) Principle of Speciality: The rule is that the special type displaces the general type, which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occurs when there is a relationship between a basic offense and a derivative offense. The special type necessarily includes the general type, but not every conduct that fits the general type can be subsumed under the special type. In this sense, professor Berdugo: “(…) the legislator obligates to opt for the special rule instead of the general one; that is, that which presents all the elements of the latter plus one or more specific ones.” For example, article 107 of the Criminal Code sets forth that the offense of parricide displaces the offense of homicide.</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45</w:t>
      </w:r>
    </w:p>
    <w:p>
      <w:pPr>
        <w:spacing w:after="0" w:line="25" w:lineRule="exact"/>
        <w:rPr>
          <w:sz w:val="20"/>
          <w:szCs w:val="20"/>
          <w:color w:val="auto"/>
        </w:rPr>
      </w:pPr>
    </w:p>
    <w:p>
      <w:pPr>
        <w:jc w:val="both"/>
        <w:ind w:left="3"/>
        <w:spacing w:after="0" w:line="270" w:lineRule="auto"/>
        <w:rPr>
          <w:sz w:val="20"/>
          <w:szCs w:val="20"/>
          <w:color w:val="auto"/>
        </w:rPr>
      </w:pPr>
      <w:r>
        <w:rPr>
          <w:rFonts w:ascii="Times New Roman" w:cs="Times New Roman" w:eastAsia="Times New Roman" w:hAnsi="Times New Roman"/>
          <w:sz w:val="16"/>
          <w:szCs w:val="16"/>
          <w:color w:val="auto"/>
        </w:rPr>
        <w:t>Given the foregoing, we consider that the Issuer’s argument—namely, that the proper classification should have been the infraction under subsection 2.14, numeral 2 of Annex I of the Sanctions Regulation (as amended), and that the SMV opted to apply a more general and more severely sanctioned infraction type—lacks merit. In this regard, the following should be reiterated and/or added:</w:t>
      </w:r>
    </w:p>
    <w:p>
      <w:pPr>
        <w:spacing w:after="0" w:line="156" w:lineRule="exact"/>
        <w:rPr>
          <w:sz w:val="20"/>
          <w:szCs w:val="20"/>
          <w:color w:val="auto"/>
        </w:rPr>
      </w:pPr>
    </w:p>
    <w:p>
      <w:pPr>
        <w:jc w:val="both"/>
        <w:ind w:left="3" w:right="20"/>
        <w:spacing w:after="0" w:line="261" w:lineRule="auto"/>
        <w:rPr>
          <w:sz w:val="20"/>
          <w:szCs w:val="20"/>
          <w:color w:val="auto"/>
        </w:rPr>
      </w:pPr>
      <w:r>
        <w:rPr>
          <w:rFonts w:ascii="Times New Roman" w:cs="Times New Roman" w:eastAsia="Times New Roman" w:hAnsi="Times New Roman"/>
          <w:sz w:val="16"/>
          <w:szCs w:val="16"/>
          <w:color w:val="auto"/>
        </w:rPr>
        <w:t xml:space="preserve">In this case, there is no Apparent Conflict of Laws, and therefore the Principle of Speciality does not apply. The Issuer’s conduct of concealment does not fall under more than one infraction type; rather, </w:t>
      </w:r>
      <w:r>
        <w:rPr>
          <w:rFonts w:ascii="Times New Roman" w:cs="Times New Roman" w:eastAsia="Times New Roman" w:hAnsi="Times New Roman"/>
          <w:sz w:val="16"/>
          <w:szCs w:val="16"/>
          <w:b w:val="1"/>
          <w:bCs w:val="1"/>
          <w:u w:val="single" w:color="auto"/>
          <w:color w:val="auto"/>
        </w:rPr>
        <w:t>it fits solely within subsection 1.6 and 1.5 of numeral 1 of Annex I of the Sanctions Regulatio</w:t>
      </w:r>
      <w:r>
        <w:rPr>
          <w:rFonts w:ascii="Times New Roman" w:cs="Times New Roman" w:eastAsia="Times New Roman" w:hAnsi="Times New Roman"/>
          <w:sz w:val="16"/>
          <w:szCs w:val="16"/>
          <w:color w:val="auto"/>
        </w:rPr>
        <w:t>n. Thus, it is clear that we are dealing with two infraction types with objective elements distinct from those the Issuer claims apply (subsection 2.14 of numeral 2). Although both types aim to protect market transparency—like other infraction types (e.g., performing unauthorized operations, violating restrictions, engaging in prohibited activities, or submitting false or inaccurate information to the SMV)—they differ in their core objective elements.</w:t>
      </w:r>
    </w:p>
    <w:p>
      <w:pPr>
        <w:spacing w:after="0" w:line="165" w:lineRule="exact"/>
        <w:rPr>
          <w:sz w:val="20"/>
          <w:szCs w:val="20"/>
          <w:color w:val="auto"/>
        </w:rPr>
      </w:pPr>
    </w:p>
    <w:p>
      <w:pPr>
        <w:jc w:val="both"/>
        <w:ind w:left="3" w:right="20"/>
        <w:spacing w:after="0" w:line="200" w:lineRule="exact"/>
        <w:rPr>
          <w:sz w:val="20"/>
          <w:szCs w:val="20"/>
          <w:color w:val="auto"/>
        </w:rPr>
      </w:pPr>
      <w:r>
        <w:rPr>
          <w:rFonts w:ascii="Times New Roman" w:cs="Times New Roman" w:eastAsia="Times New Roman" w:hAnsi="Times New Roman"/>
          <w:sz w:val="16"/>
          <w:szCs w:val="16"/>
          <w:color w:val="auto"/>
        </w:rPr>
        <w:t>Additionally, the infraction types under subsection 1.6, numeral 1 of Annex I of the Sanctions Regulation and subsection 1.5, numeral 1 (as amended by Resolution SMV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SMV/01) are not generic, as the Issuer claims. As previously demonstrated, the Issuer engaged in a prolonged </w:t>
      </w:r>
      <w:r>
        <w:rPr>
          <w:rFonts w:ascii="Times New Roman" w:cs="Times New Roman" w:eastAsia="Times New Roman" w:hAnsi="Times New Roman"/>
          <w:sz w:val="16"/>
          <w:szCs w:val="16"/>
          <w:b w:val="1"/>
          <w:bCs w:val="1"/>
          <w:color w:val="auto"/>
        </w:rPr>
        <w:t>pattern of concealing relevant information</w:t>
      </w:r>
      <w:r>
        <w:rPr>
          <w:rFonts w:ascii="Times New Roman" w:cs="Times New Roman" w:eastAsia="Times New Roman" w:hAnsi="Times New Roman"/>
          <w:sz w:val="16"/>
          <w:szCs w:val="16"/>
          <w:color w:val="auto"/>
        </w:rPr>
        <w:t>. Conversely, the infraction type under subsection 2.14, numeral 2 involves an omission lacking any volitional element—there is no intent to conceal.</w:t>
      </w:r>
    </w:p>
    <w:p>
      <w:pPr>
        <w:spacing w:after="0" w:line="179" w:lineRule="exact"/>
        <w:rPr>
          <w:sz w:val="20"/>
          <w:szCs w:val="20"/>
          <w:color w:val="auto"/>
        </w:rPr>
      </w:pPr>
    </w:p>
    <w:p>
      <w:pPr>
        <w:jc w:val="both"/>
        <w:ind w:left="3"/>
        <w:spacing w:after="0" w:line="264" w:lineRule="auto"/>
        <w:rPr>
          <w:sz w:val="20"/>
          <w:szCs w:val="20"/>
          <w:color w:val="auto"/>
        </w:rPr>
      </w:pPr>
      <w:r>
        <w:rPr>
          <w:rFonts w:ascii="Times New Roman" w:cs="Times New Roman" w:eastAsia="Times New Roman" w:hAnsi="Times New Roman"/>
          <w:sz w:val="16"/>
          <w:szCs w:val="16"/>
          <w:color w:val="auto"/>
        </w:rPr>
        <w:t>Accordingly, the Issuer was correctly classified under the infraction types in subsection 1.6, numeral 1 and subsection 1.5, numeral 1, and thus the Issuer’s assertion that the Charges Letter conducted an improper classification is incorrect. There has also been no violation of numeral 3 of Article 254.1 of the TUO of the LPAG. The charges were properly notified, the facts were clearly described, the applicable infractions were properly classified, and potential sanctions were stated; therefore, the Issuer’s argument has no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178816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23" w:lineRule="exact"/>
        <w:rPr>
          <w:sz w:val="20"/>
          <w:szCs w:val="20"/>
          <w:color w:val="auto"/>
        </w:rPr>
      </w:pPr>
    </w:p>
    <w:p>
      <w:pPr>
        <w:ind w:left="183" w:hanging="183"/>
        <w:spacing w:after="0"/>
        <w:tabs>
          <w:tab w:leader="none" w:pos="183" w:val="left"/>
        </w:tabs>
        <w:numPr>
          <w:ilvl w:val="0"/>
          <w:numId w:val="9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BRAMONT–ARIAS TORRES, Luis Miguel. Interpretación de la ley penal, Revista Derecho &amp; Sociedad N° 20, 2003, p. 182.</w:t>
      </w:r>
    </w:p>
    <w:p>
      <w:pPr>
        <w:spacing w:after="0" w:line="2" w:lineRule="exact"/>
        <w:rPr>
          <w:rFonts w:ascii="Times New Roman" w:cs="Times New Roman" w:eastAsia="Times New Roman" w:hAnsi="Times New Roman"/>
          <w:sz w:val="27"/>
          <w:szCs w:val="27"/>
          <w:color w:val="auto"/>
          <w:vertAlign w:val="superscript"/>
        </w:rPr>
      </w:pPr>
    </w:p>
    <w:p>
      <w:pPr>
        <w:ind w:left="183" w:hanging="183"/>
        <w:spacing w:after="0" w:line="182" w:lineRule="auto"/>
        <w:tabs>
          <w:tab w:leader="none" w:pos="183" w:val="left"/>
        </w:tabs>
        <w:numPr>
          <w:ilvl w:val="0"/>
          <w:numId w:val="9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BRAMONT–ARIAS TORRES, Luis Miguel. Op cit., p. 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75" w:name="page76"/>
    <w:bookmarkEnd w:id="75"/>
    <w:p>
      <w:pPr>
        <w:jc w:val="both"/>
        <w:ind w:left="3"/>
        <w:spacing w:after="0" w:line="264" w:lineRule="auto"/>
        <w:rPr>
          <w:sz w:val="20"/>
          <w:szCs w:val="20"/>
          <w:color w:val="auto"/>
        </w:rPr>
      </w:pPr>
      <w:r>
        <w:rPr>
          <w:rFonts w:ascii="Times New Roman" w:cs="Times New Roman" w:eastAsia="Times New Roman" w:hAnsi="Times New Roman"/>
          <w:sz w:val="16"/>
          <w:szCs w:val="16"/>
          <w:color w:val="auto"/>
        </w:rPr>
        <w:t>Similarly, there has been no violation of numeral 1.1 of Article IV of the Preliminary Title of the TUO of the LPAG. The sanctioning procedure respects the Principle of Legality: it has been carried out in accordance with the Constitution, the law, and applicable regulations. The Issuer presented its defenses, requested and received an oral hearing, and submitted all arguments and evidence it considered appropriate. Accordingly, the proceeding has observed the principles of administrative sanctioning authority contained in Article 248 of the TUO of the LPAG.</w:t>
      </w:r>
    </w:p>
    <w:p>
      <w:pPr>
        <w:spacing w:after="0" w:line="162"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Based on the foregoing, the present sanctioning procedure has not violated the Principle of Legality, the Principle of Specificity, nor the Principle of Speciality, as it has been conducted in accordance with applicable law, rights, and regulatory provisions.</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u w:val="single" w:color="auto"/>
          <w:color w:val="auto"/>
        </w:rPr>
        <w:t>Evaluation of the Principle of Predictability</w:t>
      </w:r>
    </w:p>
    <w:p>
      <w:pPr>
        <w:spacing w:after="0" w:line="206" w:lineRule="exact"/>
        <w:rPr>
          <w:sz w:val="20"/>
          <w:szCs w:val="20"/>
          <w:color w:val="auto"/>
        </w:rPr>
      </w:pPr>
    </w:p>
    <w:p>
      <w:pPr>
        <w:jc w:val="both"/>
        <w:ind w:left="3" w:right="20"/>
        <w:spacing w:after="0" w:line="280" w:lineRule="auto"/>
        <w:rPr>
          <w:sz w:val="20"/>
          <w:szCs w:val="20"/>
          <w:color w:val="auto"/>
        </w:rPr>
      </w:pPr>
      <w:r>
        <w:rPr>
          <w:rFonts w:ascii="Times New Roman" w:cs="Times New Roman" w:eastAsia="Times New Roman" w:hAnsi="Times New Roman"/>
          <w:sz w:val="16"/>
          <w:szCs w:val="16"/>
          <w:color w:val="auto"/>
        </w:rPr>
        <w:t>The Issuer asserts that there have been other administrative sanctioning proceedings in which issuers failed to disclose material events repeatedly and intentionally, and that in those cases the SMV correctly applied the infraction set forth in subsection 2.14, numeral 2 of Annex I of the Sanctions Regulation in force at the time the events occurred.</w:t>
      </w:r>
    </w:p>
    <w:p>
      <w:pPr>
        <w:spacing w:after="0" w:line="312" w:lineRule="exact"/>
        <w:rPr>
          <w:sz w:val="20"/>
          <w:szCs w:val="20"/>
          <w:color w:val="auto"/>
        </w:rPr>
      </w:pPr>
    </w:p>
    <w:p>
      <w:pPr>
        <w:jc w:val="both"/>
        <w:ind w:left="3" w:right="20"/>
        <w:spacing w:after="0" w:line="204" w:lineRule="exact"/>
        <w:rPr>
          <w:sz w:val="20"/>
          <w:szCs w:val="20"/>
          <w:color w:val="auto"/>
        </w:rPr>
      </w:pPr>
      <w:r>
        <w:rPr>
          <w:rFonts w:ascii="Times New Roman" w:cs="Times New Roman" w:eastAsia="Times New Roman" w:hAnsi="Times New Roman"/>
          <w:sz w:val="16"/>
          <w:szCs w:val="16"/>
          <w:color w:val="auto"/>
        </w:rPr>
        <w:t>The Issuer also refers to Resolutions Nos. 033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069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and 064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and states that in those cases the companies under investigation were not sanctioned under subsection 1.6, numeral 1 of Annex I of the Sanctions Regulation (in force at the time), which establishes as a very serious infraction “</w:t>
      </w:r>
      <w:r>
        <w:rPr>
          <w:rFonts w:ascii="Times New Roman" w:cs="Times New Roman" w:eastAsia="Times New Roman" w:hAnsi="Times New Roman"/>
          <w:sz w:val="16"/>
          <w:szCs w:val="16"/>
          <w:i w:val="1"/>
          <w:iCs w:val="1"/>
          <w:color w:val="auto"/>
        </w:rPr>
        <w:t>carrying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out any act, omission, practice or conduct that undermines the integrity or transparency of the market</w:t>
      </w:r>
      <w:r>
        <w:rPr>
          <w:rFonts w:ascii="Times New Roman" w:cs="Times New Roman" w:eastAsia="Times New Roman" w:hAnsi="Times New Roman"/>
          <w:sz w:val="16"/>
          <w:szCs w:val="16"/>
          <w:color w:val="auto"/>
        </w:rPr>
        <w:t>,” but rather that the reasoning was based on the infraction set forth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subsection 2.14, numeral 2 of Annex I of the Sanctions Regulation in force in 2011, referring to “</w:t>
      </w:r>
      <w:r>
        <w:rPr>
          <w:rFonts w:ascii="Times New Roman" w:cs="Times New Roman" w:eastAsia="Times New Roman" w:hAnsi="Times New Roman"/>
          <w:sz w:val="16"/>
          <w:szCs w:val="16"/>
          <w:i w:val="1"/>
          <w:iCs w:val="1"/>
          <w:color w:val="auto"/>
        </w:rPr>
        <w:t>failure to disclose material events that have significant impact on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market.”</w:t>
      </w:r>
    </w:p>
    <w:p>
      <w:pPr>
        <w:spacing w:after="0" w:line="182" w:lineRule="exact"/>
        <w:rPr>
          <w:sz w:val="20"/>
          <w:szCs w:val="20"/>
          <w:color w:val="auto"/>
        </w:rPr>
      </w:pPr>
    </w:p>
    <w:p>
      <w:pPr>
        <w:jc w:val="both"/>
        <w:ind w:left="3" w:right="20"/>
        <w:spacing w:after="0" w:line="261" w:lineRule="auto"/>
        <w:rPr>
          <w:sz w:val="20"/>
          <w:szCs w:val="20"/>
          <w:color w:val="auto"/>
        </w:rPr>
      </w:pPr>
      <w:r>
        <w:rPr>
          <w:rFonts w:ascii="Times New Roman" w:cs="Times New Roman" w:eastAsia="Times New Roman" w:hAnsi="Times New Roman"/>
          <w:sz w:val="16"/>
          <w:szCs w:val="16"/>
          <w:color w:val="auto"/>
        </w:rPr>
        <w:t>In this regard, the Issuer argues that the SMV has established a criterion whereby, for conduct such as that attributed in this sanctioning proceeding, the applicable infraction is that set forth in subsection 2.14, numeral 2 of Annex I of the Sanctions Regulation. The Issuer further maintains that it is contrary to the Principle of Predictability for the administration to depart unexpectedly from a criterion it has consistently applied for years and to suddenly apply a different infraction type to events that occurred in 2011 and 2016. Accordingly, the Issuer claims that, in this case, the administration is treating the regulated party discriminatorily and therefore violating the Principle of Impartiality set forth in numeral 1.5, Article IV of the Preliminary Title of the TUO of the LPAG.</w:t>
      </w:r>
    </w:p>
    <w:p>
      <w:pPr>
        <w:spacing w:after="0" w:line="165" w:lineRule="exact"/>
        <w:rPr>
          <w:sz w:val="20"/>
          <w:szCs w:val="20"/>
          <w:color w:val="auto"/>
        </w:rPr>
      </w:pPr>
    </w:p>
    <w:p>
      <w:pPr>
        <w:jc w:val="both"/>
        <w:ind w:left="3" w:right="20"/>
        <w:spacing w:after="0" w:line="202" w:lineRule="exact"/>
        <w:rPr>
          <w:sz w:val="20"/>
          <w:szCs w:val="20"/>
          <w:color w:val="auto"/>
        </w:rPr>
      </w:pPr>
      <w:r>
        <w:rPr>
          <w:rFonts w:ascii="Times New Roman" w:cs="Times New Roman" w:eastAsia="Times New Roman" w:hAnsi="Times New Roman"/>
          <w:sz w:val="16"/>
          <w:szCs w:val="16"/>
          <w:color w:val="auto"/>
        </w:rPr>
        <w:t>In this respect, it must be noted that Article 248 of the TUO of the LPAG establishes the special principles governing the sanctioning authority of administrative entities; however, the so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called Principle of Predictability is not explicitly included among them. Instead, this principle belongs to the general principles of administrative procedure, as set forth in subsection 1.15, numeral 1, Article IV of the Preliminary Title of the TUO of the LPAG.</w:t>
      </w:r>
      <w:r>
        <w:rPr>
          <w:rFonts w:ascii="Times New Roman" w:cs="Times New Roman" w:eastAsia="Times New Roman" w:hAnsi="Times New Roman"/>
          <w:sz w:val="26"/>
          <w:szCs w:val="26"/>
          <w:color w:val="auto"/>
          <w:vertAlign w:val="superscript"/>
        </w:rPr>
        <w:t>46</w:t>
      </w:r>
      <w:r>
        <w:rPr>
          <w:rFonts w:ascii="Times New Roman" w:cs="Times New Roman" w:eastAsia="Times New Roman" w:hAnsi="Times New Roman"/>
          <w:sz w:val="16"/>
          <w:szCs w:val="16"/>
          <w:color w:val="auto"/>
        </w:rPr>
        <w:t xml:space="preserve"> Nevertheless, given the Issuer’s claim that the Charges Letter violates this principle, clarifications are necessary. This does not detract from the fact that the general principles of administrative law inspire and enable the functioning of a rule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law state and apply across all administrative law branches.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178816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316" w:lineRule="exact"/>
        <w:rPr>
          <w:sz w:val="20"/>
          <w:szCs w:val="20"/>
          <w:color w:val="auto"/>
        </w:rPr>
      </w:pPr>
    </w:p>
    <w:p>
      <w:pPr>
        <w:jc w:val="both"/>
        <w:ind w:left="3" w:right="20" w:hanging="3"/>
        <w:spacing w:after="0"/>
        <w:tabs>
          <w:tab w:leader="none" w:pos="190" w:val="left"/>
        </w:tabs>
        <w:numPr>
          <w:ilvl w:val="0"/>
          <w:numId w:val="9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1.15. Principle of Predictability or Legitimate Expectation.—</w:t>
      </w:r>
      <w:r>
        <w:rPr>
          <w:rFonts w:ascii="Times New Roman" w:cs="Times New Roman" w:eastAsia="Times New Roman" w:hAnsi="Times New Roman"/>
          <w:sz w:val="16"/>
          <w:szCs w:val="16"/>
          <w:color w:val="auto"/>
        </w:rPr>
        <w:t xml:space="preserve"> The administrative authority provides the administered parties or their representatives with truthful, complete, and reliable information regarding each procedure under its responsibility, so that, at all times, the administered party may have a clear understanding of the requirements, steps, estimated duration, and possible outcomes that may be obtained. The actions of the administrative authority are consistent with the legitimate expectations reasonably generated for the administered parties by administrative practice and precedent, except when, for reasons expressly stated in writing, it decides to depart from them.</w:t>
      </w:r>
    </w:p>
    <w:p>
      <w:pPr>
        <w:spacing w:after="0" w:line="126" w:lineRule="exact"/>
        <w:rPr>
          <w:rFonts w:ascii="Times New Roman" w:cs="Times New Roman" w:eastAsia="Times New Roman" w:hAnsi="Times New Roman"/>
          <w:sz w:val="27"/>
          <w:szCs w:val="27"/>
          <w:color w:val="auto"/>
          <w:vertAlign w:val="superscript"/>
        </w:rPr>
      </w:pPr>
    </w:p>
    <w:p>
      <w:pPr>
        <w:ind w:left="3" w:right="20"/>
        <w:spacing w:after="0" w:line="266"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administrative authority is bound by the prevailing legal framework and may not act arbitrarily. In this sense, the administrative authority may not unreasonably or without proper justification vary the interpretation of the applicable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219075</wp:posOffset>
            </wp:positionV>
            <wp:extent cx="714629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76" w:name="page77"/>
    <w:bookmarkEnd w:id="76"/>
    <w:p>
      <w:pPr>
        <w:jc w:val="both"/>
        <w:ind w:right="20"/>
        <w:spacing w:after="0" w:line="207" w:lineRule="exact"/>
        <w:rPr>
          <w:sz w:val="20"/>
          <w:szCs w:val="20"/>
          <w:color w:val="auto"/>
        </w:rPr>
      </w:pPr>
      <w:r>
        <w:rPr>
          <w:rFonts w:ascii="Times New Roman" w:cs="Times New Roman" w:eastAsia="Times New Roman" w:hAnsi="Times New Roman"/>
          <w:sz w:val="16"/>
          <w:szCs w:val="16"/>
          <w:color w:val="auto"/>
        </w:rPr>
        <w:t>The Issuer, in its defenses and in footnotes, refers to Resolutions Nos. 033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069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and 064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Those resolutions correspond to sanctioning proceedings with particular characteristics—such as the type of information not disclosed, the timing of disclosure (if any), and the circumstances surrounding the commission of the infractions—which even resulted in different fines. The principle of reasonableness, the specific circumstances of each infraction, and the sanctioning criteria established in the Sanctions Regulation were taken into account in those cases.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Thus, the Issuer cannot assume that the SMV established a criterion based on those resolutions, nor that such alleged criterion must be applied going forward or in the present case. Applying the Principle of Predictability to different facts, different contexts, and different circumstances of infractions is inappropriate, because each unlawful and sanctionable act responds to the particular situation of each regulated party.</w:t>
      </w:r>
    </w:p>
    <w:p>
      <w:pPr>
        <w:spacing w:after="0" w:line="1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Additionally, it should be noted that the cases cited by the Issuer have not been declared binding and therefore do not constitute administrative precedents, as described in numeral 2.8 of Article V (“Sources of administrative procedure”) of the TUO of the LPAG, nor under Article VI regarding administrative precedents.</w:t>
      </w:r>
    </w:p>
    <w:p>
      <w:pPr>
        <w:spacing w:after="0" w:line="14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Furthermore, adopting a uniform criterion for different conduct—as the Issuer proposes, i.e., that its conduct be classified under subsection 2.14, numeral 2 of Annex I (“</w:t>
      </w:r>
      <w:r>
        <w:rPr>
          <w:rFonts w:ascii="Times New Roman" w:cs="Times New Roman" w:eastAsia="Times New Roman" w:hAnsi="Times New Roman"/>
          <w:sz w:val="16"/>
          <w:szCs w:val="16"/>
          <w:i w:val="1"/>
          <w:iCs w:val="1"/>
          <w:color w:val="auto"/>
        </w:rPr>
        <w:t>failure to disclose a material event of significant impact</w:t>
      </w:r>
      <w:r>
        <w:rPr>
          <w:rFonts w:ascii="Times New Roman" w:cs="Times New Roman" w:eastAsia="Times New Roman" w:hAnsi="Times New Roman"/>
          <w:sz w:val="16"/>
          <w:szCs w:val="16"/>
          <w:color w:val="auto"/>
        </w:rPr>
        <w:t>”)—would improperly restrict the autonomy and authority of the instructing body. In sanctioning proceedings, the Issuer must base its defense on the specific facts attributed, which are clearly described in the Charges Letter. Therefore, there is no violation of the Principle of Predictability, much less the Principle of Impartiality.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Principle of Due Procedure</w:t>
      </w:r>
    </w:p>
    <w:p>
      <w:pPr>
        <w:spacing w:after="0" w:line="20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Issuer claims that the Charges Letter violates the Principle of Due Procedure, set forth in subsection 1.2, numeral 1 of Article IV of the Preliminary Title of the TUO of the LPAG, arguing that the present case violates its right to defense because the SMV has incorrectly attributed the alleged infringing conduct, preventing the Issuer from properly defending itself in the sanctioning proceeding.</w:t>
      </w:r>
    </w:p>
    <w:p>
      <w:pPr>
        <w:spacing w:after="0" w:line="1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In this regard, it must be clarified that the Issuer mistakenly interprets the alleged violation of due procedure simply because it disagrees with the charges formulated in the Charges Letter.</w:t>
      </w:r>
    </w:p>
    <w:p>
      <w:pPr>
        <w:spacing w:after="0" w:line="143"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In the present case, there is no violation of the Principle of Due Procedure, as no impediment or limitation has been imposed on the Issuer’s ability to present arguments, request oral hearings, or submit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Therefore, the requirements of subsection 1.2, numeral 1 of Article IV of the Preliminary Title of the TUO of the LPAG are met, which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178816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this sense, the administrative authority may not unreasonably or without proper justification vary the interpretation of the applicable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248285</wp:posOffset>
            </wp:positionV>
            <wp:extent cx="714629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88" w:right="319" w:bottom="1440" w:gutter="0" w:footer="0" w:header="0"/>
        </w:sectPr>
      </w:pPr>
    </w:p>
    <w:bookmarkStart w:id="77" w:name="page78"/>
    <w:bookmarkEnd w:id="77"/>
    <w:p>
      <w:pPr>
        <w:ind w:left="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Article IV. Principles of administrative procedure</w:t>
      </w:r>
    </w:p>
    <w:p>
      <w:pPr>
        <w:spacing w:after="0" w:line="206" w:lineRule="exact"/>
        <w:rPr>
          <w:sz w:val="20"/>
          <w:szCs w:val="20"/>
          <w:color w:val="auto"/>
        </w:rPr>
      </w:pPr>
    </w:p>
    <w:p>
      <w:pPr>
        <w:ind w:left="583" w:hanging="292"/>
        <w:spacing w:after="0"/>
        <w:tabs>
          <w:tab w:leader="none" w:pos="583" w:val="left"/>
        </w:tabs>
        <w:numPr>
          <w:ilvl w:val="0"/>
          <w:numId w:val="9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administrative procedure is based essentially on the following principles, without prejudice to other general principles of Administrative Law:</w:t>
      </w:r>
    </w:p>
    <w:p>
      <w:pPr>
        <w:spacing w:after="0" w:line="28"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10" w:lineRule="exact"/>
        <w:rPr>
          <w:sz w:val="20"/>
          <w:szCs w:val="20"/>
          <w:color w:val="auto"/>
        </w:rPr>
      </w:pPr>
    </w:p>
    <w:p>
      <w:pPr>
        <w:jc w:val="both"/>
        <w:ind w:left="583" w:hanging="290"/>
        <w:spacing w:after="0" w:line="256" w:lineRule="auto"/>
        <w:rPr>
          <w:sz w:val="20"/>
          <w:szCs w:val="20"/>
          <w:color w:val="auto"/>
        </w:rPr>
      </w:pPr>
      <w:r>
        <w:rPr>
          <w:rFonts w:ascii="Times New Roman" w:cs="Times New Roman" w:eastAsia="Times New Roman" w:hAnsi="Times New Roman"/>
          <w:sz w:val="16"/>
          <w:szCs w:val="16"/>
          <w:i w:val="1"/>
          <w:iCs w:val="1"/>
          <w:color w:val="auto"/>
        </w:rPr>
        <w:t>1.2. Principle of due procedure. – Administered parties enjoy the rights and guarantees inherent to due administrative procedure. Such rights and guarantees include, without limitation, the rights to be notified; to access the case file; to refute the charges attributed; to present arguments and submit additional statements; to offer and produce evidence; to request the use of the floor, when applicable; to obtain a reasoned decision, grounded in law, issued by a competent authority within a reasonable time; and to challenge decisions that affect them. The institution of due administrative procedure is governed by the principles of Administrative Law. Procedural law rules apply only insofar as they are compatible with the administrative regime.</w:t>
      </w:r>
    </w:p>
    <w:p>
      <w:pPr>
        <w:spacing w:after="0" w:line="166"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Additionally, numeral 2 of Article 248 of the TUO of the LPAG provides:</w:t>
      </w:r>
    </w:p>
    <w:p>
      <w:pPr>
        <w:spacing w:after="0" w:line="169" w:lineRule="exact"/>
        <w:rPr>
          <w:sz w:val="20"/>
          <w:szCs w:val="20"/>
          <w:color w:val="auto"/>
        </w:rPr>
      </w:pPr>
    </w:p>
    <w:p>
      <w:pPr>
        <w:jc w:val="both"/>
        <w:ind w:left="583" w:right="20"/>
        <w:spacing w:after="0" w:line="211"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2. Due procedure.</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No sanctions may be imposed unless the corresponding procedure has been carried out, respecting the guarantees of due procedure.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procedures that govern the exercise of sanctioning authority must establish an appropriate separation between the investigative phase and the sanctioning phase, entrusting them to different authorities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-324485</wp:posOffset>
            </wp:positionV>
            <wp:extent cx="5969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38100"/>
                    </a:xfrm>
                    <a:prstGeom prst="rect">
                      <a:avLst/>
                    </a:prstGeom>
                    <a:noFill/>
                  </pic:spPr>
                </pic:pic>
              </a:graphicData>
            </a:graphic>
          </wp:anchor>
        </w:drawing>
      </w:r>
    </w:p>
    <w:p>
      <w:pPr>
        <w:spacing w:after="0" w:line="160" w:lineRule="exact"/>
        <w:rPr>
          <w:sz w:val="20"/>
          <w:szCs w:val="20"/>
          <w:color w:val="auto"/>
        </w:rPr>
      </w:pPr>
    </w:p>
    <w:p>
      <w:pPr>
        <w:jc w:val="both"/>
        <w:ind w:left="3" w:right="20"/>
        <w:spacing w:after="0" w:line="270" w:lineRule="auto"/>
        <w:rPr>
          <w:sz w:val="20"/>
          <w:szCs w:val="20"/>
          <w:color w:val="auto"/>
        </w:rPr>
      </w:pPr>
      <w:r>
        <w:rPr>
          <w:rFonts w:ascii="Times New Roman" w:cs="Times New Roman" w:eastAsia="Times New Roman" w:hAnsi="Times New Roman"/>
          <w:sz w:val="16"/>
          <w:szCs w:val="16"/>
          <w:color w:val="auto"/>
        </w:rPr>
        <w:t>In accordance with the Principle of Due Procedure established in the TUO of the LPAG, the administered party has rights and guarantees such as the rights to be notified, to access the case file, to refute the charges brought, to present arguments, to submit additional statements, to offer and produce evidence, to request the right to be heard, and to obtain a reasoned decision, among others.</w:t>
      </w:r>
    </w:p>
    <w:p>
      <w:pPr>
        <w:spacing w:after="0" w:line="120" w:lineRule="exact"/>
        <w:rPr>
          <w:sz w:val="20"/>
          <w:szCs w:val="20"/>
          <w:color w:val="auto"/>
        </w:rPr>
      </w:pPr>
    </w:p>
    <w:p>
      <w:pPr>
        <w:ind w:left="3"/>
        <w:spacing w:after="0" w:line="184" w:lineRule="exact"/>
        <w:rPr>
          <w:sz w:val="20"/>
          <w:szCs w:val="20"/>
          <w:color w:val="auto"/>
        </w:rPr>
      </w:pPr>
      <w:r>
        <w:rPr>
          <w:rFonts w:ascii="Times New Roman" w:cs="Times New Roman" w:eastAsia="Times New Roman" w:hAnsi="Times New Roman"/>
          <w:sz w:val="16"/>
          <w:szCs w:val="16"/>
          <w:color w:val="auto"/>
        </w:rPr>
        <w:t>In this regard, the Constitutional Court has stated the following in its judgment issued in Case No. 5514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PA/TC:</w:t>
      </w:r>
    </w:p>
    <w:p>
      <w:pPr>
        <w:spacing w:after="0" w:line="238" w:lineRule="exact"/>
        <w:rPr>
          <w:sz w:val="20"/>
          <w:szCs w:val="20"/>
          <w:color w:val="auto"/>
        </w:rPr>
      </w:pPr>
    </w:p>
    <w:p>
      <w:pPr>
        <w:jc w:val="both"/>
        <w:ind w:left="3"/>
        <w:spacing w:after="0" w:line="265" w:lineRule="auto"/>
        <w:rPr>
          <w:sz w:val="20"/>
          <w:szCs w:val="20"/>
          <w:color w:val="auto"/>
        </w:rPr>
      </w:pPr>
      <w:r>
        <w:rPr>
          <w:rFonts w:ascii="Times New Roman" w:cs="Times New Roman" w:eastAsia="Times New Roman" w:hAnsi="Times New Roman"/>
          <w:sz w:val="16"/>
          <w:szCs w:val="16"/>
          <w:color w:val="auto"/>
        </w:rPr>
        <w:t xml:space="preserve">“3. </w:t>
      </w:r>
      <w:r>
        <w:rPr>
          <w:rFonts w:ascii="Times New Roman" w:cs="Times New Roman" w:eastAsia="Times New Roman" w:hAnsi="Times New Roman"/>
          <w:sz w:val="16"/>
          <w:szCs w:val="16"/>
          <w:i w:val="1"/>
          <w:iCs w:val="1"/>
          <w:color w:val="auto"/>
        </w:rPr>
        <w:t>(…) the right to due process, enshrined in Article 139(3) of the Constitution, as this Court has reiterated in its jurisprudence, is a guarantee which, although it naturally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applies in the judicial sphere, is also applicable to administrative sanctioning proceedings. In this sense, </w:t>
      </w:r>
      <w:r>
        <w:rPr>
          <w:rFonts w:ascii="Times New Roman" w:cs="Times New Roman" w:eastAsia="Times New Roman" w:hAnsi="Times New Roman"/>
          <w:sz w:val="16"/>
          <w:szCs w:val="16"/>
          <w:b w:val="1"/>
          <w:bCs w:val="1"/>
          <w:i w:val="1"/>
          <w:iCs w:val="1"/>
          <w:color w:val="auto"/>
        </w:rPr>
        <w:t>due process—and the rights that form part of it, e.g., the right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defense and the requirement that administrative decisions be duly reasoned—are applicable within the institutional activity of any legal entity</w:t>
      </w:r>
      <w:r>
        <w:rPr>
          <w:rFonts w:ascii="Times New Roman" w:cs="Times New Roman" w:eastAsia="Times New Roman" w:hAnsi="Times New Roman"/>
          <w:sz w:val="16"/>
          <w:szCs w:val="16"/>
          <w:i w:val="1"/>
          <w:iCs w:val="1"/>
          <w:color w:val="auto"/>
        </w:rPr>
        <w:t>, especially when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possibility exists of imposing a sanction as severe as expulsion.</w:t>
      </w:r>
    </w:p>
    <w:p>
      <w:pPr>
        <w:spacing w:after="0" w:line="159" w:lineRule="exact"/>
        <w:rPr>
          <w:sz w:val="20"/>
          <w:szCs w:val="20"/>
          <w:color w:val="auto"/>
        </w:rPr>
      </w:pPr>
    </w:p>
    <w:p>
      <w:pPr>
        <w:jc w:val="both"/>
        <w:ind w:left="3" w:right="20" w:hanging="3"/>
        <w:spacing w:after="0" w:line="260" w:lineRule="auto"/>
        <w:tabs>
          <w:tab w:leader="none" w:pos="177"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Accordingly, the right of defense in administrative sanctioning proceedings is established as a guarantee for the protection of the rights that may be affected by the exercise of the administration’s sanctioning powers. It guarantees, among other things, that a person subject to an investigation—whether judicial or administrative—where rights and interests are at stake</w:t>
      </w:r>
      <w:r>
        <w:rPr>
          <w:rFonts w:ascii="Times New Roman" w:cs="Times New Roman" w:eastAsia="Times New Roman" w:hAnsi="Times New Roman"/>
          <w:sz w:val="16"/>
          <w:szCs w:val="16"/>
          <w:b w:val="1"/>
          <w:bCs w:val="1"/>
          <w:i w:val="1"/>
          <w:iCs w:val="1"/>
          <w:color w:val="auto"/>
        </w:rPr>
        <w:t>, has the opportunity to contradict and argue in defense of such rights and interests. For that purpose, the charges must be communicated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 xml:space="preserve">beforehand and in writing, accompanied by the corresponding evidentiary support, and a reasonable deadline must be granted so that—through the submission of the relevant defenses—the individual may fully exercise his or her legitimate right of defense. </w:t>
      </w:r>
      <w:r>
        <w:rPr>
          <w:rFonts w:ascii="Times New Roman" w:cs="Times New Roman" w:eastAsia="Times New Roman" w:hAnsi="Times New Roman"/>
          <w:sz w:val="16"/>
          <w:szCs w:val="16"/>
          <w:i w:val="1"/>
          <w:iCs w:val="1"/>
          <w:color w:val="auto"/>
        </w:rPr>
        <w:t>This right is therefore violated when the holders of rights and legitimate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interests are prevented from exercising the legal means necessary for their defense</w:t>
      </w:r>
      <w:r>
        <w:rPr>
          <w:rFonts w:ascii="Times New Roman" w:cs="Times New Roman" w:eastAsia="Times New Roman" w:hAnsi="Times New Roman"/>
          <w:sz w:val="16"/>
          <w:szCs w:val="16"/>
          <w:color w:val="auto"/>
        </w:rPr>
        <w:t>.” (Emphasis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714629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19" w:right="319" w:bottom="1440" w:gutter="0" w:footer="0" w:header="0"/>
        </w:sectPr>
      </w:pPr>
    </w:p>
    <w:bookmarkStart w:id="78" w:name="page79"/>
    <w:bookmarkEnd w:id="78"/>
    <w:p>
      <w:pPr>
        <w:jc w:val="both"/>
        <w:ind w:left="3" w:right="20"/>
        <w:spacing w:after="0" w:line="198" w:lineRule="exact"/>
        <w:rPr>
          <w:sz w:val="20"/>
          <w:szCs w:val="20"/>
          <w:color w:val="auto"/>
        </w:rPr>
      </w:pPr>
      <w:r>
        <w:rPr>
          <w:rFonts w:ascii="Times New Roman" w:cs="Times New Roman" w:eastAsia="Times New Roman" w:hAnsi="Times New Roman"/>
          <w:sz w:val="16"/>
          <w:szCs w:val="16"/>
          <w:color w:val="auto"/>
        </w:rPr>
        <w:t>Consequently, as previously noted, the Issuer’s conduct has been correctly classified under the infraction type contained in subsection 1.6, numeral 1 of Annex I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w:t>
      </w:r>
      <w:r>
        <w:rPr>
          <w:rFonts w:ascii="Times New Roman" w:cs="Times New Roman" w:eastAsia="Times New Roman" w:hAnsi="Times New Roman"/>
          <w:sz w:val="26"/>
          <w:szCs w:val="26"/>
          <w:color w:val="auto"/>
          <w:vertAlign w:val="superscript"/>
        </w:rPr>
        <w:t>47</w:t>
      </w:r>
      <w:r>
        <w:rPr>
          <w:rFonts w:ascii="Times New Roman" w:cs="Times New Roman" w:eastAsia="Times New Roman" w:hAnsi="Times New Roman"/>
          <w:sz w:val="16"/>
          <w:szCs w:val="16"/>
          <w:color w:val="auto"/>
        </w:rPr>
        <w:t>, in force at the start of the commission of the infraction, and subsection 1.5, numeral 1 of Annex I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in force at the time the infraction was committed.</w:t>
      </w:r>
    </w:p>
    <w:p>
      <w:pPr>
        <w:spacing w:after="0" w:line="181" w:lineRule="exact"/>
        <w:rPr>
          <w:sz w:val="20"/>
          <w:szCs w:val="20"/>
          <w:color w:val="auto"/>
        </w:rPr>
      </w:pPr>
    </w:p>
    <w:p>
      <w:pPr>
        <w:jc w:val="both"/>
        <w:ind w:left="3" w:right="20"/>
        <w:spacing w:after="0" w:line="270" w:lineRule="auto"/>
        <w:rPr>
          <w:sz w:val="20"/>
          <w:szCs w:val="20"/>
          <w:color w:val="auto"/>
        </w:rPr>
      </w:pPr>
      <w:r>
        <w:rPr>
          <w:rFonts w:ascii="Times New Roman" w:cs="Times New Roman" w:eastAsia="Times New Roman" w:hAnsi="Times New Roman"/>
          <w:sz w:val="16"/>
          <w:szCs w:val="16"/>
          <w:color w:val="auto"/>
        </w:rPr>
        <w:t>Likewise, it is verified that the IGCC has complied with numeral 3 of Article 255 of the TUO of the LPAG by notifying the Charges Letter, including the facts attributed, the classification of the infractions, the specification of possible sanctions, and the competent authority and corresponding legal basis. Similarly, the Issuer has exercised its right of defense by presenting its written defenses and arguments, requesting oral reports, and submitting documentation as evidence.</w:t>
      </w:r>
    </w:p>
    <w:p>
      <w:pPr>
        <w:spacing w:after="0" w:line="156"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In light of the foregoing, the present sanctioning proceeding has not violated the Principle of Due Procedure, as both the Investigating Body and the Sanctioning Authority have respected the rights and guarantees inherent to due administrative procedure, as evidenced in the case file.</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6. REGARDING THE ALLEGED ABSENCE OF A SPECIFIC OBLIGATION TO REPORT POLITICAL CONTRIBUTIONS</w:t>
      </w:r>
    </w:p>
    <w:p>
      <w:pPr>
        <w:spacing w:after="0" w:line="206"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It is appropriate to clarify that the purpose of this sanctioning proceeding is not to determine whether the Issuer complied with electoral regulations, since electoral regulation and securities market regulation are independent legal frameworks.</w:t>
      </w:r>
    </w:p>
    <w:p>
      <w:pPr>
        <w:spacing w:after="0" w:line="143" w:lineRule="exact"/>
        <w:rPr>
          <w:sz w:val="20"/>
          <w:szCs w:val="20"/>
          <w:color w:val="auto"/>
        </w:rPr>
      </w:pPr>
    </w:p>
    <w:p>
      <w:pPr>
        <w:jc w:val="both"/>
        <w:ind w:left="3" w:right="20"/>
        <w:spacing w:after="0" w:line="270" w:lineRule="auto"/>
        <w:rPr>
          <w:sz w:val="20"/>
          <w:szCs w:val="20"/>
          <w:color w:val="auto"/>
        </w:rPr>
      </w:pPr>
      <w:r>
        <w:rPr>
          <w:rFonts w:ascii="Times New Roman" w:cs="Times New Roman" w:eastAsia="Times New Roman" w:hAnsi="Times New Roman"/>
          <w:sz w:val="16"/>
          <w:szCs w:val="16"/>
          <w:color w:val="auto"/>
        </w:rPr>
        <w:t>In that regard, even if information regarding contributions made in favor of a political party has special treatment under electoral regulations, under securities market regulations the Issuer was obligated to disclose the information that is the subject of the charges as a material event at the time the events occurred, given the significance that the Issuer itself acknowledged at the time, publicly highlighting the importance of these cash contributions.</w:t>
      </w:r>
    </w:p>
    <w:p>
      <w:pPr>
        <w:spacing w:after="0" w:line="156"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Regarding the Issuer’s assertion that there is no specific obligation to report political contributions, it is important to clarify the scope of the provisions governing material event disclosures in the securities market. For illustrative purposes:</w:t>
      </w:r>
    </w:p>
    <w:p>
      <w:pPr>
        <w:spacing w:after="0" w:line="134" w:lineRule="exact"/>
        <w:rPr>
          <w:sz w:val="20"/>
          <w:szCs w:val="20"/>
          <w:color w:val="auto"/>
        </w:rPr>
      </w:pPr>
    </w:p>
    <w:p>
      <w:pPr>
        <w:jc w:val="both"/>
        <w:ind w:left="3" w:right="20"/>
        <w:spacing w:after="0" w:line="226" w:lineRule="auto"/>
        <w:rPr>
          <w:sz w:val="20"/>
          <w:szCs w:val="20"/>
          <w:color w:val="auto"/>
        </w:rPr>
      </w:pPr>
      <w:r>
        <w:rPr>
          <w:rFonts w:ascii="Times New Roman" w:cs="Times New Roman" w:eastAsia="Times New Roman" w:hAnsi="Times New Roman"/>
          <w:sz w:val="16"/>
          <w:szCs w:val="16"/>
          <w:color w:val="auto"/>
        </w:rPr>
        <w:t>Article 3 of the Regulation on Material Events</w:t>
      </w:r>
      <w:r>
        <w:rPr>
          <w:rFonts w:ascii="Times New Roman" w:cs="Times New Roman" w:eastAsia="Times New Roman" w:hAnsi="Times New Roman"/>
          <w:sz w:val="26"/>
          <w:szCs w:val="26"/>
          <w:color w:val="auto"/>
          <w:vertAlign w:val="superscript"/>
        </w:rPr>
        <w:t>48</w:t>
      </w:r>
      <w:r>
        <w:rPr>
          <w:rFonts w:ascii="Times New Roman" w:cs="Times New Roman" w:eastAsia="Times New Roman" w:hAnsi="Times New Roman"/>
          <w:sz w:val="16"/>
          <w:szCs w:val="16"/>
          <w:color w:val="auto"/>
        </w:rPr>
        <w:t xml:space="preserve"> (currently in force) defines a material event as any act, decision, agreement, fact, ongoing negotiation, or information concerning the issuer, its securities, or business that has the capacity to significantly influence: (i) the decision of a reasonable investor to buy, sell or hold a security, or (ii) the liquidity, price, or market quotation of the issued securities. A similar definition appears in Article 4 of the former Regulation on Material Events, applicable at the time of the cash contributions to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178816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340" w:lineRule="exact"/>
        <w:rPr>
          <w:sz w:val="20"/>
          <w:szCs w:val="20"/>
          <w:color w:val="auto"/>
        </w:rPr>
      </w:pPr>
    </w:p>
    <w:p>
      <w:pPr>
        <w:jc w:val="both"/>
        <w:ind w:left="3" w:hanging="3"/>
        <w:spacing w:after="0" w:line="220" w:lineRule="auto"/>
        <w:tabs>
          <w:tab w:leader="none" w:pos="198" w:val="left"/>
        </w:tabs>
        <w:numPr>
          <w:ilvl w:val="0"/>
          <w:numId w:val="9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By means of SMV Resolution No. 006-2012-SMV/01, in force since April 17, 2012, subsection 1.6 of item 1 of Annex I of the Sanctions Regulation, approved by CONASEV Resolution No. 055-2001-EF/94.10, was amended, replacing this subsection with subsection 1.5 while preserving the same wording of the type of infringement. Likewise, through SMV Resolution No. 028-2016-SMV/01, the aforementioned subsection 1.5 was amended, maintaining the same wording of the type of infringement and adding an additional scenario.</w:t>
      </w:r>
    </w:p>
    <w:p>
      <w:pPr>
        <w:spacing w:after="0" w:line="94" w:lineRule="exact"/>
        <w:rPr>
          <w:sz w:val="20"/>
          <w:szCs w:val="20"/>
          <w:color w:val="auto"/>
        </w:rPr>
      </w:pPr>
    </w:p>
    <w:p>
      <w:pPr>
        <w:ind w:left="3"/>
        <w:spacing w:after="0"/>
        <w:rPr>
          <w:sz w:val="20"/>
          <w:szCs w:val="20"/>
          <w:color w:val="auto"/>
        </w:rPr>
      </w:pPr>
      <w:r>
        <w:rPr>
          <w:rFonts w:ascii="Times New Roman" w:cs="Times New Roman" w:eastAsia="Times New Roman" w:hAnsi="Times New Roman"/>
          <w:sz w:val="26"/>
          <w:szCs w:val="26"/>
          <w:color w:val="auto"/>
          <w:vertAlign w:val="superscript"/>
        </w:rPr>
        <w:t>48</w:t>
      </w:r>
      <w:r>
        <w:rPr>
          <w:rFonts w:ascii="Times New Roman" w:cs="Times New Roman" w:eastAsia="Times New Roman" w:hAnsi="Times New Roman"/>
          <w:sz w:val="16"/>
          <w:szCs w:val="16"/>
          <w:color w:val="auto"/>
        </w:rPr>
        <w:t>Article 4.— Material Events. The following are considered material events:</w:t>
      </w:r>
    </w:p>
    <w:p>
      <w:pPr>
        <w:ind w:left="663" w:hanging="372"/>
        <w:spacing w:after="0"/>
        <w:tabs>
          <w:tab w:leader="none" w:pos="663"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facts, decisions, and agreements that may affect an issuer and its business, as well as the companies that form part of its economic group.</w:t>
      </w:r>
    </w:p>
    <w:p>
      <w:pPr>
        <w:spacing w:after="0" w:line="8" w:lineRule="exact"/>
        <w:rPr>
          <w:rFonts w:ascii="Times New Roman" w:cs="Times New Roman" w:eastAsia="Times New Roman" w:hAnsi="Times New Roman"/>
          <w:sz w:val="16"/>
          <w:szCs w:val="16"/>
          <w:color w:val="auto"/>
        </w:rPr>
      </w:pPr>
    </w:p>
    <w:p>
      <w:pPr>
        <w:ind w:left="663" w:hanging="372"/>
        <w:spacing w:after="0"/>
        <w:tabs>
          <w:tab w:leader="none" w:pos="663"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that directly affects or may significantly affect the determination of the price, supply, or trading of securities registered in the RPMV.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714629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79" w:name="page80"/>
    <w:bookmarkEnd w:id="79"/>
    <w:p>
      <w:pPr>
        <w:jc w:val="both"/>
        <w:spacing w:after="0" w:line="270" w:lineRule="auto"/>
        <w:rPr>
          <w:sz w:val="20"/>
          <w:szCs w:val="20"/>
          <w:color w:val="auto"/>
        </w:rPr>
      </w:pPr>
      <w:r>
        <w:rPr>
          <w:rFonts w:ascii="Times New Roman" w:cs="Times New Roman" w:eastAsia="Times New Roman" w:hAnsi="Times New Roman"/>
          <w:sz w:val="16"/>
          <w:szCs w:val="16"/>
          <w:color w:val="auto"/>
        </w:rPr>
        <w:t>Likewise, Article 4 of the Regulation on Material Events (currently in force) states that, to determine whether information has significant influence, the issuer must consider the significance of the act, agreement, fact, ongoing negotiation, decision, or set of circumstances: (i) on its operations, assets, results, financial situation, or general commercial or business position; (ii) on its securities or their offering; or (iii) on the price or trading of its securities.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Similarly, numeral 5.2 of Article 5 of the Regulation on Material Events establishes:</w:t>
      </w:r>
    </w:p>
    <w:p>
      <w:pPr>
        <w:spacing w:after="0" w:line="20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i w:val="1"/>
          <w:iCs w:val="1"/>
          <w:color w:val="auto"/>
        </w:rPr>
        <w:t>“5.2. The items listed in the Annex must be disclosed as material events when they have the capacity to significantly influence as defined in Articles 3 and 4. If any act, decision, agreement, fact, or ongoing negotiation is not listed in said Annex, this does not imply that it cannot qualify as a material event; it must be disclosed as such if it meets the criteria established in the aforementioned articles. (…)”</w:t>
      </w:r>
    </w:p>
    <w:p>
      <w:pPr>
        <w:spacing w:after="0" w:line="15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 xml:space="preserve">It must be noted that the list contained in Annex 1 of the Regulation on Material Events is merely referential. Events not listed must nevertheless be disclosed if they meet the materiality criteria established in the regulation. The analysis regarding the materiality of </w:t>
      </w:r>
      <w:r>
        <w:rPr>
          <w:rFonts w:ascii="Times New Roman" w:cs="Times New Roman" w:eastAsia="Times New Roman" w:hAnsi="Times New Roman"/>
          <w:sz w:val="16"/>
          <w:szCs w:val="16"/>
          <w:b w:val="1"/>
          <w:bCs w:val="1"/>
          <w:color w:val="auto"/>
        </w:rPr>
        <w:t>THE 2011 INFORMATION (cash contributions to FUERZA 2011)</w:t>
      </w:r>
      <w:r>
        <w:rPr>
          <w:rFonts w:ascii="Times New Roman" w:cs="Times New Roman" w:eastAsia="Times New Roman" w:hAnsi="Times New Roman"/>
          <w:sz w:val="16"/>
          <w:szCs w:val="16"/>
          <w:color w:val="auto"/>
        </w:rPr>
        <w:t xml:space="preserve"> is addressed in the corresponding section evaluating the Issuer’s defenses.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applying the Regulation on Material Events, several scenarios may arise. Focusing on the most frequent: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First scenario:</w:t>
      </w:r>
    </w:p>
    <w:p>
      <w:pPr>
        <w:spacing w:after="0" w:line="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Events that are public by virtue of a special legal provision and simultaneously constitute material events either because they are included in Annex 1 or because they are sufficiently material.</w:t>
      </w:r>
    </w:p>
    <w:p>
      <w:pPr>
        <w:spacing w:after="0" w:line="15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 xml:space="preserve">For example, notices of shareholders’ meetings. These must be published in the official newspaper and another newspaper of wide circulation under the General Corporations Law, and issuers must </w:t>
      </w:r>
      <w:r>
        <w:rPr>
          <w:rFonts w:ascii="Times New Roman" w:cs="Times New Roman" w:eastAsia="Times New Roman" w:hAnsi="Times New Roman"/>
          <w:sz w:val="16"/>
          <w:szCs w:val="16"/>
          <w:i w:val="1"/>
          <w:iCs w:val="1"/>
          <w:color w:val="auto"/>
        </w:rPr>
        <w:t>also</w:t>
      </w:r>
      <w:r>
        <w:rPr>
          <w:rFonts w:ascii="Times New Roman" w:cs="Times New Roman" w:eastAsia="Times New Roman" w:hAnsi="Times New Roman"/>
          <w:sz w:val="16"/>
          <w:szCs w:val="16"/>
          <w:color w:val="auto"/>
        </w:rPr>
        <w:t xml:space="preserve"> disclose them as material events. The existence of a separate statutory mechanism for publication does not exempt the issuer from its material event disclosure obligation.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Second scenario:</w:t>
      </w:r>
    </w:p>
    <w:p>
      <w:pPr>
        <w:spacing w:after="0" w:line="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Events that are not public under their special regulation but are public under material event rules because they are included in Annex 1 or because they meet the materiality criteria.</w:t>
      </w:r>
    </w:p>
    <w:p>
      <w:pPr>
        <w:spacing w:after="0" w:line="15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Examples include: (i) disclosure of transfers of shares by persons directly or indirectly holding 10% or more of the issuer’s capital; and (ii) discovery of new resources or development or acquisition of technologies with significant business impact. Although these events may conflict with corporate confidentiality or trade secrets, material event regulations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163195</wp:posOffset>
            </wp:positionV>
            <wp:extent cx="178816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318" w:lineRule="exact"/>
        <w:rPr>
          <w:sz w:val="20"/>
          <w:szCs w:val="20"/>
          <w:color w:val="auto"/>
        </w:rPr>
      </w:pPr>
    </w:p>
    <w:p>
      <w:pPr>
        <w:ind w:left="660" w:right="140" w:hanging="372"/>
        <w:spacing w:after="0" w:line="287" w:lineRule="auto"/>
        <w:tabs>
          <w:tab w:leader="none" w:pos="66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general, information necessary for investors to form an opinion about the inherent risk of the company, its financial condition, and its operating results, as well as of the securities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208915</wp:posOffset>
            </wp:positionV>
            <wp:extent cx="7146290"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0" w:name="page81"/>
    <w:bookmarkEnd w:id="80"/>
    <w:p>
      <w:pPr>
        <w:ind w:left="3"/>
        <w:spacing w:after="0"/>
        <w:rPr>
          <w:sz w:val="20"/>
          <w:szCs w:val="20"/>
          <w:color w:val="auto"/>
        </w:rPr>
      </w:pPr>
      <w:r>
        <w:rPr>
          <w:rFonts w:ascii="Times New Roman" w:cs="Times New Roman" w:eastAsia="Times New Roman" w:hAnsi="Times New Roman"/>
          <w:sz w:val="16"/>
          <w:szCs w:val="16"/>
          <w:color w:val="auto"/>
        </w:rPr>
        <w:t>Third scenario:</w:t>
      </w:r>
    </w:p>
    <w:p>
      <w:pPr>
        <w:spacing w:after="0" w:line="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Events not public under any special regulation and not included in Annex 1, but still requiring disclosure because they are material under Articles 3 and 4.</w:t>
      </w:r>
    </w:p>
    <w:p>
      <w:pPr>
        <w:spacing w:after="0" w:line="189"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For example, the granting of precautionary measures affecting the issuer’s assets, or being named as a third civilly liable party—matters not expressly referenced in the Regulation but capable of having significant impact.</w:t>
      </w:r>
    </w:p>
    <w:p>
      <w:pPr>
        <w:spacing w:after="0" w:line="141" w:lineRule="exact"/>
        <w:rPr>
          <w:sz w:val="20"/>
          <w:szCs w:val="20"/>
          <w:color w:val="auto"/>
        </w:rPr>
      </w:pPr>
    </w:p>
    <w:p>
      <w:pPr>
        <w:jc w:val="both"/>
        <w:ind w:left="3" w:right="20"/>
        <w:spacing w:after="0" w:line="271" w:lineRule="auto"/>
        <w:rPr>
          <w:sz w:val="20"/>
          <w:szCs w:val="20"/>
          <w:color w:val="auto"/>
        </w:rPr>
      </w:pPr>
      <w:r>
        <w:rPr>
          <w:rFonts w:ascii="Times New Roman" w:cs="Times New Roman" w:eastAsia="Times New Roman" w:hAnsi="Times New Roman"/>
          <w:sz w:val="16"/>
          <w:szCs w:val="16"/>
          <w:color w:val="auto"/>
        </w:rPr>
        <w:t xml:space="preserve">Applying the above analysis to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the necessary elements are present for it to qualify as a material event under Article 4 of the former Regulation on Material Events and Articles 3 and 4 of the current Regulation in force at the time of the cash contributions to the political party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It should therefore have been disclosed, regardless of the absence of a special electoral rule requiring contributors themselves to disclose contributions.</w:t>
      </w:r>
    </w:p>
    <w:p>
      <w:pPr>
        <w:spacing w:after="0" w:line="156"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Moreover, it is easily verifiable in the material event section of the Securities Market Portal (</w:t>
      </w:r>
      <w:r>
        <w:rPr>
          <w:rFonts w:ascii="Times New Roman" w:cs="Times New Roman" w:eastAsia="Times New Roman" w:hAnsi="Times New Roman"/>
          <w:sz w:val="16"/>
          <w:szCs w:val="16"/>
          <w:u w:val="single" w:color="auto"/>
          <w:color w:val="auto"/>
        </w:rPr>
        <w:t>www.smv.gob.pe</w:t>
      </w:r>
      <w:r>
        <w:rPr>
          <w:rFonts w:ascii="Times New Roman" w:cs="Times New Roman" w:eastAsia="Times New Roman" w:hAnsi="Times New Roman"/>
          <w:sz w:val="16"/>
          <w:szCs w:val="16"/>
          <w:color w:val="auto"/>
        </w:rPr>
        <w:t>) that not all material events disclosed by the Issuer correspond to those listed in Annex 1. Therefore, its conduct in practice is inconsistent with the position it asserts in this proceeding.</w:t>
      </w:r>
    </w:p>
    <w:p>
      <w:pPr>
        <w:spacing w:after="0" w:line="141" w:lineRule="exact"/>
        <w:rPr>
          <w:sz w:val="20"/>
          <w:szCs w:val="20"/>
          <w:color w:val="auto"/>
        </w:rPr>
      </w:pPr>
    </w:p>
    <w:p>
      <w:pPr>
        <w:jc w:val="both"/>
        <w:ind w:left="3" w:right="20"/>
        <w:spacing w:after="0" w:line="271" w:lineRule="auto"/>
        <w:rPr>
          <w:sz w:val="20"/>
          <w:szCs w:val="20"/>
          <w:color w:val="auto"/>
        </w:rPr>
      </w:pPr>
      <w:r>
        <w:rPr>
          <w:rFonts w:ascii="Times New Roman" w:cs="Times New Roman" w:eastAsia="Times New Roman" w:hAnsi="Times New Roman"/>
          <w:sz w:val="16"/>
          <w:szCs w:val="16"/>
          <w:color w:val="auto"/>
        </w:rPr>
        <w:t>Accordingly, the opinion of the attorney from Zegarra &amp; Schipper Abogados Consultores concluding that “</w:t>
      </w:r>
      <w:r>
        <w:rPr>
          <w:rFonts w:ascii="Times New Roman" w:cs="Times New Roman" w:eastAsia="Times New Roman" w:hAnsi="Times New Roman"/>
          <w:sz w:val="16"/>
          <w:szCs w:val="16"/>
          <w:i w:val="1"/>
          <w:iCs w:val="1"/>
          <w:color w:val="auto"/>
        </w:rPr>
        <w:t>a contributor such as Credicorp could not be responsible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failing to report such contributions</w:t>
      </w:r>
      <w:r>
        <w:rPr>
          <w:rFonts w:ascii="Times New Roman" w:cs="Times New Roman" w:eastAsia="Times New Roman" w:hAnsi="Times New Roman"/>
          <w:sz w:val="16"/>
          <w:szCs w:val="16"/>
          <w:color w:val="auto"/>
        </w:rPr>
        <w:t>” is irrelevant to justify the Issuer’s concealment of the 2011 cash contributions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While political parties are responsible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reporting contributions to ONPE, this does not exempt the Issuer from its independent disclosure obligations under securities regulations.</w:t>
      </w:r>
    </w:p>
    <w:p>
      <w:pPr>
        <w:spacing w:after="0" w:line="154" w:lineRule="exact"/>
        <w:rPr>
          <w:sz w:val="20"/>
          <w:szCs w:val="20"/>
          <w:color w:val="auto"/>
        </w:rPr>
      </w:pPr>
    </w:p>
    <w:p>
      <w:pPr>
        <w:ind w:left="163" w:hanging="163"/>
        <w:spacing w:after="0"/>
        <w:tabs>
          <w:tab w:leader="none" w:pos="163"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SPECIFIC DEFENSES REGARDING THE FIRST CHARGE: THE 2011 INFORMATION</w:t>
      </w:r>
    </w:p>
    <w:p>
      <w:pPr>
        <w:spacing w:after="0" w:line="204" w:lineRule="exact"/>
        <w:rPr>
          <w:rFonts w:ascii="Times New Roman" w:cs="Times New Roman" w:eastAsia="Times New Roman" w:hAnsi="Times New Roman"/>
          <w:sz w:val="16"/>
          <w:szCs w:val="16"/>
          <w:b w:val="1"/>
          <w:bCs w:val="1"/>
          <w:color w:val="auto"/>
        </w:rPr>
      </w:pPr>
    </w:p>
    <w:p>
      <w:pPr>
        <w:ind w:left="283" w:hanging="283"/>
        <w:spacing w:after="0"/>
        <w:tabs>
          <w:tab w:leader="none" w:pos="283"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REGARDING THE PRESCRIPTION REQUESTED BY THE ISSUER</w:t>
      </w:r>
    </w:p>
    <w:p>
      <w:pPr>
        <w:spacing w:after="0" w:line="206" w:lineRule="exact"/>
        <w:rPr>
          <w:sz w:val="20"/>
          <w:szCs w:val="20"/>
          <w:color w:val="auto"/>
        </w:rPr>
      </w:pPr>
    </w:p>
    <w:p>
      <w:pPr>
        <w:jc w:val="both"/>
        <w:ind w:left="3" w:right="20"/>
        <w:spacing w:after="0" w:line="270" w:lineRule="auto"/>
        <w:rPr>
          <w:sz w:val="20"/>
          <w:szCs w:val="20"/>
          <w:color w:val="auto"/>
        </w:rPr>
      </w:pPr>
      <w:r>
        <w:rPr>
          <w:rFonts w:ascii="Times New Roman" w:cs="Times New Roman" w:eastAsia="Times New Roman" w:hAnsi="Times New Roman"/>
          <w:sz w:val="16"/>
          <w:szCs w:val="16"/>
          <w:color w:val="auto"/>
        </w:rPr>
        <w:t>The Issuer argues that if the case concerned a material event, the deadline to disclose the information would have been May 24, 2011, considering that the last withdrawal of funds delivered to Mr. Romero was on May 23, 2011. At the time, the former Regulation on Material Events allowed issuers to report material events the following business day.</w:t>
      </w:r>
    </w:p>
    <w:p>
      <w:pPr>
        <w:spacing w:after="0" w:line="120" w:lineRule="exact"/>
        <w:rPr>
          <w:sz w:val="20"/>
          <w:szCs w:val="20"/>
          <w:color w:val="auto"/>
        </w:rPr>
      </w:pPr>
    </w:p>
    <w:p>
      <w:pPr>
        <w:jc w:val="both"/>
        <w:ind w:left="3" w:right="20"/>
        <w:spacing w:after="0" w:line="211" w:lineRule="exact"/>
        <w:rPr>
          <w:sz w:val="20"/>
          <w:szCs w:val="20"/>
          <w:color w:val="auto"/>
        </w:rPr>
      </w:pPr>
      <w:r>
        <w:rPr>
          <w:rFonts w:ascii="Times New Roman" w:cs="Times New Roman" w:eastAsia="Times New Roman" w:hAnsi="Times New Roman"/>
          <w:sz w:val="16"/>
          <w:szCs w:val="16"/>
          <w:color w:val="auto"/>
        </w:rPr>
        <w:t>However, it must be reiterated that the charges against the Issuer do not concern the failure to disclose a material event, but rather the concealment of market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relevant information, a concealment lasting more than eight (08) years for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only revealed through the material event of November 21, 2019, following an SMV requirement and in the context of Mr. Romero’s statements before the Public Prosecutor’s Office during a criminal investigation.</w:t>
      </w:r>
    </w:p>
    <w:p>
      <w:pPr>
        <w:spacing w:after="0" w:line="1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Thus, the infraction attributed to the Issuer is typified in subsection 1.6, numeral 1 of Annex I of the Sanctions Regulation, which establishes as a very serious infraction:</w:t>
      </w:r>
    </w:p>
    <w:p>
      <w:pPr>
        <w:spacing w:after="0" w:line="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Carrying out any act, omission, practice or conduct that undermines the integrity or transparency of the market</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jc w:val="both"/>
        <w:ind w:left="3"/>
        <w:spacing w:after="0" w:line="290" w:lineRule="auto"/>
        <w:rPr>
          <w:sz w:val="20"/>
          <w:szCs w:val="20"/>
          <w:color w:val="auto"/>
        </w:rPr>
      </w:pPr>
      <w:r>
        <w:rPr>
          <w:rFonts w:ascii="Times New Roman" w:cs="Times New Roman" w:eastAsia="Times New Roman" w:hAnsi="Times New Roman"/>
          <w:sz w:val="16"/>
          <w:szCs w:val="16"/>
          <w:color w:val="auto"/>
        </w:rPr>
        <w:t xml:space="preserve">It must be noted that the Issuer disclosed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only</w:t>
      </w:r>
      <w:r>
        <w:rPr>
          <w:rFonts w:ascii="Times New Roman" w:cs="Times New Roman" w:eastAsia="Times New Roman" w:hAnsi="Times New Roman"/>
          <w:sz w:val="16"/>
          <w:szCs w:val="16"/>
          <w:color w:val="auto"/>
        </w:rPr>
        <w:t xml:space="preserve"> as a consequence of a testimonial statement before the Public Prosecutor’s Office, meaning the information surfaced during an interrogation of Mr. Romero, making evident the concealment from the market of the </w:t>
      </w:r>
      <w:r>
        <w:rPr>
          <w:rFonts w:ascii="Times New Roman" w:cs="Times New Roman" w:eastAsia="Times New Roman" w:hAnsi="Times New Roman"/>
          <w:sz w:val="16"/>
          <w:szCs w:val="16"/>
          <w:b w:val="1"/>
          <w:bCs w:val="1"/>
          <w:color w:val="auto"/>
        </w:rPr>
        <w:t>cash contributions to FUERZA 2011</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199390</wp:posOffset>
            </wp:positionV>
            <wp:extent cx="714629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81" w:name="page82"/>
    <w:bookmarkEnd w:id="81"/>
    <w:p>
      <w:pPr>
        <w:ind w:left="3"/>
        <w:spacing w:after="0"/>
        <w:rPr>
          <w:sz w:val="20"/>
          <w:szCs w:val="20"/>
          <w:color w:val="auto"/>
        </w:rPr>
      </w:pPr>
      <w:r>
        <w:rPr>
          <w:rFonts w:ascii="Times New Roman" w:cs="Times New Roman" w:eastAsia="Times New Roman" w:hAnsi="Times New Roman"/>
          <w:sz w:val="16"/>
          <w:szCs w:val="16"/>
          <w:color w:val="auto"/>
        </w:rPr>
        <w:t>Regarding the Issuer’s assertion that infractions for late submission of information are instantaneous, it is correct that such infractions are instantaneous.</w:t>
      </w:r>
    </w:p>
    <w:p>
      <w:pPr>
        <w:spacing w:after="0" w:line="169" w:lineRule="exact"/>
        <w:rPr>
          <w:sz w:val="20"/>
          <w:szCs w:val="20"/>
          <w:color w:val="auto"/>
        </w:rPr>
      </w:pPr>
    </w:p>
    <w:p>
      <w:pPr>
        <w:jc w:val="both"/>
        <w:ind w:left="3" w:right="20"/>
        <w:spacing w:after="0" w:line="234" w:lineRule="exact"/>
        <w:rPr>
          <w:sz w:val="20"/>
          <w:szCs w:val="20"/>
          <w:color w:val="auto"/>
        </w:rPr>
      </w:pPr>
      <w:r>
        <w:rPr>
          <w:rFonts w:ascii="Times New Roman" w:cs="Times New Roman" w:eastAsia="Times New Roman" w:hAnsi="Times New Roman"/>
          <w:sz w:val="16"/>
          <w:szCs w:val="16"/>
          <w:color w:val="auto"/>
        </w:rPr>
        <w:t>Indeed, numeral 4.1 CRITERIA of the “Criteria applicable to the administrative sanctioning procedure for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with regulations governing periodic or event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information submissions,” approved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states:</w:t>
      </w:r>
    </w:p>
    <w:p>
      <w:pPr>
        <w:spacing w:after="0" w:line="117" w:lineRule="exact"/>
        <w:rPr>
          <w:sz w:val="20"/>
          <w:szCs w:val="20"/>
          <w:color w:val="auto"/>
        </w:rPr>
      </w:pPr>
    </w:p>
    <w:p>
      <w:pPr>
        <w:ind w:left="3"/>
        <w:spacing w:after="0" w:line="184" w:lineRule="exact"/>
        <w:rPr>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Repetition and/or continuity in committing the infraction</w:t>
      </w:r>
    </w:p>
    <w:p>
      <w:pPr>
        <w:spacing w:after="0" w:line="204" w:lineRule="exact"/>
        <w:rPr>
          <w:sz w:val="20"/>
          <w:szCs w:val="20"/>
          <w:color w:val="auto"/>
        </w:rPr>
      </w:pPr>
    </w:p>
    <w:p>
      <w:pPr>
        <w:jc w:val="both"/>
        <w:ind w:left="3" w:right="20"/>
        <w:spacing w:after="0" w:line="221" w:lineRule="exact"/>
        <w:rPr>
          <w:sz w:val="20"/>
          <w:szCs w:val="20"/>
          <w:color w:val="auto"/>
        </w:rPr>
      </w:pPr>
      <w:r>
        <w:rPr>
          <w:rFonts w:ascii="Times New Roman" w:cs="Times New Roman" w:eastAsia="Times New Roman" w:hAnsi="Times New Roman"/>
          <w:sz w:val="16"/>
          <w:szCs w:val="16"/>
          <w:i w:val="1"/>
          <w:iCs w:val="1"/>
          <w:color w:val="auto"/>
        </w:rPr>
        <w:t xml:space="preserve">“The criterion of continuity does not apply in these infractions, since </w:t>
      </w:r>
      <w:r>
        <w:rPr>
          <w:rFonts w:ascii="Times New Roman" w:cs="Times New Roman" w:eastAsia="Times New Roman" w:hAnsi="Times New Roman"/>
          <w:sz w:val="16"/>
          <w:szCs w:val="16"/>
          <w:i w:val="1"/>
          <w:iCs w:val="1"/>
          <w:u w:val="single" w:color="auto"/>
          <w:color w:val="auto"/>
        </w:rPr>
        <w:t>failure to timely submit periodic or event</w:t>
      </w:r>
      <w:r>
        <w:rPr>
          <w:rFonts w:ascii="MS PGothic" w:cs="MS PGothic" w:eastAsia="MS PGothic" w:hAnsi="MS PGothic"/>
          <w:sz w:val="16"/>
          <w:szCs w:val="16"/>
          <w:i w:val="1"/>
          <w:iCs w:val="1"/>
          <w:u w:val="single" w:color="auto"/>
          <w:color w:val="auto"/>
        </w:rPr>
        <w:t>‑</w:t>
      </w:r>
      <w:r>
        <w:rPr>
          <w:rFonts w:ascii="Times New Roman" w:cs="Times New Roman" w:eastAsia="Times New Roman" w:hAnsi="Times New Roman"/>
          <w:sz w:val="16"/>
          <w:szCs w:val="16"/>
          <w:i w:val="1"/>
          <w:iCs w:val="1"/>
          <w:u w:val="single" w:color="auto"/>
          <w:color w:val="auto"/>
        </w:rPr>
        <w:t>based information</w:t>
      </w:r>
      <w:r>
        <w:rPr>
          <w:rFonts w:ascii="Times New Roman" w:cs="Times New Roman" w:eastAsia="Times New Roman" w:hAnsi="Times New Roman"/>
          <w:sz w:val="16"/>
          <w:szCs w:val="16"/>
          <w:i w:val="1"/>
          <w:iCs w:val="1"/>
          <w:color w:val="auto"/>
        </w:rPr>
        <w:t xml:space="preserve"> constitutes an instantaneous administrative infraction.”</w:t>
      </w:r>
    </w:p>
    <w:p>
      <w:pPr>
        <w:spacing w:after="0" w:line="143" w:lineRule="exact"/>
        <w:rPr>
          <w:sz w:val="20"/>
          <w:szCs w:val="20"/>
          <w:color w:val="auto"/>
        </w:rPr>
      </w:pPr>
    </w:p>
    <w:p>
      <w:pPr>
        <w:jc w:val="both"/>
        <w:ind w:left="3" w:right="20"/>
        <w:spacing w:after="0" w:line="221" w:lineRule="exact"/>
        <w:rPr>
          <w:sz w:val="20"/>
          <w:szCs w:val="20"/>
          <w:color w:val="auto"/>
        </w:rPr>
      </w:pPr>
      <w:r>
        <w:rPr>
          <w:rFonts w:ascii="Times New Roman" w:cs="Times New Roman" w:eastAsia="Times New Roman" w:hAnsi="Times New Roman"/>
          <w:sz w:val="16"/>
          <w:szCs w:val="16"/>
          <w:color w:val="auto"/>
        </w:rPr>
        <w:t>Thus, while late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submission infractions are instantaneous, the present proceeding does not concern late submission. It concerns a deliberate concealment of relevant information, requiring determination of whether the Issuer engaged in such conduct, affecting market transparency.</w:t>
      </w:r>
    </w:p>
    <w:p>
      <w:pPr>
        <w:spacing w:after="0" w:line="177" w:lineRule="exact"/>
        <w:rPr>
          <w:sz w:val="20"/>
          <w:szCs w:val="20"/>
          <w:color w:val="auto"/>
        </w:rPr>
      </w:pPr>
    </w:p>
    <w:p>
      <w:pPr>
        <w:jc w:val="both"/>
        <w:ind w:left="3" w:right="20"/>
        <w:spacing w:after="0" w:line="290" w:lineRule="auto"/>
        <w:rPr>
          <w:sz w:val="20"/>
          <w:szCs w:val="20"/>
          <w:color w:val="auto"/>
        </w:rPr>
      </w:pPr>
      <w:r>
        <w:rPr>
          <w:rFonts w:ascii="Times New Roman" w:cs="Times New Roman" w:eastAsia="Times New Roman" w:hAnsi="Times New Roman"/>
          <w:sz w:val="16"/>
          <w:szCs w:val="16"/>
          <w:color w:val="auto"/>
        </w:rPr>
        <w:t>Regarding the infraction type under evaluation—“</w:t>
      </w:r>
      <w:r>
        <w:rPr>
          <w:rFonts w:ascii="Times New Roman" w:cs="Times New Roman" w:eastAsia="Times New Roman" w:hAnsi="Times New Roman"/>
          <w:sz w:val="16"/>
          <w:szCs w:val="16"/>
          <w:i w:val="1"/>
          <w:iCs w:val="1"/>
          <w:color w:val="auto"/>
        </w:rPr>
        <w:t>carrying out any act, omission, practice or conduct that undermines the integrity or transparency of the market</w:t>
      </w:r>
      <w:r>
        <w:rPr>
          <w:rFonts w:ascii="Times New Roman" w:cs="Times New Roman" w:eastAsia="Times New Roman" w:hAnsi="Times New Roman"/>
          <w:sz w:val="16"/>
          <w:szCs w:val="16"/>
          <w:color w:val="auto"/>
        </w:rPr>
        <w:t>”—the Issuer’s conduct constitutes a permanent infraction, as the concealment persisted for several years and only ceased when the information was disclosed.</w:t>
      </w:r>
    </w:p>
    <w:p>
      <w:pPr>
        <w:spacing w:after="0" w:line="138"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 xml:space="preserve">To clarify the concept of permanent infractions, Ángeles de Palma del Teso states that </w:t>
      </w:r>
      <w:r>
        <w:rPr>
          <w:rFonts w:ascii="Times New Roman" w:cs="Times New Roman" w:eastAsia="Times New Roman" w:hAnsi="Times New Roman"/>
          <w:sz w:val="16"/>
          <w:szCs w:val="16"/>
          <w:b w:val="1"/>
          <w:bCs w:val="1"/>
          <w:u w:val="single" w:color="auto"/>
          <w:color w:val="auto"/>
        </w:rPr>
        <w:t>permanent infractions</w:t>
      </w:r>
      <w:r>
        <w:rPr>
          <w:rFonts w:ascii="Times New Roman" w:cs="Times New Roman" w:eastAsia="Times New Roman" w:hAnsi="Times New Roman"/>
          <w:sz w:val="16"/>
          <w:szCs w:val="16"/>
          <w:color w:val="auto"/>
        </w:rPr>
        <w:t xml:space="preserve"> are characterized by the creation of an unlawful situation that persists over time </w:t>
      </w:r>
      <w:r>
        <w:rPr>
          <w:rFonts w:ascii="Times New Roman" w:cs="Times New Roman" w:eastAsia="Times New Roman" w:hAnsi="Times New Roman"/>
          <w:sz w:val="16"/>
          <w:szCs w:val="16"/>
          <w:b w:val="1"/>
          <w:bCs w:val="1"/>
          <w:u w:val="single" w:color="auto"/>
          <w:color w:val="auto"/>
        </w:rPr>
        <w:t>by the will of its author</w:t>
      </w:r>
      <w:r>
        <w:rPr>
          <w:rFonts w:ascii="Times New Roman" w:cs="Times New Roman" w:eastAsia="Times New Roman" w:hAnsi="Times New Roman"/>
          <w:sz w:val="16"/>
          <w:szCs w:val="16"/>
          <w:color w:val="auto"/>
        </w:rPr>
        <w:t>; the infraction continues until the unlawful situation is abandoned.</w:t>
      </w:r>
      <w:r>
        <w:rPr>
          <w:rFonts w:ascii="Times New Roman" w:cs="Times New Roman" w:eastAsia="Times New Roman" w:hAnsi="Times New Roman"/>
          <w:sz w:val="26"/>
          <w:szCs w:val="26"/>
          <w:color w:val="auto"/>
          <w:vertAlign w:val="superscript"/>
        </w:rPr>
        <w:t>49</w:t>
      </w:r>
    </w:p>
    <w:p>
      <w:pPr>
        <w:spacing w:after="0" w:line="3" w:lineRule="exact"/>
        <w:rPr>
          <w:sz w:val="20"/>
          <w:szCs w:val="20"/>
          <w:color w:val="auto"/>
        </w:rPr>
      </w:pPr>
    </w:p>
    <w:p>
      <w:pPr>
        <w:ind w:left="3" w:right="20"/>
        <w:spacing w:after="0" w:line="289" w:lineRule="auto"/>
        <w:rPr>
          <w:sz w:val="20"/>
          <w:szCs w:val="20"/>
          <w:color w:val="auto"/>
        </w:rPr>
      </w:pPr>
      <w:r>
        <w:rPr>
          <w:rFonts w:ascii="Times New Roman" w:cs="Times New Roman" w:eastAsia="Times New Roman" w:hAnsi="Times New Roman"/>
          <w:sz w:val="16"/>
          <w:szCs w:val="16"/>
          <w:color w:val="auto"/>
        </w:rPr>
        <w:t>Similarly, Lucía Alarcón states that a permanent infraction “</w:t>
      </w:r>
      <w:r>
        <w:rPr>
          <w:rFonts w:ascii="Times New Roman" w:cs="Times New Roman" w:eastAsia="Times New Roman" w:hAnsi="Times New Roman"/>
          <w:sz w:val="16"/>
          <w:szCs w:val="16"/>
          <w:i w:val="1"/>
          <w:iCs w:val="1"/>
          <w:color w:val="auto"/>
        </w:rPr>
        <w:t>exists through a single act of lasting character, whose unlawful result continues over time until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u w:val="single" w:color="auto"/>
          <w:color w:val="auto"/>
        </w:rPr>
        <w:t>active subject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u w:val="single" w:color="auto"/>
          <w:color w:val="auto"/>
        </w:rPr>
        <w:t>decides to cease his conduct</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50</w:t>
      </w:r>
    </w:p>
    <w:p>
      <w:pPr>
        <w:spacing w:after="0" w:line="5" w:lineRule="exact"/>
        <w:rPr>
          <w:sz w:val="20"/>
          <w:szCs w:val="20"/>
          <w:color w:val="auto"/>
        </w:rPr>
      </w:pPr>
    </w:p>
    <w:p>
      <w:pPr>
        <w:jc w:val="both"/>
        <w:ind w:left="3"/>
        <w:spacing w:after="0" w:line="267" w:lineRule="auto"/>
        <w:rPr>
          <w:sz w:val="20"/>
          <w:szCs w:val="20"/>
          <w:color w:val="auto"/>
        </w:rPr>
      </w:pPr>
      <w:r>
        <w:rPr>
          <w:rFonts w:ascii="Times New Roman" w:cs="Times New Roman" w:eastAsia="Times New Roman" w:hAnsi="Times New Roman"/>
          <w:sz w:val="16"/>
          <w:szCs w:val="16"/>
          <w:color w:val="auto"/>
        </w:rPr>
        <w:t xml:space="preserve">Therefore, the Issuer’s argument that, in the case of failure to disclose a material event (subsection 2.14, numeral 2 of Annex I of the Sanctions Regulation in force at the time the facts took place), the deadline expired on May 24, 2011, considering that the last withdrawal of funds delivered to Mr. Romero was on May 23, 2011, </w:t>
      </w:r>
      <w:r>
        <w:rPr>
          <w:rFonts w:ascii="Times New Roman" w:cs="Times New Roman" w:eastAsia="Times New Roman" w:hAnsi="Times New Roman"/>
          <w:sz w:val="16"/>
          <w:szCs w:val="16"/>
          <w:b w:val="1"/>
          <w:bCs w:val="1"/>
          <w:u w:val="single" w:color="auto"/>
          <w:color w:val="auto"/>
        </w:rPr>
        <w:t>is incorrect</w:t>
      </w:r>
      <w:r>
        <w:rPr>
          <w:rFonts w:ascii="Times New Roman" w:cs="Times New Roman" w:eastAsia="Times New Roman" w:hAnsi="Times New Roman"/>
          <w:sz w:val="16"/>
          <w:szCs w:val="16"/>
          <w:color w:val="auto"/>
        </w:rPr>
        <w:t xml:space="preserve"> because the charge is not based on that infraction. Instead, it concerns the infraction typified under subsection 1.6, numeral 1 of Annex I of the previously cited Sanctions Regulation.</w:t>
      </w:r>
    </w:p>
    <w:p>
      <w:pPr>
        <w:spacing w:after="0" w:line="357" w:lineRule="exact"/>
        <w:rPr>
          <w:sz w:val="20"/>
          <w:szCs w:val="20"/>
          <w:color w:val="auto"/>
        </w:rPr>
      </w:pPr>
    </w:p>
    <w:p>
      <w:pPr>
        <w:jc w:val="both"/>
        <w:ind w:left="3" w:right="20"/>
        <w:spacing w:after="0" w:line="270" w:lineRule="auto"/>
        <w:rPr>
          <w:sz w:val="20"/>
          <w:szCs w:val="20"/>
          <w:color w:val="auto"/>
        </w:rPr>
      </w:pPr>
      <w:r>
        <w:rPr>
          <w:rFonts w:ascii="Times New Roman" w:cs="Times New Roman" w:eastAsia="Times New Roman" w:hAnsi="Times New Roman"/>
          <w:sz w:val="16"/>
          <w:szCs w:val="16"/>
          <w:color w:val="auto"/>
        </w:rPr>
        <w:t>Since the infraction is permanent, the prescription period begins when the conduct ceased, which occurred on November 21, 2019, following Mr. Romero’s statements of November 18, 2019, and the issuance of the material event disclosure on November 21, 2019. Thus, the prescription period begins on November 21, 2019, and the SMV’s authority to determine infractions has not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788160"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318" w:lineRule="exact"/>
        <w:rPr>
          <w:sz w:val="20"/>
          <w:szCs w:val="20"/>
          <w:color w:val="auto"/>
        </w:rPr>
      </w:pPr>
    </w:p>
    <w:p>
      <w:pPr>
        <w:ind w:left="3" w:right="20" w:hanging="3"/>
        <w:spacing w:after="0" w:line="211" w:lineRule="auto"/>
        <w:tabs>
          <w:tab w:leader="none" w:pos="183" w:val="left"/>
        </w:tabs>
        <w:numPr>
          <w:ilvl w:val="0"/>
          <w:numId w:val="10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DE PALMA DEL TESO, Ángeles. Las infracciones administrativas continuadas, las infracciones permanentes, las infracciones de estado y las infracciones de pluralidad de actos: distinción a efectos del cómputo de la prescripción. p. 557. http://www.mpfn.gob.pe/escuela/contenido/actividades/docs/2271_palma_del_teso_clases_de_infracciones.pdf.</w:t>
      </w:r>
    </w:p>
    <w:p>
      <w:pPr>
        <w:spacing w:after="0" w:line="2" w:lineRule="exact"/>
        <w:rPr>
          <w:rFonts w:ascii="Times New Roman" w:cs="Times New Roman" w:eastAsia="Times New Roman" w:hAnsi="Times New Roman"/>
          <w:sz w:val="27"/>
          <w:szCs w:val="27"/>
          <w:color w:val="auto"/>
          <w:vertAlign w:val="superscript"/>
        </w:rPr>
      </w:pPr>
    </w:p>
    <w:p>
      <w:pPr>
        <w:ind w:left="183" w:hanging="183"/>
        <w:spacing w:after="0" w:line="184" w:lineRule="auto"/>
        <w:tabs>
          <w:tab w:leader="none" w:pos="183" w:val="left"/>
        </w:tabs>
        <w:numPr>
          <w:ilvl w:val="0"/>
          <w:numId w:val="10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REBOLLO, Manuel, IZQUIERDO, Manuel, ALARCÓN, Lucía y BUENO, Antonio. Derecho Administrativo Sancionador. Valladolid, 2010, p. 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82" w:name="page83"/>
    <w:bookmarkEnd w:id="82"/>
    <w:p>
      <w:pPr>
        <w:jc w:val="both"/>
        <w:ind w:left="3" w:right="20"/>
        <w:spacing w:after="0" w:line="270" w:lineRule="auto"/>
        <w:rPr>
          <w:sz w:val="20"/>
          <w:szCs w:val="20"/>
          <w:color w:val="auto"/>
        </w:rPr>
      </w:pPr>
      <w:r>
        <w:rPr>
          <w:rFonts w:ascii="Times New Roman" w:cs="Times New Roman" w:eastAsia="Times New Roman" w:hAnsi="Times New Roman"/>
          <w:sz w:val="16"/>
          <w:szCs w:val="16"/>
          <w:color w:val="auto"/>
        </w:rPr>
        <w:t>At the time the contributions were made, Article 233 of the General Administrative Procedure Law was in force, providing that the authority’s power to determine administrative infractions prescribes within the period established by special laws, and absent such, within five years from the date the infraction was committed or ceased if it was a continued action.</w:t>
      </w:r>
    </w:p>
    <w:p>
      <w:pPr>
        <w:spacing w:after="0" w:line="1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Under Article 342 of the LMV, the SMV’s authority to determine administrative infractions prescribes in four (4) years.</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Similarly, numeral 2 of Article 252 of the TUO of the LPAG states:</w:t>
      </w:r>
    </w:p>
    <w:p>
      <w:pPr>
        <w:spacing w:after="0" w:line="202" w:lineRule="exact"/>
        <w:rPr>
          <w:sz w:val="20"/>
          <w:szCs w:val="20"/>
          <w:color w:val="auto"/>
        </w:rPr>
      </w:pPr>
    </w:p>
    <w:p>
      <w:pPr>
        <w:jc w:val="both"/>
        <w:ind w:left="3" w:right="20"/>
        <w:spacing w:after="0" w:line="271" w:lineRule="auto"/>
        <w:rPr>
          <w:sz w:val="20"/>
          <w:szCs w:val="20"/>
          <w:color w:val="auto"/>
        </w:rPr>
      </w:pPr>
      <w:r>
        <w:rPr>
          <w:rFonts w:ascii="Times New Roman" w:cs="Times New Roman" w:eastAsia="Times New Roman" w:hAnsi="Times New Roman"/>
          <w:sz w:val="16"/>
          <w:szCs w:val="16"/>
          <w:i w:val="1"/>
          <w:iCs w:val="1"/>
          <w:color w:val="auto"/>
        </w:rPr>
        <w:t>“252.2 The computation of the limitation period for the authority’s power to determine the existence of infractions shall begin on the day the infraction was committed in the case of instantaneous infractions or instantaneous infractions with permanent effects; from the day on which the last constitutive act of the infraction was carried out in the case of continued infractions; or from the day on which the action ceased in the case of permanent infractions.”</w:t>
      </w:r>
    </w:p>
    <w:p>
      <w:pPr>
        <w:spacing w:after="0" w:line="156" w:lineRule="exact"/>
        <w:rPr>
          <w:sz w:val="20"/>
          <w:szCs w:val="20"/>
          <w:color w:val="auto"/>
        </w:rPr>
      </w:pPr>
    </w:p>
    <w:p>
      <w:pPr>
        <w:jc w:val="both"/>
        <w:ind w:left="3" w:right="20"/>
        <w:spacing w:after="0" w:line="286" w:lineRule="auto"/>
        <w:rPr>
          <w:sz w:val="20"/>
          <w:szCs w:val="20"/>
          <w:color w:val="auto"/>
        </w:rPr>
      </w:pPr>
      <w:r>
        <w:rPr>
          <w:rFonts w:ascii="Times New Roman" w:cs="Times New Roman" w:eastAsia="Times New Roman" w:hAnsi="Times New Roman"/>
          <w:sz w:val="16"/>
          <w:szCs w:val="16"/>
          <w:color w:val="auto"/>
        </w:rPr>
        <w:t>Likewise, Ángeles de Palma del Teso states that: “(…) Therefore, only in the case of permanent infractions does the limitation period begin to run once the maintenance of the unlawful situation ceases, since until that moment the infraction has continued to be consummated.”</w:t>
      </w:r>
      <w:r>
        <w:rPr>
          <w:rFonts w:ascii="Times New Roman" w:cs="Times New Roman" w:eastAsia="Times New Roman" w:hAnsi="Times New Roman"/>
          <w:sz w:val="26"/>
          <w:szCs w:val="26"/>
          <w:color w:val="auto"/>
          <w:vertAlign w:val="superscript"/>
        </w:rPr>
        <w:t>51</w:t>
      </w:r>
    </w:p>
    <w:p>
      <w:pPr>
        <w:spacing w:after="0" w:line="7" w:lineRule="exact"/>
        <w:rPr>
          <w:sz w:val="20"/>
          <w:szCs w:val="20"/>
          <w:color w:val="auto"/>
        </w:rPr>
      </w:pPr>
    </w:p>
    <w:p>
      <w:pPr>
        <w:jc w:val="both"/>
        <w:ind w:left="3" w:right="20"/>
        <w:spacing w:after="0" w:line="273" w:lineRule="auto"/>
        <w:rPr>
          <w:sz w:val="20"/>
          <w:szCs w:val="20"/>
          <w:color w:val="auto"/>
        </w:rPr>
      </w:pPr>
      <w:r>
        <w:rPr>
          <w:rFonts w:ascii="Times New Roman" w:cs="Times New Roman" w:eastAsia="Times New Roman" w:hAnsi="Times New Roman"/>
          <w:sz w:val="16"/>
          <w:szCs w:val="16"/>
          <w:color w:val="auto"/>
        </w:rPr>
        <w:t>Finally, it must be specified that the present administrative sanctioning proceeding would prescribe on November 21, 2023, without considering the extensions requested by the Issuer, in accordance with Article 342 of the LMV and considering that the infraction ceased on November 21, 2019. Therefore, it is not appropriate to request prescription when we are dealing with a permanent infraction and not an instantaneous one.</w:t>
      </w:r>
      <w:r>
        <w:rPr>
          <w:rFonts w:ascii="Times New Roman" w:cs="Times New Roman" w:eastAsia="Times New Roman" w:hAnsi="Times New Roman"/>
          <w:sz w:val="26"/>
          <w:szCs w:val="26"/>
          <w:color w:val="auto"/>
          <w:vertAlign w:val="superscript"/>
        </w:rPr>
        <w:t>52</w:t>
      </w:r>
    </w:p>
    <w:p>
      <w:pPr>
        <w:spacing w:after="0" w:line="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7.2. THE 2011 INFORMATION IS NOT MATERIAL</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7.2.1. REGARDING MATERIALITY AS A BASIC REQUIREMENT FOR THE DISCLOSURE OBLIGATION</w:t>
      </w:r>
    </w:p>
    <w:p>
      <w:pPr>
        <w:spacing w:after="0" w:line="204" w:lineRule="exact"/>
        <w:rPr>
          <w:sz w:val="20"/>
          <w:szCs w:val="20"/>
          <w:color w:val="auto"/>
        </w:rPr>
      </w:pPr>
    </w:p>
    <w:p>
      <w:pPr>
        <w:ind w:left="3" w:right="20"/>
        <w:spacing w:after="0" w:line="290" w:lineRule="auto"/>
        <w:rPr>
          <w:sz w:val="20"/>
          <w:szCs w:val="20"/>
          <w:color w:val="auto"/>
        </w:rPr>
      </w:pPr>
      <w:r>
        <w:rPr>
          <w:rFonts w:ascii="Times New Roman" w:cs="Times New Roman" w:eastAsia="Times New Roman" w:hAnsi="Times New Roman"/>
          <w:sz w:val="16"/>
          <w:szCs w:val="16"/>
          <w:color w:val="auto"/>
        </w:rPr>
        <w:t xml:space="preserve">On this matter, we must first reiterate that the charges brought against the Issuer are based on having concealed information relevant to the market: </w:t>
      </w:r>
      <w:r>
        <w:rPr>
          <w:rFonts w:ascii="Times New Roman" w:cs="Times New Roman" w:eastAsia="Times New Roman" w:hAnsi="Times New Roman"/>
          <w:sz w:val="16"/>
          <w:szCs w:val="16"/>
          <w:b w:val="1"/>
          <w:bCs w:val="1"/>
          <w:color w:val="auto"/>
        </w:rPr>
        <w:t>THE 2011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INFORMATION.</w:t>
      </w:r>
    </w:p>
    <w:p>
      <w:pPr>
        <w:spacing w:after="0" w:line="138" w:lineRule="exact"/>
        <w:rPr>
          <w:sz w:val="20"/>
          <w:szCs w:val="20"/>
          <w:color w:val="auto"/>
        </w:rPr>
      </w:pPr>
    </w:p>
    <w:p>
      <w:pPr>
        <w:jc w:val="both"/>
        <w:ind w:left="3" w:right="20"/>
        <w:spacing w:after="0" w:line="262" w:lineRule="auto"/>
        <w:rPr>
          <w:sz w:val="20"/>
          <w:szCs w:val="20"/>
          <w:color w:val="auto"/>
        </w:rPr>
      </w:pPr>
      <w:r>
        <w:rPr>
          <w:rFonts w:ascii="Times New Roman" w:cs="Times New Roman" w:eastAsia="Times New Roman" w:hAnsi="Times New Roman"/>
          <w:sz w:val="16"/>
          <w:szCs w:val="16"/>
          <w:color w:val="auto"/>
        </w:rPr>
        <w:t xml:space="preserve">The Issuer argues that the cash contribution referred to as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is not material and therefore did not have to be disclosed as a material event. To support this claim, the Issuer cites Article 28 of the LMV, which states: “</w:t>
      </w:r>
      <w:r>
        <w:rPr>
          <w:rFonts w:ascii="Times New Roman" w:cs="Times New Roman" w:eastAsia="Times New Roman" w:hAnsi="Times New Roman"/>
          <w:sz w:val="16"/>
          <w:szCs w:val="16"/>
          <w:i w:val="1"/>
          <w:iCs w:val="1"/>
          <w:color w:val="auto"/>
        </w:rPr>
        <w:t>The registration of a particular security or issuance program entails for its issuer the obligation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report to CONASEV and, where applicable, to the relevant exchange or the entity responsible for operating the centralized mechanism, all material events, including ongoing negotiations, regarding itself, the security and any offering thereof, as well as the obligation to disclose such events in a truthful, sufficient and timely manner. (…) The importance of an event is measured by the influence it may have on a reasonable investor in deciding whether to invest in the security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178816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25" w:lineRule="exact"/>
        <w:rPr>
          <w:sz w:val="20"/>
          <w:szCs w:val="20"/>
          <w:color w:val="auto"/>
        </w:rPr>
      </w:pPr>
    </w:p>
    <w:p>
      <w:pPr>
        <w:ind w:left="183" w:hanging="183"/>
        <w:spacing w:after="0"/>
        <w:tabs>
          <w:tab w:leader="none" w:pos="183" w:val="left"/>
        </w:tabs>
        <w:numPr>
          <w:ilvl w:val="0"/>
          <w:numId w:val="10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DE PALMA DEL TESO. Op. cit. p. 558 – 559.</w:t>
      </w:r>
    </w:p>
    <w:p>
      <w:pPr>
        <w:spacing w:after="0" w:line="2" w:lineRule="exact"/>
        <w:rPr>
          <w:rFonts w:ascii="Times New Roman" w:cs="Times New Roman" w:eastAsia="Times New Roman" w:hAnsi="Times New Roman"/>
          <w:sz w:val="27"/>
          <w:szCs w:val="27"/>
          <w:color w:val="auto"/>
          <w:vertAlign w:val="superscript"/>
        </w:rPr>
      </w:pPr>
    </w:p>
    <w:p>
      <w:pPr>
        <w:ind w:left="3"/>
        <w:spacing w:after="0" w:line="184"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2"/>
          <w:szCs w:val="22"/>
          <w:color w:val="auto"/>
          <w:vertAlign w:val="superscript"/>
        </w:rPr>
        <w:t>52</w:t>
      </w:r>
      <w:r>
        <w:rPr>
          <w:rFonts w:ascii="Times New Roman" w:cs="Times New Roman" w:eastAsia="Times New Roman" w:hAnsi="Times New Roman"/>
          <w:sz w:val="14"/>
          <w:szCs w:val="14"/>
          <w:i w:val="1"/>
          <w:iCs w:val="1"/>
          <w:color w:val="auto"/>
        </w:rPr>
        <w:t>“Article 342. Persons Subject to Sanction</w:t>
      </w:r>
    </w:p>
    <w:p>
      <w:pPr>
        <w:jc w:val="both"/>
        <w:ind w:left="3"/>
        <w:spacing w:after="0" w:line="258"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i w:val="1"/>
          <w:iCs w:val="1"/>
          <w:color w:val="auto"/>
        </w:rPr>
        <w:t>The individuals subject to sanction by the Superintendency of the Securities Market (SMV) are those persons falling within the scope of application of this Law who incur violations of its provisions and of the general regulations issued by the SMV. The authority to determine the existence of administrative infringements with respect to all natural and legal persons under its jurisdiction expires after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14629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83" w:name="page84"/>
    <w:bookmarkEnd w:id="83"/>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Based on the wording of the provision cited by the Issuer, in force at the time of the events, it can be observed literally that the provision does not refer expressly to the term “materiality”; therefore, adding such an element to the rule—based solely on its literal interpretation—would not be particularly relevant. However, we agree with the Issuer that it is indeed important to analyze, qualify and quantify a given fact arising within the issuer itself or any information related to its business activities.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Thus, it is important to recall that the second paragraph of Article 28 of the LMV establishes that “</w:t>
      </w:r>
      <w:r>
        <w:rPr>
          <w:rFonts w:ascii="Times New Roman" w:cs="Times New Roman" w:eastAsia="Times New Roman" w:hAnsi="Times New Roman"/>
          <w:sz w:val="16"/>
          <w:szCs w:val="16"/>
          <w:i w:val="1"/>
          <w:iCs w:val="1"/>
          <w:color w:val="auto"/>
        </w:rPr>
        <w:t>The importance of an event is measured by the influence it may have on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reasonable investor in deciding whether to invest in the security</w:t>
      </w:r>
      <w:r>
        <w:rPr>
          <w:rFonts w:ascii="Times New Roman" w:cs="Times New Roman" w:eastAsia="Times New Roman" w:hAnsi="Times New Roman"/>
          <w:sz w:val="16"/>
          <w:szCs w:val="16"/>
          <w:color w:val="auto"/>
        </w:rPr>
        <w:t>,” and this provision is crucial in determining whether acts, events, decisions or agreements affecting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issuer and its business—along with those affecting companies within its economic group—constitute material events, in addition to the </w:t>
      </w:r>
      <w:r>
        <w:rPr>
          <w:rFonts w:ascii="Times New Roman" w:cs="Times New Roman" w:eastAsia="Times New Roman" w:hAnsi="Times New Roman"/>
          <w:sz w:val="16"/>
          <w:szCs w:val="16"/>
          <w:i w:val="1"/>
          <w:iCs w:val="1"/>
          <w:color w:val="auto"/>
        </w:rPr>
        <w:t>numerus apertus</w:t>
      </w:r>
      <w:r>
        <w:rPr>
          <w:rFonts w:ascii="Times New Roman" w:cs="Times New Roman" w:eastAsia="Times New Roman" w:hAnsi="Times New Roman"/>
          <w:sz w:val="16"/>
          <w:szCs w:val="16"/>
          <w:color w:val="auto"/>
        </w:rPr>
        <w:t xml:space="preserve"> nature of Annex 1 of the Regulation on Material Events.</w:t>
      </w:r>
    </w:p>
    <w:p>
      <w:pPr>
        <w:spacing w:after="0" w:line="16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Likewise, it is important to analyze whether the information directly affects or may significantly affect the determination of the price, liquidity or trading of securities registered in the RPMV, or, more generally, whether the information is necessary for investors to form an assessment of the issuer’s implicit risk, its financial situation and operating results, as well as its issued securities. This was established in Article 4 of the former Regulation on Material Events, applicable at the time of the events.</w:t>
      </w:r>
    </w:p>
    <w:p>
      <w:pPr>
        <w:spacing w:after="0" w:line="15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 xml:space="preserve">Given the above,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was relevant for investors, enabling them to form an opinion about the implicit risk of the company deciding to support a political party during the 2011 presidential campaign. Indeed, it was relevant for the market to know that one of the largest financial conglomerates operating in Peru took a position in favor of one of the two major political parties and its economic plan or model. This is not objectionable from the standpoint of participating in political activities as a donor; however, given the significance of the contribution from a qualitative perspective, there is no doubt that it should have been disclosed to the market as a material event.</w:t>
      </w:r>
    </w:p>
    <w:p>
      <w:pPr>
        <w:spacing w:after="0" w:line="16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It should be noted that, if the cash contribution had been known in due time, the information could potentially have directly affected or significantly influenced the determination of the price, liquidity or trading of the Issuer’s securities. Therefore, disclosure obligations must not be assessed solely from a quantitative-material perspective, as the Issuer assumes when arguing that the contribution did not significantly affect its financial position or other quantitative indicators referenced in its defenses.</w:t>
      </w:r>
    </w:p>
    <w:p>
      <w:pPr>
        <w:spacing w:after="0" w:line="3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Regarding this repetitive argument by the Issuer concerning the alleged lack of materiality of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as previously stated, such claim lacks foundation because the information is significant. This is corroborated, among other evidence detailed in this Resolution, by the fact that Mr. Romero himself, in the Issuer’s 2019 Annual Report (see </w:t>
      </w:r>
      <w:r>
        <w:rPr>
          <w:rFonts w:ascii="Times New Roman" w:cs="Times New Roman" w:eastAsia="Times New Roman" w:hAnsi="Times New Roman"/>
          <w:sz w:val="16"/>
          <w:szCs w:val="16"/>
          <w:b w:val="1"/>
          <w:bCs w:val="1"/>
          <w:color w:val="auto"/>
        </w:rPr>
        <w:t>ANNEX 1</w:t>
      </w:r>
      <w:r>
        <w:rPr>
          <w:rFonts w:ascii="Times New Roman" w:cs="Times New Roman" w:eastAsia="Times New Roman" w:hAnsi="Times New Roman"/>
          <w:sz w:val="16"/>
          <w:szCs w:val="16"/>
          <w:color w:val="auto"/>
        </w:rPr>
        <w:t>),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4629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6"/>
          <w:szCs w:val="16"/>
          <w:b w:val="1"/>
          <w:bCs w:val="1"/>
          <w:color w:val="auto"/>
        </w:rPr>
        <w:t>Letter from the President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Dear Shareholders,</w:t>
      </w:r>
    </w:p>
    <w:p>
      <w:pPr>
        <w:spacing w:after="0" w:line="20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Each year I write this letter to share with you the results of our business and our outlook for the future. On this occasion, I would like to begin by commenting on the impact of events that occurred nine years ago and the measures we have been taking as part of a continuous improvement process in our corporate governance.</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I have recently made public the reasons why I decided, in the years 2010–2011, within a politically risky context for the future of Peru, that Credicorp should contribute funds to the 2011 presidential campaign. I greatly regret the impact these actions have had on our organization and on the perception of our stakeholders. Since late 2011, together with Management and the Board of Directors, we have worked to continuously strengthen and reinforce our corporate governance policies. For example, the political contributions made during the 2016 presidential campaign by three of our subsidiaries (Banco de Crédito del Perú, Mibanco, and Pacífico) were carried out under clear procedures and in strict compliance with transparency and reporting requirements. Furthermore, I want to underline that Credicorp currently has a corporate policy prohibiting political contributions to any political party, regardless of the jurisdiction in which we operate.</w:t>
      </w:r>
    </w:p>
    <w:p>
      <w:pPr>
        <w:spacing w:after="0" w:line="16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 xml:space="preserve">From this text, it is clear that Mr. Romero, Chairman of the Issuer’s Board of Directors—who, for the purposes of analysis in this administrative proceeding, is considered part of the Issuer—acknowledges that the events referred to in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generated </w:t>
      </w:r>
      <w:r>
        <w:rPr>
          <w:rFonts w:ascii="Times New Roman" w:cs="Times New Roman" w:eastAsia="Times New Roman" w:hAnsi="Times New Roman"/>
          <w:sz w:val="16"/>
          <w:szCs w:val="16"/>
          <w:b w:val="1"/>
          <w:bCs w:val="1"/>
          <w:u w:val="single" w:color="auto"/>
          <w:color w:val="auto"/>
        </w:rPr>
        <w:t>an impact</w:t>
      </w:r>
      <w:r>
        <w:rPr>
          <w:rFonts w:ascii="Times New Roman" w:cs="Times New Roman" w:eastAsia="Times New Roman" w:hAnsi="Times New Roman"/>
          <w:sz w:val="16"/>
          <w:szCs w:val="16"/>
          <w:color w:val="auto"/>
        </w:rPr>
        <w:t xml:space="preserve"> on the organization and the perception of its stakeholders.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In conclusion, to evaluate significant influence, both quantitative elements (impact on assets, results, financial situation) and qualitative elements must be considered, such as the potential or actual significance of the information on the Issuer’s business conduct and the possible effects on its image and reputation. In general, this qualitative element helps incorporate best practices of transparency, disclosure and dissemination of information to the securities market. In this specific case, it has been demonstrated that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2011 INFORMATION </w:t>
      </w:r>
      <w:r>
        <w:rPr>
          <w:rFonts w:ascii="Times New Roman" w:cs="Times New Roman" w:eastAsia="Times New Roman" w:hAnsi="Times New Roman"/>
          <w:sz w:val="16"/>
          <w:szCs w:val="16"/>
          <w:color w:val="auto"/>
        </w:rPr>
        <w:t>is indeed material or significant and qualifies as relevant information that should—and has now—been disclosed as a material event.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7.2.2. REGARDING THE LEGAL CONCEPT OF MATERIALITY</w:t>
      </w:r>
    </w:p>
    <w:p>
      <w:pPr>
        <w:spacing w:after="0" w:line="20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On this point, it must be noted that we agree with the Issuer regarding the determination of the legal basis in Peruvian regulation for defining a material event, referring to Article 28 of the LMV and to the provisions of the Regulation on Material Events and Confidential Information in force.</w:t>
      </w:r>
    </w:p>
    <w:p>
      <w:pPr>
        <w:spacing w:after="0" w:line="14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Article 28 of the LMV provides that: “</w:t>
      </w:r>
      <w:r>
        <w:rPr>
          <w:rFonts w:ascii="Times New Roman" w:cs="Times New Roman" w:eastAsia="Times New Roman" w:hAnsi="Times New Roman"/>
          <w:sz w:val="16"/>
          <w:szCs w:val="16"/>
          <w:i w:val="1"/>
          <w:iCs w:val="1"/>
          <w:color w:val="auto"/>
        </w:rPr>
        <w:t>The registration of a particular security or issuance program entails for its issuer the obligation to report to CONASEV and, where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applicable, to the relevant exchange or entity responsible for operating the centralized mechanism, all material events, including ongoing negotiations, regarding itself, the security and any offering thereof, as well as the obligation to disclose such events in a truthful, sufficient and timely manner. The information must be provided and disclosed as soon as the event occurs or the issuer becomes aware of it, as applicable.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importance of an event is measured by the influence it may have on a reasonable investor in deciding whether to invest in the security</w:t>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 turn, Article 3 of the current Regulation on Material Events defines: “</w:t>
      </w:r>
      <w:r>
        <w:rPr>
          <w:rFonts w:ascii="Times New Roman" w:cs="Times New Roman" w:eastAsia="Times New Roman" w:hAnsi="Times New Roman"/>
          <w:sz w:val="16"/>
          <w:szCs w:val="16"/>
          <w:i w:val="1"/>
          <w:iCs w:val="1"/>
          <w:color w:val="auto"/>
        </w:rPr>
        <w:t>A material event is any act, decision, agreement, fact, ongoing negotiation or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concerning the Issuer, its securities or its business that has the capacity to significantly influence: (3.1) the decision of a reasonable investor to buy, sell or hold a security; or (3.2) the liquidity, price or market quotation of the issued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4629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5" w:name="page86"/>
    <w:bookmarkEnd w:id="85"/>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It also includes information pertaining to the Issuer’s economic group that the Issuer knows or reasonably should have known, and that has the capacity to significantly influence the Issuer or its securities, in accordance with this Regulation</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Additionally, Article 4 of the Regulation establishes the criteria for determining significant influence, stating: “</w:t>
      </w:r>
      <w:r>
        <w:rPr>
          <w:rFonts w:ascii="Times New Roman" w:cs="Times New Roman" w:eastAsia="Times New Roman" w:hAnsi="Times New Roman"/>
          <w:sz w:val="16"/>
          <w:szCs w:val="16"/>
          <w:i w:val="1"/>
          <w:iCs w:val="1"/>
          <w:color w:val="auto"/>
        </w:rPr>
        <w:t>To evaluate the capacity of information to significantly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influence and its potential classification as a material event, the Issuer must consider the significance of the act, agreement, fact, ongoing negotiation, decision or set of circumstances in its activities, assets, results, financial situation or general business or commercial position; or in its securities or their offering; as well as in the price or trading of its securities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 xml:space="preserve">Although the Issuer refers to the current Regulation on Material Events, it must be recalled—as previously stated—that both the former Regulation (in force at the time of the 2011 cash contributions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and the current Regulation share the same purpose: imposing on issuers registered in the RPMV the obligation to disclose material information truthfully, sufficiently and timely.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demonstrate that neither regulation expressly refers to the term “materiality,” a comparison of both rules is presented below:</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Regulation on Material Events, Confidential Information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146290" cy="4933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6290" cy="493395"/>
                    </a:xfrm>
                    <a:prstGeom prst="rect">
                      <a:avLst/>
                    </a:prstGeom>
                    <a:noFill/>
                  </pic:spPr>
                </pic:pic>
              </a:graphicData>
            </a:graphic>
          </wp:anchor>
        </w:drawing>
      </w:r>
    </w:p>
    <w:p>
      <w:pPr>
        <w:spacing w:after="0" w:line="8" w:lineRule="exact"/>
        <w:rPr>
          <w:sz w:val="20"/>
          <w:szCs w:val="20"/>
          <w:color w:val="auto"/>
        </w:rPr>
      </w:pPr>
    </w:p>
    <w:p>
      <w:pPr>
        <w:ind w:left="120"/>
        <w:spacing w:after="0"/>
        <w:tabs>
          <w:tab w:leader="none" w:pos="1500" w:val="left"/>
          <w:tab w:leader="none" w:pos="2340" w:val="left"/>
          <w:tab w:leader="none" w:pos="2680" w:val="left"/>
          <w:tab w:leader="none" w:pos="3660" w:val="left"/>
          <w:tab w:leader="none" w:pos="4580" w:val="left"/>
        </w:tabs>
        <w:rPr>
          <w:sz w:val="20"/>
          <w:szCs w:val="20"/>
          <w:color w:val="auto"/>
        </w:rPr>
      </w:pPr>
      <w:r>
        <w:rPr>
          <w:rFonts w:ascii="Times New Roman" w:cs="Times New Roman" w:eastAsia="Times New Roman" w:hAnsi="Times New Roman"/>
          <w:sz w:val="16"/>
          <w:szCs w:val="16"/>
          <w:b w:val="1"/>
          <w:bCs w:val="1"/>
          <w:color w:val="auto"/>
        </w:rPr>
        <w:t>Communications,</w:t>
        <w:tab/>
        <w:t>approved</w:t>
        <w:tab/>
        <w:t>by</w:t>
        <w:tab/>
        <w:t>CONASEV</w:t>
        <w:tab/>
        <w:t>Resolution</w:t>
        <w:tab/>
        <w:t>No.  Regulation  on  Material  Events  and  Confidential  Information,  approved  by  SMV</w:t>
      </w:r>
    </w:p>
    <w:p>
      <w:pPr>
        <w:spacing w:after="0" w:line="6" w:lineRule="exact"/>
        <w:rPr>
          <w:sz w:val="20"/>
          <w:szCs w:val="20"/>
          <w:color w:val="auto"/>
        </w:rPr>
      </w:pPr>
    </w:p>
    <w:p>
      <w:pPr>
        <w:ind w:left="120"/>
        <w:spacing w:after="0" w:line="184" w:lineRule="exact"/>
        <w:tabs>
          <w:tab w:leader="none" w:pos="4940" w:val="left"/>
        </w:tabs>
        <w:rPr>
          <w:sz w:val="20"/>
          <w:szCs w:val="20"/>
          <w:color w:val="auto"/>
        </w:rPr>
      </w:pPr>
      <w:r>
        <w:rPr>
          <w:rFonts w:ascii="Times New Roman" w:cs="Times New Roman" w:eastAsia="Times New Roman" w:hAnsi="Times New Roman"/>
          <w:sz w:val="16"/>
          <w:szCs w:val="16"/>
          <w:b w:val="1"/>
          <w:bCs w:val="1"/>
          <w:color w:val="auto"/>
        </w:rPr>
        <w:t>107</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2002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EF/94.10</w:t>
      </w:r>
      <w:r>
        <w:rPr>
          <w:sz w:val="20"/>
          <w:szCs w:val="20"/>
          <w:color w:val="auto"/>
        </w:rPr>
        <w:tab/>
      </w:r>
      <w:r>
        <w:rPr>
          <w:rFonts w:ascii="Times New Roman" w:cs="Times New Roman" w:eastAsia="Times New Roman" w:hAnsi="Times New Roman"/>
          <w:sz w:val="16"/>
          <w:szCs w:val="16"/>
          <w:b w:val="1"/>
          <w:bCs w:val="1"/>
          <w:color w:val="auto"/>
        </w:rPr>
        <w:t>Resolution No. 005</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2014</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SMV/01</w:t>
      </w:r>
    </w:p>
    <w:p>
      <w:pPr>
        <w:spacing w:after="0" w:line="190" w:lineRule="exact"/>
        <w:rPr>
          <w:sz w:val="20"/>
          <w:szCs w:val="20"/>
          <w:color w:val="auto"/>
        </w:rPr>
      </w:pPr>
    </w:p>
    <w:p>
      <w:pPr>
        <w:ind w:left="120" w:right="260"/>
        <w:spacing w:after="0" w:line="265" w:lineRule="auto"/>
        <w:rPr>
          <w:sz w:val="20"/>
          <w:szCs w:val="20"/>
          <w:color w:val="auto"/>
        </w:rPr>
      </w:pPr>
      <w:r>
        <w:rPr>
          <w:rFonts w:ascii="Times New Roman" w:cs="Times New Roman" w:eastAsia="Times New Roman" w:hAnsi="Times New Roman"/>
          <w:sz w:val="16"/>
          <w:szCs w:val="16"/>
          <w:b w:val="1"/>
          <w:bCs w:val="1"/>
          <w:color w:val="auto"/>
        </w:rPr>
        <w:t>Article 4 – Criteria to determine the capacity of significant influence Article 4. – Criteria to determine the capacity of significant influence of the information of the information</w:t>
      </w:r>
    </w:p>
    <w:p>
      <w:pPr>
        <w:sectPr>
          <w:pgSz w:w="11900" w:h="16838" w:orient="portrait"/>
          <w:cols w:equalWidth="0" w:num="1">
            <w:col w:w="11260"/>
          </w:cols>
          <w:pgMar w:left="320" w:top="121" w:right="319" w:bottom="1440" w:gutter="0" w:footer="0" w:header="0"/>
        </w:sectPr>
      </w:pPr>
    </w:p>
    <w:p>
      <w:pPr>
        <w:ind w:left="120"/>
        <w:spacing w:after="0"/>
        <w:rPr>
          <w:sz w:val="20"/>
          <w:szCs w:val="20"/>
          <w:color w:val="auto"/>
        </w:rPr>
      </w:pPr>
      <w:r>
        <w:rPr>
          <w:rFonts w:ascii="Times New Roman" w:cs="Times New Roman" w:eastAsia="Times New Roman" w:hAnsi="Times New Roman"/>
          <w:sz w:val="16"/>
          <w:szCs w:val="16"/>
          <w:color w:val="auto"/>
        </w:rPr>
        <w:t>The following are considered material events:</w:t>
      </w:r>
    </w:p>
    <w:p>
      <w:pPr>
        <w:spacing w:after="0" w:line="10" w:lineRule="exact"/>
        <w:rPr>
          <w:sz w:val="20"/>
          <w:szCs w:val="20"/>
          <w:color w:val="auto"/>
        </w:rPr>
      </w:pPr>
    </w:p>
    <w:p>
      <w:pPr>
        <w:jc w:val="both"/>
        <w:ind w:left="500" w:hanging="295"/>
        <w:spacing w:after="0" w:line="266" w:lineRule="auto"/>
        <w:tabs>
          <w:tab w:leader="none" w:pos="502"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facts, decisions and agreements that may affect an issuer and its business, as well as the companies that form its economic group.</w:t>
      </w:r>
    </w:p>
    <w:p>
      <w:pPr>
        <w:spacing w:after="0" w:line="174" w:lineRule="exact"/>
        <w:rPr>
          <w:rFonts w:ascii="Times New Roman" w:cs="Times New Roman" w:eastAsia="Times New Roman" w:hAnsi="Times New Roman"/>
          <w:sz w:val="16"/>
          <w:szCs w:val="16"/>
          <w:color w:val="auto"/>
        </w:rPr>
      </w:pPr>
    </w:p>
    <w:p>
      <w:pPr>
        <w:jc w:val="both"/>
        <w:ind w:left="500" w:hanging="295"/>
        <w:spacing w:after="0" w:line="253" w:lineRule="auto"/>
        <w:tabs>
          <w:tab w:leader="none" w:pos="593"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that directly affects or may significantly affect the determination of the price, supply, or trading of the securities registered in the RPMV.</w:t>
      </w:r>
    </w:p>
    <w:p>
      <w:pPr>
        <w:jc w:val="both"/>
        <w:ind w:left="500" w:hanging="295"/>
        <w:spacing w:after="0" w:line="260" w:lineRule="auto"/>
        <w:tabs>
          <w:tab w:leader="none" w:pos="608"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general, the information necessary for investors to form an opinion regarding the issuer’s implicit risk, its financial situation and operating results, as well as the securities issued.</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To evaluate the capacity of information to significantly influence and its possible classification as a material event, the Issuer must consider the significance of the act, agreement, fact, ongoing negotiation, decision or set of circumstances in its activity, assets, results, financial situation or general business or commercial position; or in its securities or their offering; as well as in the price or trading of its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957580</wp:posOffset>
            </wp:positionV>
            <wp:extent cx="7146290"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2">
            <w:col w:w="4840" w:space="120"/>
            <w:col w:w="6300"/>
          </w:cols>
          <w:pgMar w:left="320" w:top="121" w:right="319" w:bottom="1440" w:gutter="0" w:footer="0" w:header="0"/>
          <w:type w:val="continuous"/>
        </w:sectPr>
      </w:pPr>
    </w:p>
    <w:bookmarkStart w:id="86" w:name="page87"/>
    <w:bookmarkEnd w:id="86"/>
    <w:p>
      <w:pPr>
        <w:jc w:val="both"/>
        <w:spacing w:after="0" w:line="198" w:lineRule="exact"/>
        <w:rPr>
          <w:sz w:val="20"/>
          <w:szCs w:val="20"/>
          <w:color w:val="auto"/>
        </w:rPr>
      </w:pPr>
      <w:r>
        <w:rPr>
          <w:rFonts w:ascii="Times New Roman" w:cs="Times New Roman" w:eastAsia="Times New Roman" w:hAnsi="Times New Roman"/>
          <w:sz w:val="16"/>
          <w:szCs w:val="16"/>
          <w:color w:val="auto"/>
        </w:rPr>
        <w:t>As previously noted, from the literal standpoint, both the former Regulation on Material Events and the Regulation on Material Events and Confidential Information, SMV Resolution No. 005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do not mention the term “</w:t>
      </w:r>
      <w:r>
        <w:rPr>
          <w:rFonts w:ascii="Times New Roman" w:cs="Times New Roman" w:eastAsia="Times New Roman" w:hAnsi="Times New Roman"/>
          <w:sz w:val="16"/>
          <w:szCs w:val="16"/>
          <w:b w:val="1"/>
          <w:bCs w:val="1"/>
          <w:u w:val="single" w:color="auto"/>
          <w:color w:val="auto"/>
        </w:rPr>
        <w:t>materiality</w:t>
      </w:r>
      <w:r>
        <w:rPr>
          <w:rFonts w:ascii="Times New Roman" w:cs="Times New Roman" w:eastAsia="Times New Roman" w:hAnsi="Times New Roman"/>
          <w:sz w:val="16"/>
          <w:szCs w:val="16"/>
          <w:color w:val="auto"/>
        </w:rPr>
        <w:t xml:space="preserve">.” However, the development of this concept is indeed contained within these rules, because beyond their literal text, their purpose is for issuers to disclose to the market, as material events, relevant information—that is, information that has significant influence, that is significant or </w:t>
      </w:r>
      <w:r>
        <w:rPr>
          <w:rFonts w:ascii="Times New Roman" w:cs="Times New Roman" w:eastAsia="Times New Roman" w:hAnsi="Times New Roman"/>
          <w:sz w:val="16"/>
          <w:szCs w:val="16"/>
          <w:i w:val="1"/>
          <w:iCs w:val="1"/>
          <w:color w:val="auto"/>
        </w:rPr>
        <w:t>material</w:t>
      </w:r>
      <w:r>
        <w:rPr>
          <w:rFonts w:ascii="Times New Roman" w:cs="Times New Roman" w:eastAsia="Times New Roman" w:hAnsi="Times New Roman"/>
          <w:sz w:val="16"/>
          <w:szCs w:val="16"/>
          <w:color w:val="auto"/>
        </w:rPr>
        <w:t xml:space="preserve"> in a quantitative and qualitative sense—so that investors can be informed of facts that help them form an opinion regarding the implicit risks of the company, its financial situation and operating results.</w:t>
      </w:r>
    </w:p>
    <w:p>
      <w:pPr>
        <w:spacing w:after="0" w:line="17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Thus, it becomes evident that, from a literal reading of the regulations included in the preceding table, the term </w:t>
      </w:r>
      <w:r>
        <w:rPr>
          <w:rFonts w:ascii="Times New Roman" w:cs="Times New Roman" w:eastAsia="Times New Roman" w:hAnsi="Times New Roman"/>
          <w:sz w:val="16"/>
          <w:szCs w:val="16"/>
          <w:i w:val="1"/>
          <w:iCs w:val="1"/>
          <w:color w:val="auto"/>
        </w:rPr>
        <w:t>materiality</w:t>
      </w:r>
      <w:r>
        <w:rPr>
          <w:rFonts w:ascii="Times New Roman" w:cs="Times New Roman" w:eastAsia="Times New Roman" w:hAnsi="Times New Roman"/>
          <w:sz w:val="16"/>
          <w:szCs w:val="16"/>
          <w:color w:val="auto"/>
        </w:rPr>
        <w:t xml:space="preserve"> does not appear as “</w:t>
      </w:r>
      <w:r>
        <w:rPr>
          <w:rFonts w:ascii="Times New Roman" w:cs="Times New Roman" w:eastAsia="Times New Roman" w:hAnsi="Times New Roman"/>
          <w:sz w:val="16"/>
          <w:szCs w:val="16"/>
          <w:i w:val="1"/>
          <w:iCs w:val="1"/>
          <w:color w:val="auto"/>
        </w:rPr>
        <w:t>the basic requirement for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disclosure obligation,</w:t>
      </w:r>
      <w:r>
        <w:rPr>
          <w:rFonts w:ascii="Times New Roman" w:cs="Times New Roman" w:eastAsia="Times New Roman" w:hAnsi="Times New Roman"/>
          <w:sz w:val="16"/>
          <w:szCs w:val="16"/>
          <w:color w:val="auto"/>
        </w:rPr>
        <w:t>” and therefore, the Issuer’s argument that only “material” facts should be disclosed—interpreting this solely in a quantitative sense—has no basis.</w:t>
      </w:r>
    </w:p>
    <w:p>
      <w:pPr>
        <w:spacing w:after="0" w:line="13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However, regardless of the literal wording of these provisions, we agree with the Issuer that from a teleological perspective, it is important to </w:t>
      </w:r>
      <w:r>
        <w:rPr>
          <w:rFonts w:ascii="Times New Roman" w:cs="Times New Roman" w:eastAsia="Times New Roman" w:hAnsi="Times New Roman"/>
          <w:sz w:val="16"/>
          <w:szCs w:val="16"/>
          <w:b w:val="1"/>
          <w:bCs w:val="1"/>
          <w:u w:val="single" w:color="auto"/>
          <w:color w:val="auto"/>
        </w:rPr>
        <w:t>analyze, qualify and quantify</w:t>
      </w:r>
      <w:r>
        <w:rPr>
          <w:rFonts w:ascii="Times New Roman" w:cs="Times New Roman" w:eastAsia="Times New Roman" w:hAnsi="Times New Roman"/>
          <w:sz w:val="16"/>
          <w:szCs w:val="16"/>
          <w:color w:val="auto"/>
        </w:rPr>
        <w:t xml:space="preserve"> a given fact arising within the issuer or any information related to its business activities, in accordance with Article 4 of the repealed regulation and Articles 3 and 4 of the current Regulation on Material Events.</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Although contributions to presidential campaigns—or the cash contribution made by the Issuer to the political party FUERZA 2011—were not included in the Annex of the repealed or current Regulation on Material Events, such contributions were relevant facts for investors and potential investors in the securities market, as they were necessary for them to form an opinion about the implicit risk assumed by the company by supporting a political party and its government plan. At this point in the analysis, it is clear that it was relevant for the market and for investors to know that one of the largest financial conglomerates operating in Peru had taken a position regarding a presidential ticket and a political party—regardless of the fact that such support is neither questionable nor unlawful. However, given the nature and significance of the contribution, from a qualitative perspective, it should have been disclosed to the securities market and not kept secret.</w:t>
      </w:r>
    </w:p>
    <w:p>
      <w:pPr>
        <w:spacing w:after="0" w:line="16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Regarding the Issuer’s citation of the </w:t>
      </w:r>
      <w:r>
        <w:rPr>
          <w:rFonts w:ascii="Times New Roman" w:cs="Times New Roman" w:eastAsia="Times New Roman" w:hAnsi="Times New Roman"/>
          <w:sz w:val="16"/>
          <w:szCs w:val="16"/>
          <w:i w:val="1"/>
          <w:iCs w:val="1"/>
          <w:color w:val="auto"/>
        </w:rPr>
        <w:t>TSC Industries, Inc. v. Northway, Inc.</w:t>
      </w:r>
      <w:r>
        <w:rPr>
          <w:rFonts w:ascii="Times New Roman" w:cs="Times New Roman" w:eastAsia="Times New Roman" w:hAnsi="Times New Roman"/>
          <w:sz w:val="16"/>
          <w:szCs w:val="16"/>
          <w:color w:val="auto"/>
        </w:rPr>
        <w:t xml:space="preserve"> decision, it must be emphasized that in that very ruling, the United States Court of Appeals for the Seventh Circuit states: </w:t>
      </w:r>
      <w:r>
        <w:rPr>
          <w:rFonts w:ascii="Times New Roman" w:cs="Times New Roman" w:eastAsia="Times New Roman" w:hAnsi="Times New Roman"/>
          <w:sz w:val="16"/>
          <w:szCs w:val="16"/>
          <w:i w:val="1"/>
          <w:iCs w:val="1"/>
          <w:color w:val="auto"/>
        </w:rPr>
        <w:t>“(…) there must be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u w:val="single" w:color="auto"/>
          <w:color w:val="auto"/>
        </w:rPr>
        <w:t>substantial likelihood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that the disclosure of the omitted fact would have been viewed by the reasonable investor as having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significantly altered the </w:t>
      </w:r>
      <w:r>
        <w:rPr>
          <w:rFonts w:ascii="Times New Roman" w:cs="Times New Roman" w:eastAsia="Times New Roman" w:hAnsi="Times New Roman"/>
          <w:sz w:val="16"/>
          <w:szCs w:val="16"/>
          <w:b w:val="1"/>
          <w:bCs w:val="1"/>
          <w:i w:val="1"/>
          <w:iCs w:val="1"/>
          <w:u w:val="single" w:color="auto"/>
          <w:color w:val="auto"/>
        </w:rPr>
        <w:t>total mix of information</w:t>
      </w:r>
      <w:r>
        <w:rPr>
          <w:rFonts w:ascii="Times New Roman" w:cs="Times New Roman" w:eastAsia="Times New Roman" w:hAnsi="Times New Roman"/>
          <w:sz w:val="16"/>
          <w:szCs w:val="16"/>
          <w:i w:val="1"/>
          <w:iCs w:val="1"/>
          <w:color w:val="auto"/>
        </w:rPr>
        <w:t xml:space="preserve"> made available</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It should be noted that the Court of Appeals does not limit the determination of materiality to quantitative metrics such as assets, equity, total revenues, or other accounting measures. Instead, it refers to the concept of the “</w:t>
      </w:r>
      <w:r>
        <w:rPr>
          <w:rFonts w:ascii="Times New Roman" w:cs="Times New Roman" w:eastAsia="Times New Roman" w:hAnsi="Times New Roman"/>
          <w:sz w:val="16"/>
          <w:szCs w:val="16"/>
          <w:i w:val="1"/>
          <w:iCs w:val="1"/>
          <w:color w:val="auto"/>
        </w:rPr>
        <w:t>total mix of information</w:t>
      </w:r>
      <w:r>
        <w:rPr>
          <w:rFonts w:ascii="Times New Roman" w:cs="Times New Roman" w:eastAsia="Times New Roman" w:hAnsi="Times New Roman"/>
          <w:sz w:val="16"/>
          <w:szCs w:val="16"/>
          <w:color w:val="auto"/>
        </w:rPr>
        <w:t>.” Accordingly, it can reasonably be inferred that the court—when defining the materiality standard —considers various elements of information that must be assessed together, both quantitative and qualitative, to determine whether an event possesses sufficient materiality to constitute a material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213360</wp:posOffset>
            </wp:positionV>
            <wp:extent cx="7146290"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7" w:name="page88"/>
    <w:bookmarkEnd w:id="87"/>
    <w:p>
      <w:pPr>
        <w:ind w:left="3"/>
        <w:spacing w:after="0"/>
        <w:rPr>
          <w:sz w:val="20"/>
          <w:szCs w:val="20"/>
          <w:color w:val="auto"/>
        </w:rPr>
      </w:pPr>
      <w:r>
        <w:rPr>
          <w:rFonts w:ascii="Times New Roman" w:cs="Times New Roman" w:eastAsia="Times New Roman" w:hAnsi="Times New Roman"/>
          <w:sz w:val="16"/>
          <w:szCs w:val="16"/>
          <w:color w:val="auto"/>
        </w:rPr>
        <w:t>Three (03) additional considerations from the Seventh Circuit decision are worth highlighting:</w:t>
      </w:r>
      <w:r>
        <w:rPr>
          <w:rFonts w:ascii="Times New Roman" w:cs="Times New Roman" w:eastAsia="Times New Roman" w:hAnsi="Times New Roman"/>
          <w:sz w:val="26"/>
          <w:szCs w:val="26"/>
          <w:color w:val="auto"/>
          <w:vertAlign w:val="superscript"/>
        </w:rPr>
        <w:t>53</w:t>
      </w:r>
    </w:p>
    <w:p>
      <w:pPr>
        <w:spacing w:after="0" w:line="97" w:lineRule="exact"/>
        <w:rPr>
          <w:sz w:val="20"/>
          <w:szCs w:val="20"/>
          <w:color w:val="auto"/>
        </w:rPr>
      </w:pPr>
    </w:p>
    <w:p>
      <w:pPr>
        <w:jc w:val="both"/>
        <w:ind w:left="3" w:right="20"/>
        <w:spacing w:after="0" w:line="271" w:lineRule="auto"/>
        <w:rPr>
          <w:sz w:val="20"/>
          <w:szCs w:val="20"/>
          <w:color w:val="auto"/>
        </w:rPr>
      </w:pPr>
      <w:r>
        <w:rPr>
          <w:rFonts w:ascii="Times New Roman" w:cs="Times New Roman" w:eastAsia="Times New Roman" w:hAnsi="Times New Roman"/>
          <w:sz w:val="16"/>
          <w:szCs w:val="16"/>
          <w:b w:val="1"/>
          <w:bCs w:val="1"/>
          <w:color w:val="auto"/>
        </w:rPr>
        <w:t>First</w:t>
      </w:r>
      <w:r>
        <w:rPr>
          <w:rFonts w:ascii="Times New Roman" w:cs="Times New Roman" w:eastAsia="Times New Roman" w:hAnsi="Times New Roman"/>
          <w:sz w:val="16"/>
          <w:szCs w:val="16"/>
          <w:color w:val="auto"/>
        </w:rPr>
        <w:t>, the Court notes: “</w:t>
      </w:r>
      <w:r>
        <w:rPr>
          <w:rFonts w:ascii="Times New Roman" w:cs="Times New Roman" w:eastAsia="Times New Roman" w:hAnsi="Times New Roman"/>
          <w:sz w:val="16"/>
          <w:szCs w:val="16"/>
          <w:i w:val="1"/>
          <w:iCs w:val="1"/>
          <w:color w:val="auto"/>
        </w:rPr>
        <w:t>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u w:val="single" w:color="auto"/>
          <w:color w:val="auto"/>
        </w:rPr>
        <w:t>Materiality is a mixed question of law and fact</w:t>
      </w:r>
      <w:r>
        <w:rPr>
          <w:rFonts w:ascii="Times New Roman" w:cs="Times New Roman" w:eastAsia="Times New Roman" w:hAnsi="Times New Roman"/>
          <w:sz w:val="16"/>
          <w:szCs w:val="16"/>
          <w:i w:val="1"/>
          <w:iCs w:val="1"/>
          <w:color w:val="auto"/>
        </w:rPr>
        <w:t>, involving the application of a legal standard to a particular set of facts, and only when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established omissions are ‘</w:t>
      </w:r>
      <w:r>
        <w:rPr>
          <w:rFonts w:ascii="Times New Roman" w:cs="Times New Roman" w:eastAsia="Times New Roman" w:hAnsi="Times New Roman"/>
          <w:sz w:val="16"/>
          <w:szCs w:val="16"/>
          <w:i w:val="1"/>
          <w:iCs w:val="1"/>
          <w:u w:val="single" w:color="auto"/>
          <w:color w:val="auto"/>
        </w:rPr>
        <w:t>so obviously important to an investor that reasonable minds cannot differ on the question of materiality’ is the issue properly resolved as a matter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of law by summary judgment</w:t>
      </w:r>
      <w:r>
        <w:rPr>
          <w:rFonts w:ascii="Times New Roman" w:cs="Times New Roman" w:eastAsia="Times New Roman" w:hAnsi="Times New Roman"/>
          <w:sz w:val="16"/>
          <w:szCs w:val="16"/>
          <w:color w:val="auto"/>
        </w:rPr>
        <w:t>.” (Emphasis added)</w:t>
      </w:r>
    </w:p>
    <w:p>
      <w:pPr>
        <w:spacing w:after="0" w:line="154" w:lineRule="exact"/>
        <w:rPr>
          <w:sz w:val="20"/>
          <w:szCs w:val="20"/>
          <w:color w:val="auto"/>
        </w:rPr>
      </w:pPr>
    </w:p>
    <w:p>
      <w:pPr>
        <w:jc w:val="both"/>
        <w:ind w:left="3"/>
        <w:spacing w:after="0" w:line="271" w:lineRule="auto"/>
        <w:rPr>
          <w:sz w:val="20"/>
          <w:szCs w:val="20"/>
          <w:color w:val="auto"/>
        </w:rPr>
      </w:pPr>
      <w:r>
        <w:rPr>
          <w:rFonts w:ascii="Times New Roman" w:cs="Times New Roman" w:eastAsia="Times New Roman" w:hAnsi="Times New Roman"/>
          <w:sz w:val="16"/>
          <w:szCs w:val="16"/>
          <w:b w:val="1"/>
          <w:bCs w:val="1"/>
          <w:color w:val="auto"/>
        </w:rPr>
        <w:t>Second</w:t>
      </w:r>
      <w:r>
        <w:rPr>
          <w:rFonts w:ascii="Times New Roman" w:cs="Times New Roman" w:eastAsia="Times New Roman" w:hAnsi="Times New Roman"/>
          <w:sz w:val="16"/>
          <w:szCs w:val="16"/>
          <w:color w:val="auto"/>
        </w:rPr>
        <w:t>, the Court states: “</w:t>
      </w:r>
      <w:r>
        <w:rPr>
          <w:rFonts w:ascii="Times New Roman" w:cs="Times New Roman" w:eastAsia="Times New Roman" w:hAnsi="Times New Roman"/>
          <w:sz w:val="16"/>
          <w:szCs w:val="16"/>
          <w:i w:val="1"/>
          <w:iCs w:val="1"/>
          <w:color w:val="auto"/>
        </w:rPr>
        <w:t>The question of materiality is universally understood to be objective and concerns the importance of an omitted or misrepresented fact to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 xml:space="preserve">reasonable investor. </w:t>
      </w:r>
      <w:r>
        <w:rPr>
          <w:rFonts w:ascii="Times New Roman" w:cs="Times New Roman" w:eastAsia="Times New Roman" w:hAnsi="Times New Roman"/>
          <w:sz w:val="16"/>
          <w:szCs w:val="16"/>
          <w:i w:val="1"/>
          <w:iCs w:val="1"/>
          <w:u w:val="single" w:color="auto"/>
          <w:color w:val="auto"/>
        </w:rPr>
        <w:t>Variations in the formulation of a general materiality test occur in articulating how significant a fact must be or, put differently, how certain it must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that the fact would affect the judgment of a reasonable investor</w:t>
      </w:r>
      <w:r>
        <w:rPr>
          <w:rFonts w:ascii="Times New Roman" w:cs="Times New Roman" w:eastAsia="Times New Roman" w:hAnsi="Times New Roman"/>
          <w:sz w:val="16"/>
          <w:szCs w:val="16"/>
          <w:color w:val="auto"/>
        </w:rPr>
        <w:t>.”(Emphasis added)</w:t>
      </w:r>
    </w:p>
    <w:p>
      <w:pPr>
        <w:spacing w:after="0" w:line="154" w:lineRule="exact"/>
        <w:rPr>
          <w:sz w:val="20"/>
          <w:szCs w:val="20"/>
          <w:color w:val="auto"/>
        </w:rPr>
      </w:pPr>
    </w:p>
    <w:p>
      <w:pPr>
        <w:jc w:val="both"/>
        <w:ind w:left="3" w:right="20"/>
        <w:spacing w:after="0" w:line="265" w:lineRule="auto"/>
        <w:rPr>
          <w:sz w:val="20"/>
          <w:szCs w:val="20"/>
          <w:color w:val="auto"/>
        </w:rPr>
      </w:pPr>
      <w:r>
        <w:rPr>
          <w:rFonts w:ascii="Times New Roman" w:cs="Times New Roman" w:eastAsia="Times New Roman" w:hAnsi="Times New Roman"/>
          <w:sz w:val="16"/>
          <w:szCs w:val="16"/>
          <w:b w:val="1"/>
          <w:bCs w:val="1"/>
          <w:color w:val="auto"/>
        </w:rPr>
        <w:t>Third</w:t>
      </w:r>
      <w:r>
        <w:rPr>
          <w:rFonts w:ascii="Times New Roman" w:cs="Times New Roman" w:eastAsia="Times New Roman" w:hAnsi="Times New Roman"/>
          <w:sz w:val="16"/>
          <w:szCs w:val="16"/>
          <w:color w:val="auto"/>
        </w:rPr>
        <w:t>, the Court adds: “</w:t>
      </w:r>
      <w:r>
        <w:rPr>
          <w:rFonts w:ascii="Times New Roman" w:cs="Times New Roman" w:eastAsia="Times New Roman" w:hAnsi="Times New Roman"/>
          <w:sz w:val="16"/>
          <w:szCs w:val="16"/>
          <w:i w:val="1"/>
          <w:iCs w:val="1"/>
          <w:color w:val="auto"/>
        </w:rPr>
        <w:t>In considering whether summary judgment on the issue is appropriate, we must bear in mind that the underlying objective facts—</w:t>
      </w:r>
      <w:r>
        <w:rPr>
          <w:rFonts w:ascii="Times New Roman" w:cs="Times New Roman" w:eastAsia="Times New Roman" w:hAnsi="Times New Roman"/>
          <w:sz w:val="16"/>
          <w:szCs w:val="16"/>
          <w:i w:val="1"/>
          <w:iCs w:val="1"/>
          <w:u w:val="single" w:color="auto"/>
          <w:color w:val="auto"/>
        </w:rPr>
        <w:t>though often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u w:val="single" w:color="auto"/>
          <w:color w:val="auto"/>
        </w:rPr>
        <w:t>undisputed—are merely the starting point for determining materiality. The determination requires a delicate assessment of the inferences a reasonable shareholder would draw from a given set of facts and the significance of those inferences to him, and such assessments are particularly for the trier of fact</w:t>
      </w:r>
      <w:r>
        <w:rPr>
          <w:rFonts w:ascii="Times New Roman" w:cs="Times New Roman" w:eastAsia="Times New Roman" w:hAnsi="Times New Roman"/>
          <w:sz w:val="16"/>
          <w:szCs w:val="16"/>
          <w:i w:val="1"/>
          <w:iCs w:val="1"/>
          <w:color w:val="auto"/>
        </w:rPr>
        <w:t xml:space="preserve">. Only when the established omissions are so obviously important to </w:t>
      </w:r>
      <w:r>
        <w:rPr>
          <w:rFonts w:ascii="Times New Roman" w:cs="Times New Roman" w:eastAsia="Times New Roman" w:hAnsi="Times New Roman"/>
          <w:sz w:val="16"/>
          <w:szCs w:val="16"/>
          <w:i w:val="1"/>
          <w:iCs w:val="1"/>
          <w:u w:val="single" w:color="auto"/>
          <w:color w:val="auto"/>
        </w:rPr>
        <w:t>an investor that reasonable minds cannot differ on the question of materiality is summary judgment appropriate</w:t>
      </w:r>
      <w:r>
        <w:rPr>
          <w:rFonts w:ascii="Times New Roman" w:cs="Times New Roman" w:eastAsia="Times New Roman" w:hAnsi="Times New Roman"/>
          <w:sz w:val="16"/>
          <w:szCs w:val="16"/>
          <w:color w:val="auto"/>
        </w:rPr>
        <w:t>.” (Emphasis added)</w:t>
      </w:r>
    </w:p>
    <w:p>
      <w:pPr>
        <w:spacing w:after="0" w:line="161" w:lineRule="exact"/>
        <w:rPr>
          <w:sz w:val="20"/>
          <w:szCs w:val="20"/>
          <w:color w:val="auto"/>
        </w:rPr>
      </w:pPr>
    </w:p>
    <w:p>
      <w:pPr>
        <w:jc w:val="both"/>
        <w:ind w:left="3"/>
        <w:spacing w:after="0" w:line="270" w:lineRule="auto"/>
        <w:rPr>
          <w:sz w:val="20"/>
          <w:szCs w:val="20"/>
          <w:color w:val="auto"/>
        </w:rPr>
      </w:pPr>
      <w:r>
        <w:rPr>
          <w:rFonts w:ascii="Times New Roman" w:cs="Times New Roman" w:eastAsia="Times New Roman" w:hAnsi="Times New Roman"/>
          <w:sz w:val="16"/>
          <w:szCs w:val="16"/>
          <w:color w:val="auto"/>
        </w:rPr>
        <w:t>Based on these citations, the Seventh Circuit Court of Appeals emphasizes that the summary assessment of objective facts is only the starting point for determining materiality. It further emphasizes that one must take into account the inferences that a reasonable shareholder would draw from that fact or event—without the court limiting such assessment solely to quantitative aspects.</w:t>
      </w:r>
    </w:p>
    <w:p>
      <w:pPr>
        <w:spacing w:after="0" w:line="156" w:lineRule="exact"/>
        <w:rPr>
          <w:sz w:val="20"/>
          <w:szCs w:val="20"/>
          <w:color w:val="auto"/>
        </w:rPr>
      </w:pPr>
    </w:p>
    <w:p>
      <w:pPr>
        <w:jc w:val="both"/>
        <w:ind w:left="3" w:right="20"/>
        <w:spacing w:after="0" w:line="264" w:lineRule="auto"/>
        <w:rPr>
          <w:sz w:val="20"/>
          <w:szCs w:val="20"/>
          <w:color w:val="auto"/>
        </w:rPr>
      </w:pPr>
      <w:r>
        <w:rPr>
          <w:rFonts w:ascii="Times New Roman" w:cs="Times New Roman" w:eastAsia="Times New Roman" w:hAnsi="Times New Roman"/>
          <w:sz w:val="16"/>
          <w:szCs w:val="16"/>
          <w:color w:val="auto"/>
        </w:rPr>
        <w:t>Accordingly, when analyzing the Issuer’s defenses and arguments, it is clear that the reasoning of the Seventh Circuit does not contradict the position that significant cash contributions to presidential campaigns—such as in the present case—may constitute a material event. Similarly, reading and examining the decision does not show any indication that the court limited the materiality assessment exclusively to quantitative aspects of the facts, but instead employed a broader term, the “total mix of information,” including the effect such information might have on a reasonable investor.</w:t>
      </w:r>
    </w:p>
    <w:p>
      <w:pPr>
        <w:spacing w:after="0" w:line="1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7.2.3. REGARDING THE ALLEGED LACK OF MATERIALITY OF THE 2011 INFORMATION</w:t>
      </w:r>
    </w:p>
    <w:p>
      <w:pPr>
        <w:spacing w:after="0" w:line="204" w:lineRule="exact"/>
        <w:rPr>
          <w:sz w:val="20"/>
          <w:szCs w:val="20"/>
          <w:color w:val="auto"/>
        </w:rPr>
      </w:pPr>
    </w:p>
    <w:p>
      <w:pPr>
        <w:jc w:val="both"/>
        <w:ind w:left="3" w:right="20"/>
        <w:spacing w:after="0" w:line="290" w:lineRule="auto"/>
        <w:rPr>
          <w:sz w:val="20"/>
          <w:szCs w:val="20"/>
          <w:color w:val="auto"/>
        </w:rPr>
      </w:pPr>
      <w:r>
        <w:rPr>
          <w:rFonts w:ascii="Times New Roman" w:cs="Times New Roman" w:eastAsia="Times New Roman" w:hAnsi="Times New Roman"/>
          <w:sz w:val="16"/>
          <w:szCs w:val="16"/>
          <w:color w:val="auto"/>
        </w:rPr>
        <w:t xml:space="preserve">On this point, the Issuer insists that the cash contribution to the </w:t>
      </w:r>
      <w:r>
        <w:rPr>
          <w:rFonts w:ascii="Times New Roman" w:cs="Times New Roman" w:eastAsia="Times New Roman" w:hAnsi="Times New Roman"/>
          <w:sz w:val="16"/>
          <w:szCs w:val="16"/>
          <w:b w:val="1"/>
          <w:bCs w:val="1"/>
          <w:color w:val="auto"/>
        </w:rPr>
        <w:t>political party FUERZA 2011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did not constitute material information</w:t>
      </w:r>
      <w:r>
        <w:rPr>
          <w:rFonts w:ascii="Times New Roman" w:cs="Times New Roman" w:eastAsia="Times New Roman" w:hAnsi="Times New Roman"/>
          <w:sz w:val="16"/>
          <w:szCs w:val="16"/>
          <w:color w:val="auto"/>
        </w:rPr>
        <w:t>; therefore, it disagrees with the grounds for the charges brought.</w:t>
      </w:r>
    </w:p>
    <w:p>
      <w:pPr>
        <w:spacing w:after="0" w:line="138" w:lineRule="exact"/>
        <w:rPr>
          <w:sz w:val="20"/>
          <w:szCs w:val="20"/>
          <w:color w:val="auto"/>
        </w:rPr>
      </w:pPr>
    </w:p>
    <w:p>
      <w:pPr>
        <w:jc w:val="both"/>
        <w:ind w:left="3"/>
        <w:spacing w:after="0" w:line="290" w:lineRule="auto"/>
        <w:rPr>
          <w:sz w:val="20"/>
          <w:szCs w:val="20"/>
          <w:color w:val="auto"/>
        </w:rPr>
      </w:pPr>
      <w:r>
        <w:rPr>
          <w:rFonts w:ascii="Times New Roman" w:cs="Times New Roman" w:eastAsia="Times New Roman" w:hAnsi="Times New Roman"/>
          <w:sz w:val="16"/>
          <w:szCs w:val="16"/>
          <w:color w:val="auto"/>
        </w:rPr>
        <w:t xml:space="preserve">In this regard, it is necessary to reiterate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does qualify as a material event; indeed, it is now published as such on the Securities Market Portal because the Issuer ultimately disclosed it as a material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1788160"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02" w:lineRule="exact"/>
        <w:rPr>
          <w:sz w:val="20"/>
          <w:szCs w:val="20"/>
          <w:color w:val="auto"/>
        </w:rPr>
      </w:pPr>
    </w:p>
    <w:p>
      <w:pPr>
        <w:ind w:left="183" w:hanging="183"/>
        <w:spacing w:after="0"/>
        <w:tabs>
          <w:tab w:leader="none" w:pos="183" w:val="left"/>
        </w:tabs>
        <w:numPr>
          <w:ilvl w:val="0"/>
          <w:numId w:val="10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Free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14629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14" w:right="319" w:bottom="1440" w:gutter="0" w:footer="0" w:header="0"/>
        </w:sectPr>
      </w:pPr>
    </w:p>
    <w:bookmarkStart w:id="88" w:name="page89"/>
    <w:bookmarkEnd w:id="88"/>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As presented and demonstrated in this Resolution,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is relevant due to various aspects of a qualitative and circumstantial nature, rather than the purely quantitative aspects minimized by the Issuer: the very nature of the information, involving contributions made by the controlling company (the Issuer) of one of the largest financial conglomerates operating in Peru, which took a position and supported a presidential candidate and political party in both rounds of the 2011 presidential and congressional elections; the fact that the total contribution of US$ 3.65 million constitutes an amount that—so far as is known—had never been contributed by a single issuer to a presidential campaign; among other considerations.</w:t>
      </w:r>
    </w:p>
    <w:p>
      <w:pPr>
        <w:spacing w:after="0" w:line="163" w:lineRule="exact"/>
        <w:rPr>
          <w:sz w:val="20"/>
          <w:szCs w:val="20"/>
          <w:color w:val="auto"/>
        </w:rPr>
      </w:pPr>
    </w:p>
    <w:p>
      <w:pPr>
        <w:jc w:val="both"/>
        <w:spacing w:after="0" w:line="203" w:lineRule="exact"/>
        <w:rPr>
          <w:sz w:val="20"/>
          <w:szCs w:val="20"/>
          <w:color w:val="auto"/>
        </w:rPr>
      </w:pPr>
      <w:r>
        <w:rPr>
          <w:rFonts w:ascii="Times New Roman" w:cs="Times New Roman" w:eastAsia="Times New Roman" w:hAnsi="Times New Roman"/>
          <w:sz w:val="16"/>
          <w:szCs w:val="16"/>
          <w:color w:val="auto"/>
        </w:rPr>
        <w:t xml:space="preserve">Furthermore, more than eight years after the contributions were made, following Mr. Romero’s statements before the Public Prosecutor’s Office, on Twitter and in the press, additional details about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became known—particularly how and under what circumstances the contribution was approved and delivered. This additional information, now publicly known, is significant and relevant to the market, as it has generated consequences for the Issuer and its three subsidiaries (BCP, Mibanco, and Pacífico), including administrative sanctioning proceedings initiated by the SMV and the SBS, the fact that Mr. Romero is no longer the Chairman of the Issuer’s Board of Directors, and statements made in that regard in material events and in the Issuer’s 2019 Annual Report, among other market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recognized impacts.</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Accordingly, it is evident that, from the literal wording of the rules on material events, these do not contain the term “materiality” as “</w:t>
      </w:r>
      <w:r>
        <w:rPr>
          <w:rFonts w:ascii="Times New Roman" w:cs="Times New Roman" w:eastAsia="Times New Roman" w:hAnsi="Times New Roman"/>
          <w:sz w:val="16"/>
          <w:szCs w:val="16"/>
          <w:i w:val="1"/>
          <w:iCs w:val="1"/>
          <w:color w:val="auto"/>
        </w:rPr>
        <w:t>the basic requirement that triggers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obligation to disclose</w:t>
      </w:r>
      <w:r>
        <w:rPr>
          <w:rFonts w:ascii="Times New Roman" w:cs="Times New Roman" w:eastAsia="Times New Roman" w:hAnsi="Times New Roman"/>
          <w:sz w:val="16"/>
          <w:szCs w:val="16"/>
          <w:color w:val="auto"/>
        </w:rPr>
        <w:t>”; therefore, the Issuer’s argument—claiming that only material information must be disclosed, applying a definition of materiality limited exclusively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quantitative indicators—is unfounded.</w:t>
      </w:r>
    </w:p>
    <w:p>
      <w:pPr>
        <w:spacing w:after="0" w:line="15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Thus, although the Issuer’s cash contribution to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was not included in the Annex to the repealed nor the current Regulation on Material Events, as previously explained, these contributions do constitute relevant facts that should have been disclosed to the market so that investors and potential investors could evaluate such information and consider it in their decisions, including assessing the risk that could arise for the company from supporting a political party.</w:t>
      </w:r>
    </w:p>
    <w:p>
      <w:pPr>
        <w:spacing w:after="0" w:line="15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Therefore, once again, it is concluded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does qualify as relevant information that ought to have been, and must be, known by the market and therefore disclosed as a material event.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7.2.4. REGARDING THE FINANCIAL IMPACT OF THE CONTRIBUTIONS REFERRED TO IN THE 2011 INFORMATION</w:t>
      </w:r>
    </w:p>
    <w:p>
      <w:pPr>
        <w:spacing w:after="0" w:line="20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Regarding this portion of the Issuer’s defenses—asserting that the cash contribution or donation to a political party constitutes an expense and, from an accounting standpoint, affects the results of the corresponding fiscal year—we consider that this issue does not fall within the scope of this administrative proceeding, since it is not the central element of the charges.</w:t>
      </w:r>
    </w:p>
    <w:p>
      <w:pPr>
        <w:spacing w:after="0" w:line="15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As explained, the charges do not concern the financial impact that the contributions may have had on financial results; what is evaluated in this case is the concealment of relevant information. Had the FUERZA 2011 contributions been known at the time, they would have produced effects that are now impossible to determine precisely, given that the information was kept hidden.</w:t>
      </w:r>
    </w:p>
    <w:p>
      <w:pPr>
        <w:spacing w:after="0" w:line="15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Finally, regarding the Issuer’s repeated invocation of materiality, we reiterate—consistent with what has been stated—that although neither the former nor current Regulation on Material Events expressly uses the term “</w:t>
      </w:r>
      <w:r>
        <w:rPr>
          <w:rFonts w:ascii="Times New Roman" w:cs="Times New Roman" w:eastAsia="Times New Roman" w:hAnsi="Times New Roman"/>
          <w:sz w:val="16"/>
          <w:szCs w:val="16"/>
          <w:b w:val="1"/>
          <w:bCs w:val="1"/>
          <w:u w:val="single" w:color="auto"/>
          <w:color w:val="auto"/>
        </w:rPr>
        <w:t>materiality</w:t>
      </w:r>
      <w:r>
        <w:rPr>
          <w:rFonts w:ascii="Times New Roman" w:cs="Times New Roman" w:eastAsia="Times New Roman" w:hAnsi="Times New Roman"/>
          <w:sz w:val="16"/>
          <w:szCs w:val="16"/>
          <w:color w:val="auto"/>
        </w:rPr>
        <w:t>,” the development of this concept is indeed contained within these rules. Beyond their literal text, their evident purpose is for issuers to disclose relevant information as material events—i.e., information with significant influence or impact, incorporating both quantitative and qualitative materiality—so that investors become aware of all facts enabling them to assess the implicit risk of the company, its financial situation, and the results of its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338455</wp:posOffset>
            </wp:positionV>
            <wp:extent cx="7146290"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9" w:name="page90"/>
    <w:bookmarkEnd w:id="89"/>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Regarding the Issuer’s argument that “</w:t>
      </w:r>
      <w:r>
        <w:rPr>
          <w:rFonts w:ascii="Times New Roman" w:cs="Times New Roman" w:eastAsia="Times New Roman" w:hAnsi="Times New Roman"/>
          <w:sz w:val="16"/>
          <w:szCs w:val="16"/>
          <w:i w:val="1"/>
          <w:iCs w:val="1"/>
          <w:color w:val="auto"/>
        </w:rPr>
        <w:t>from a financial standpoint, materiality is generally determined, at least preliminarily, when the impact of the item in question equals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u w:val="single" w:color="auto"/>
          <w:color w:val="auto"/>
        </w:rPr>
        <w:t>5%</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or more of the issuer’s revenues, expenses, assets or liabilities</w:t>
      </w:r>
      <w:r>
        <w:rPr>
          <w:rFonts w:ascii="Times New Roman" w:cs="Times New Roman" w:eastAsia="Times New Roman" w:hAnsi="Times New Roman"/>
          <w:sz w:val="16"/>
          <w:szCs w:val="16"/>
          <w:color w:val="auto"/>
        </w:rPr>
        <w:t>,” it is appropriate to note that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u w:val="single" w:color="auto"/>
          <w:color w:val="auto"/>
        </w:rPr>
        <w:t>SEC Staff Accounting Bulletin No. 99</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 Staff Accounting Bulletin No.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99 – Materiality</w:t>
      </w:r>
      <w:r>
        <w:rPr>
          <w:rFonts w:ascii="Times New Roman" w:cs="Times New Roman" w:eastAsia="Times New Roman" w:hAnsi="Times New Roman"/>
          <w:sz w:val="26"/>
          <w:szCs w:val="26"/>
          <w:color w:val="auto"/>
          <w:vertAlign w:val="superscript"/>
        </w:rPr>
        <w:t>54</w:t>
      </w:r>
      <w:r>
        <w:rPr>
          <w:rFonts w:ascii="Times New Roman" w:cs="Times New Roman" w:eastAsia="Times New Roman" w:hAnsi="Times New Roman"/>
          <w:sz w:val="16"/>
          <w:szCs w:val="16"/>
          <w:color w:val="auto"/>
        </w:rPr>
        <w:t>) states:</w:t>
      </w:r>
    </w:p>
    <w:p>
      <w:pPr>
        <w:spacing w:after="0" w:line="8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The use of a percentage as a numerical threshold, such as 5%, may provide a basis for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u w:val="single" w:color="auto"/>
          <w:color w:val="auto"/>
        </w:rPr>
        <w:t>preliminary assumption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that—without considering all relevant circumstances—a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deviation of less than the specified percentage with respect to a particular item in the issuer’s financial statements is </w:t>
      </w:r>
      <w:r>
        <w:rPr>
          <w:rFonts w:ascii="Times New Roman" w:cs="Times New Roman" w:eastAsia="Times New Roman" w:hAnsi="Times New Roman"/>
          <w:sz w:val="16"/>
          <w:szCs w:val="16"/>
          <w:b w:val="1"/>
          <w:bCs w:val="1"/>
          <w:i w:val="1"/>
          <w:iCs w:val="1"/>
          <w:u w:val="single" w:color="auto"/>
          <w:color w:val="auto"/>
        </w:rPr>
        <w:t>unlikely to be material</w:t>
      </w:r>
      <w:r>
        <w:rPr>
          <w:rFonts w:ascii="Times New Roman" w:cs="Times New Roman" w:eastAsia="Times New Roman" w:hAnsi="Times New Roman"/>
          <w:sz w:val="16"/>
          <w:szCs w:val="16"/>
          <w:i w:val="1"/>
          <w:iCs w:val="1"/>
          <w:color w:val="auto"/>
        </w:rPr>
        <w:t>. The staff does not object to such a ‘rule of thumb’ as an initial step in assessing materiality. But quantifying, in percentage terms, the magnitude of a misstatement is only the beginning of a materiality analysis; it cannot appropriately be used as a substitute for a full analysis of all relevant considerations. Materiality concerns the significance of an item to users of an issuer’s financial statements. A matter is ‘material’ if there is a substantial likelihood that a reasonable person would consider it important.</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In its Statement of Financial Accounting Concepts No. 2, the FASB (Financial Accounting Standards Board) has expressed the essence of the materiality concept as follows: “</w:t>
      </w:r>
      <w:r>
        <w:rPr>
          <w:rFonts w:ascii="Times New Roman" w:cs="Times New Roman" w:eastAsia="Times New Roman" w:hAnsi="Times New Roman"/>
          <w:sz w:val="16"/>
          <w:szCs w:val="16"/>
          <w:i w:val="1"/>
          <w:iCs w:val="1"/>
          <w:color w:val="auto"/>
        </w:rPr>
        <w:t>The omission or misstatement of an item in a financial report is material if, in light of surrounding circumstances, the magnitude of the item is such that it 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u w:val="single" w:color="auto"/>
          <w:color w:val="auto"/>
        </w:rPr>
        <w:t>probable that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u w:val="single" w:color="auto"/>
          <w:color w:val="auto"/>
        </w:rPr>
        <w:t>the judgment of a reasonable person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relying upon the report would have been changed or influenced by the inclusion or correction of the item</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FASB states: “</w:t>
      </w:r>
      <w:r>
        <w:rPr>
          <w:rFonts w:ascii="Times New Roman" w:cs="Times New Roman" w:eastAsia="Times New Roman" w:hAnsi="Times New Roman"/>
          <w:sz w:val="16"/>
          <w:szCs w:val="16"/>
          <w:i w:val="1"/>
          <w:iCs w:val="1"/>
          <w:color w:val="auto"/>
        </w:rPr>
        <w:t>This formulation in accounting literature is essentially identical to the formulation used by the Courts in interpreting the federal securities laws.</w:t>
      </w:r>
    </w:p>
    <w:p>
      <w:pPr>
        <w:spacing w:after="0" w:line="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The Supreme Court has held that a fact is material if there is a substantial likelihood that the fact would have been viewed by a reasonable investor as having significantly altered the ‘total mix’ of information available</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spacing w:after="0" w:line="208" w:lineRule="exact"/>
        <w:rPr>
          <w:sz w:val="20"/>
          <w:szCs w:val="20"/>
          <w:color w:val="auto"/>
        </w:rPr>
      </w:pPr>
      <w:r>
        <w:rPr>
          <w:rFonts w:ascii="Times New Roman" w:cs="Times New Roman" w:eastAsia="Times New Roman" w:hAnsi="Times New Roman"/>
          <w:sz w:val="16"/>
          <w:szCs w:val="16"/>
          <w:color w:val="auto"/>
        </w:rPr>
        <w:t>Under these governing principles, a materiality assessment requires viewing the facts in the context of the surrounding circumstances, as accounting literature describes, or in the ‘total mix’ of information, in the words of the United States Supreme Court. In the context of a misstatement in financial information, although the “total mix” includes quantitative or percentage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considerations, it also includes the factual context in which the user of the financial report would view the item.</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The key guidance in accounting and auditing literature is that financial management and auditors must consider both </w:t>
      </w:r>
      <w:r>
        <w:rPr>
          <w:rFonts w:ascii="Times New Roman" w:cs="Times New Roman" w:eastAsia="Times New Roman" w:hAnsi="Times New Roman"/>
          <w:sz w:val="16"/>
          <w:szCs w:val="16"/>
          <w:i w:val="1"/>
          <w:iCs w:val="1"/>
          <w:color w:val="auto"/>
        </w:rPr>
        <w:t>quantitative and qualitative factors</w:t>
      </w:r>
      <w:r>
        <w:rPr>
          <w:rFonts w:ascii="Times New Roman" w:cs="Times New Roman" w:eastAsia="Times New Roman" w:hAnsi="Times New Roman"/>
          <w:sz w:val="16"/>
          <w:szCs w:val="16"/>
          <w:color w:val="auto"/>
        </w:rPr>
        <w:t xml:space="preserve"> when evaluating materiality. Decisions of the U.S. Supreme Court, SEC rules and enforcement actions, and accounting and auditing literature have consistently emphasized </w:t>
      </w:r>
      <w:r>
        <w:rPr>
          <w:rFonts w:ascii="Times New Roman" w:cs="Times New Roman" w:eastAsia="Times New Roman" w:hAnsi="Times New Roman"/>
          <w:sz w:val="16"/>
          <w:szCs w:val="16"/>
          <w:i w:val="1"/>
          <w:iCs w:val="1"/>
          <w:color w:val="auto"/>
        </w:rPr>
        <w:t>qualitative factors</w:t>
      </w:r>
      <w:r>
        <w:rPr>
          <w:rFonts w:ascii="Times New Roman" w:cs="Times New Roman" w:eastAsia="Times New Roman" w:hAnsi="Times New Roman"/>
          <w:sz w:val="16"/>
          <w:szCs w:val="16"/>
          <w:color w:val="auto"/>
        </w:rPr>
        <w:t xml:space="preserve"> in various contexts.</w:t>
      </w:r>
    </w:p>
    <w:p>
      <w:pPr>
        <w:spacing w:after="0" w:line="15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Based on what has been stated in the preceding paragraphs, it can be concluded that the FASB has consistently emphasized over time that materiality </w:t>
      </w:r>
      <w:r>
        <w:rPr>
          <w:rFonts w:ascii="Times New Roman" w:cs="Times New Roman" w:eastAsia="Times New Roman" w:hAnsi="Times New Roman"/>
          <w:sz w:val="16"/>
          <w:szCs w:val="16"/>
          <w:b w:val="1"/>
          <w:bCs w:val="1"/>
          <w:u w:val="single" w:color="auto"/>
          <w:color w:val="auto"/>
        </w:rPr>
        <w:t>cannot be reduced to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numerical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1788160"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54</w:t>
      </w:r>
      <w:r>
        <w:rPr>
          <w:rFonts w:ascii="Times New Roman" w:cs="Times New Roman" w:eastAsia="Times New Roman" w:hAnsi="Times New Roman"/>
          <w:sz w:val="16"/>
          <w:szCs w:val="16"/>
          <w:color w:val="auto"/>
        </w:rPr>
        <w:t xml:space="preserve">SEC Staff Accounting Bulletin: Nº 99 – Materiality. Available on web: </w:t>
      </w:r>
      <w:r>
        <w:rPr>
          <w:rFonts w:ascii="Times New Roman" w:cs="Times New Roman" w:eastAsia="Times New Roman" w:hAnsi="Times New Roman"/>
          <w:sz w:val="16"/>
          <w:szCs w:val="16"/>
          <w:u w:val="single" w:color="auto"/>
          <w:color w:val="auto"/>
        </w:rPr>
        <w:t>https://www.sec.gov/interps/account/sab99.htm</w:t>
      </w:r>
      <w:r>
        <w:rPr>
          <w:rFonts w:ascii="Times New Roman" w:cs="Times New Roman" w:eastAsia="Times New Roman" w:hAnsi="Times New Roman"/>
          <w:sz w:val="16"/>
          <w:szCs w:val="16"/>
          <w:color w:val="auto"/>
        </w:rPr>
        <w:t>. Note: Free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7146290"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0" w:name="page91"/>
    <w:bookmarkEnd w:id="90"/>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As reflected in SEC Staff Accounting Bulletin No. 99, materiality is a concept that requires the evaluation of both quantitative and qualitative aspects of an event in order to determine whether disclosure is warranted. It must be reiterated, as the bulletin concludes and as evidenced in the U.S. courts’ decisions cited, the SEC’s rules and enforcement actions, as well as accounting and auditing literature, that all of them—without exception—have considered qualitative factors in several contexts and have not limited materiality assessments solely to quantitative elements.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Accordingly, the arguments presented by the Issuer lack foundation.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7.2.5. REGARDING THE PROPER ACCOUNTING RECORDING OF THE 2011 CONTRIBUTIONS</w:t>
      </w:r>
    </w:p>
    <w:p>
      <w:pPr>
        <w:spacing w:after="0" w:line="20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The Issuer states that the expense represented by the 2011 contributions referred to as THE 2011 INFORMATION was duly recorded in the Issuer’s accounting books and reflected in its quarterly and annual results, such that the impact of these contributions on the Issuer’s results was known to the market.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With respect to this assertion, it is relevant to note that a review of the accounting entries submitted by the Issuer and included in the case file shows that the cash contribution to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appears recorded in generic accounts. However, it is also evident that there is no annotation or disclosure in the financial statements referencing these contributions—such as in the explanatory notes—or any visibility of them in the audited financial statements for fiscal years 2010 and 2011. It is worth noting that if such annotation had appeared in the generic accounts, any reasonable investor or reader would have been able to identify the contributions upon reviewing the financial statements.</w:t>
      </w:r>
    </w:p>
    <w:p>
      <w:pPr>
        <w:spacing w:after="0" w:line="129" w:lineRule="exact"/>
        <w:rPr>
          <w:sz w:val="20"/>
          <w:szCs w:val="20"/>
          <w:color w:val="auto"/>
        </w:rPr>
      </w:pPr>
    </w:p>
    <w:p>
      <w:pPr>
        <w:jc w:val="both"/>
        <w:ind w:right="20"/>
        <w:spacing w:after="0" w:line="221" w:lineRule="exact"/>
        <w:rPr>
          <w:sz w:val="20"/>
          <w:szCs w:val="20"/>
          <w:color w:val="auto"/>
        </w:rPr>
      </w:pPr>
      <w:r>
        <w:rPr>
          <w:rFonts w:ascii="Times New Roman" w:cs="Times New Roman" w:eastAsia="Times New Roman" w:hAnsi="Times New Roman"/>
          <w:sz w:val="16"/>
          <w:szCs w:val="16"/>
          <w:color w:val="auto"/>
        </w:rPr>
        <w:t>It should also be emphasized that by Resolution No. 043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2010 of the Accounting Standards Council, the amended General Business Accounting Plan entered into force on January 1, 2011, which included Account 659 for recording “other expenses.” This plan also allows </w:t>
      </w:r>
      <w:r>
        <w:rPr>
          <w:rFonts w:ascii="Times New Roman" w:cs="Times New Roman" w:eastAsia="Times New Roman" w:hAnsi="Times New Roman"/>
          <w:sz w:val="16"/>
          <w:szCs w:val="16"/>
          <w:b w:val="1"/>
          <w:bCs w:val="1"/>
          <w:u w:val="single" w:color="auto"/>
          <w:color w:val="auto"/>
        </w:rPr>
        <w:t>donations</w:t>
      </w:r>
      <w:r>
        <w:rPr>
          <w:rFonts w:ascii="Times New Roman" w:cs="Times New Roman" w:eastAsia="Times New Roman" w:hAnsi="Times New Roman"/>
          <w:sz w:val="16"/>
          <w:szCs w:val="16"/>
          <w:color w:val="auto"/>
        </w:rPr>
        <w:t xml:space="preserve"> to be recorded under subaccount 6591.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Therefore, the Issuer could, in favor of financial transparency, have recorded the cash contributions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 a specific subaccount 6591</w:t>
      </w:r>
      <w:r>
        <w:rPr>
          <w:rFonts w:ascii="Times New Roman" w:cs="Times New Roman" w:eastAsia="Times New Roman" w:hAnsi="Times New Roman"/>
          <w:sz w:val="16"/>
          <w:szCs w:val="16"/>
          <w:color w:val="auto"/>
        </w:rPr>
        <w:t>, labeled “</w:t>
      </w:r>
      <w:r>
        <w:rPr>
          <w:rFonts w:ascii="Times New Roman" w:cs="Times New Roman" w:eastAsia="Times New Roman" w:hAnsi="Times New Roman"/>
          <w:sz w:val="16"/>
          <w:szCs w:val="16"/>
          <w:i w:val="1"/>
          <w:iCs w:val="1"/>
          <w:color w:val="auto"/>
        </w:rPr>
        <w:t>other expenses</w:t>
      </w:r>
    </w:p>
    <w:p>
      <w:pPr>
        <w:spacing w:after="0" w:line="2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6"/>
          <w:szCs w:val="16"/>
          <w:i w:val="1"/>
          <w:iCs w:val="1"/>
          <w:color w:val="auto"/>
        </w:rPr>
        <w:t>– donations</w:t>
      </w:r>
      <w:r>
        <w:rPr>
          <w:rFonts w:ascii="Times New Roman" w:cs="Times New Roman" w:eastAsia="Times New Roman" w:hAnsi="Times New Roman"/>
          <w:sz w:val="16"/>
          <w:szCs w:val="16"/>
          <w:color w:val="auto"/>
        </w:rPr>
        <w:t>.” However, as stated, the Issuer used a generic account, without indicating that the “other expenses” entry—which included the amount of the donation—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corresponded to the cash contributions made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 xml:space="preserve">Thus, it is apparent that no specific subaccount was used to make the contribution identifiable or visible. As a result, reviewing the financial information, audit reports, or accounting entries </w:t>
      </w:r>
      <w:r>
        <w:rPr>
          <w:rFonts w:ascii="Times New Roman" w:cs="Times New Roman" w:eastAsia="Times New Roman" w:hAnsi="Times New Roman"/>
          <w:sz w:val="16"/>
          <w:szCs w:val="16"/>
          <w:b w:val="1"/>
          <w:bCs w:val="1"/>
          <w:u w:val="single" w:color="auto"/>
          <w:color w:val="auto"/>
        </w:rPr>
        <w:t>does not allow one to identify or clearly observe</w:t>
      </w:r>
      <w:r>
        <w:rPr>
          <w:rFonts w:ascii="Times New Roman" w:cs="Times New Roman" w:eastAsia="Times New Roman" w:hAnsi="Times New Roman"/>
          <w:sz w:val="16"/>
          <w:szCs w:val="16"/>
          <w:color w:val="auto"/>
        </w:rPr>
        <w:t xml:space="preserve"> the contributions referred to as THE 2011 INFORMATION.</w:t>
      </w:r>
    </w:p>
    <w:p>
      <w:pPr>
        <w:spacing w:after="0" w:line="14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 xml:space="preserve">In summary, without denying the existence of an accounting entry for such contributions, a review of the evidence presented by the Issuer shows that the accounting record does </w:t>
      </w:r>
      <w:r>
        <w:rPr>
          <w:rFonts w:ascii="Times New Roman" w:cs="Times New Roman" w:eastAsia="Times New Roman" w:hAnsi="Times New Roman"/>
          <w:sz w:val="16"/>
          <w:szCs w:val="16"/>
          <w:b w:val="1"/>
          <w:bCs w:val="1"/>
          <w:color w:val="auto"/>
        </w:rPr>
        <w:t>not</w:t>
      </w:r>
      <w:r>
        <w:rPr>
          <w:rFonts w:ascii="Times New Roman" w:cs="Times New Roman" w:eastAsia="Times New Roman" w:hAnsi="Times New Roman"/>
          <w:sz w:val="16"/>
          <w:szCs w:val="16"/>
          <w:color w:val="auto"/>
        </w:rPr>
        <w:t xml:space="preserve"> allow any investor or reader of the financial information, audit report, or accounting entries, to identify that the contributions described in THE 2011 INFORMATION were made. This is another indication that the Issuer decided not to be transparent, not to disclose the information, and instead to keep it covered or hidden.</w:t>
      </w:r>
    </w:p>
    <w:p>
      <w:pPr>
        <w:spacing w:after="0" w:line="15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Although the Issuer states that these contributions “</w:t>
      </w:r>
      <w:r>
        <w:rPr>
          <w:rFonts w:ascii="Times New Roman" w:cs="Times New Roman" w:eastAsia="Times New Roman" w:hAnsi="Times New Roman"/>
          <w:sz w:val="16"/>
          <w:szCs w:val="16"/>
          <w:i w:val="1"/>
          <w:iCs w:val="1"/>
          <w:color w:val="auto"/>
        </w:rPr>
        <w:t>were duly recorded in Financial Statements disclosed in the corresponding markets</w:t>
      </w:r>
      <w:r>
        <w:rPr>
          <w:rFonts w:ascii="Times New Roman" w:cs="Times New Roman" w:eastAsia="Times New Roman" w:hAnsi="Times New Roman"/>
          <w:sz w:val="16"/>
          <w:szCs w:val="16"/>
          <w:color w:val="auto"/>
        </w:rPr>
        <w:t xml:space="preserve">,” this assertion is inaccurate. The Issuer could have recorded these contributions in a specific subaccount to make them identifiable—if it had chosen to do so. This further evidences the Issuer’s intention to conceal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46290"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1" w:name="page92"/>
    <w:bookmarkEnd w:id="91"/>
    <w:p>
      <w:pPr>
        <w:ind w:left="3"/>
        <w:spacing w:after="0"/>
        <w:rPr>
          <w:sz w:val="20"/>
          <w:szCs w:val="20"/>
          <w:color w:val="auto"/>
        </w:rPr>
      </w:pPr>
      <w:r>
        <w:rPr>
          <w:rFonts w:ascii="Times New Roman" w:cs="Times New Roman" w:eastAsia="Times New Roman" w:hAnsi="Times New Roman"/>
          <w:sz w:val="16"/>
          <w:szCs w:val="16"/>
          <w:b w:val="1"/>
          <w:bCs w:val="1"/>
          <w:color w:val="auto"/>
        </w:rPr>
        <w:t>7.2.6. REGARDING THE ASSERTION THAT THE 2011 CONTRIBUTIONS WERE LAWFUL</w:t>
      </w:r>
    </w:p>
    <w:p>
      <w:pPr>
        <w:spacing w:after="0" w:line="206"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This sanctioning proceeding does not aim to determine whether the Issuer complied with electoral regulations. Electoral regulations and securities market regulations are independent, and similar events may trigger different legal obligations under each framework.</w:t>
      </w:r>
    </w:p>
    <w:p>
      <w:pPr>
        <w:spacing w:after="0" w:line="143"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 xml:space="preserve">Thus, even if information regarding political contributions has special treatment under electoral rules, under securities market regulations, the question for the Issuer is whether it was required to disclose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as a material event.</w:t>
      </w:r>
    </w:p>
    <w:p>
      <w:pPr>
        <w:spacing w:after="0" w:line="141" w:lineRule="exact"/>
        <w:rPr>
          <w:sz w:val="20"/>
          <w:szCs w:val="20"/>
          <w:color w:val="auto"/>
        </w:rPr>
      </w:pPr>
    </w:p>
    <w:p>
      <w:pPr>
        <w:jc w:val="both"/>
        <w:ind w:left="3" w:right="20"/>
        <w:spacing w:after="0" w:line="271" w:lineRule="auto"/>
        <w:rPr>
          <w:sz w:val="20"/>
          <w:szCs w:val="20"/>
          <w:color w:val="auto"/>
        </w:rPr>
      </w:pPr>
      <w:r>
        <w:rPr>
          <w:rFonts w:ascii="Times New Roman" w:cs="Times New Roman" w:eastAsia="Times New Roman" w:hAnsi="Times New Roman"/>
          <w:sz w:val="16"/>
          <w:szCs w:val="16"/>
          <w:color w:val="auto"/>
        </w:rPr>
        <w:t xml:space="preserve">The Issuer cites the legal opinions of attorneys Zegarra and Avendaño to argue that the </w:t>
      </w:r>
      <w:r>
        <w:rPr>
          <w:rFonts w:ascii="Times New Roman" w:cs="Times New Roman" w:eastAsia="Times New Roman" w:hAnsi="Times New Roman"/>
          <w:sz w:val="16"/>
          <w:szCs w:val="16"/>
          <w:b w:val="1"/>
          <w:bCs w:val="1"/>
          <w:color w:val="auto"/>
        </w:rPr>
        <w:t>cash contributions to FUERZA 2011</w:t>
      </w:r>
      <w:r>
        <w:rPr>
          <w:rFonts w:ascii="Times New Roman" w:cs="Times New Roman" w:eastAsia="Times New Roman" w:hAnsi="Times New Roman"/>
          <w:sz w:val="16"/>
          <w:szCs w:val="16"/>
          <w:color w:val="auto"/>
        </w:rPr>
        <w:t xml:space="preserve"> were lawful. These reports, submitted as evidence, merely state that “</w:t>
      </w:r>
      <w:r>
        <w:rPr>
          <w:rFonts w:ascii="Times New Roman" w:cs="Times New Roman" w:eastAsia="Times New Roman" w:hAnsi="Times New Roman"/>
          <w:sz w:val="16"/>
          <w:szCs w:val="16"/>
          <w:i w:val="1"/>
          <w:iCs w:val="1"/>
          <w:color w:val="auto"/>
        </w:rPr>
        <w:t>political parties may receive public and private funding under Article 9 of the referenced law</w:t>
      </w:r>
      <w:r>
        <w:rPr>
          <w:rFonts w:ascii="Times New Roman" w:cs="Times New Roman" w:eastAsia="Times New Roman" w:hAnsi="Times New Roman"/>
          <w:sz w:val="16"/>
          <w:szCs w:val="16"/>
          <w:color w:val="auto"/>
        </w:rPr>
        <w:t>,” and that “</w:t>
      </w:r>
      <w:r>
        <w:rPr>
          <w:rFonts w:ascii="Times New Roman" w:cs="Times New Roman" w:eastAsia="Times New Roman" w:hAnsi="Times New Roman"/>
          <w:sz w:val="16"/>
          <w:szCs w:val="16"/>
          <w:i w:val="1"/>
          <w:iCs w:val="1"/>
          <w:color w:val="auto"/>
        </w:rPr>
        <w:t>the law did not require monetary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donations to be made using the Means of Payment set forth in Article 5 of the same law, and thus the gratuitous transfer of money may be performed without such means</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These opinions may be consistent with electoral regulation; however, it is not within the SMV’s competence to rule on such matters.</w:t>
      </w:r>
    </w:p>
    <w:p>
      <w:pPr>
        <w:spacing w:after="0" w:line="204" w:lineRule="exact"/>
        <w:rPr>
          <w:sz w:val="20"/>
          <w:szCs w:val="20"/>
          <w:color w:val="auto"/>
        </w:rPr>
      </w:pPr>
    </w:p>
    <w:p>
      <w:pPr>
        <w:jc w:val="both"/>
        <w:ind w:left="3" w:right="20"/>
        <w:spacing w:after="0" w:line="264" w:lineRule="auto"/>
        <w:rPr>
          <w:sz w:val="20"/>
          <w:szCs w:val="20"/>
          <w:color w:val="auto"/>
        </w:rPr>
      </w:pPr>
      <w:r>
        <w:rPr>
          <w:rFonts w:ascii="Times New Roman" w:cs="Times New Roman" w:eastAsia="Times New Roman" w:hAnsi="Times New Roman"/>
          <w:sz w:val="16"/>
          <w:szCs w:val="16"/>
          <w:color w:val="auto"/>
        </w:rPr>
        <w:t xml:space="preserve">Although the Issuer attempts to argue that the contributions were not material due to their quantitative magnitude—i.e., that US$ 3.65 million was not material—it must be stressed that at the time the events took place (late 2010 and 2011), the Issuer should have analyzed whether such contributions could have been considered material events, particularly because they exceeded by far the </w:t>
      </w:r>
      <w:r>
        <w:rPr>
          <w:rFonts w:ascii="Times New Roman" w:cs="Times New Roman" w:eastAsia="Times New Roman" w:hAnsi="Times New Roman"/>
          <w:sz w:val="16"/>
          <w:szCs w:val="16"/>
          <w:b w:val="1"/>
          <w:bCs w:val="1"/>
          <w:u w:val="single" w:color="auto"/>
          <w:color w:val="auto"/>
        </w:rPr>
        <w:t>legal contribution limits established under the Political Organizations Law</w:t>
      </w:r>
      <w:r>
        <w:rPr>
          <w:rFonts w:ascii="Times New Roman" w:cs="Times New Roman" w:eastAsia="Times New Roman" w:hAnsi="Times New Roman"/>
          <w:sz w:val="16"/>
          <w:szCs w:val="16"/>
          <w:color w:val="auto"/>
        </w:rPr>
        <w:t>. At a minimum, the Issuer could have considered these limits for disclosure purposes—but it failed to do so.</w:t>
      </w:r>
    </w:p>
    <w:p>
      <w:pPr>
        <w:spacing w:after="0" w:line="162" w:lineRule="exact"/>
        <w:rPr>
          <w:sz w:val="20"/>
          <w:szCs w:val="20"/>
          <w:color w:val="auto"/>
        </w:rPr>
      </w:pPr>
    </w:p>
    <w:p>
      <w:pPr>
        <w:jc w:val="both"/>
        <w:ind w:left="3"/>
        <w:spacing w:after="0" w:line="270" w:lineRule="auto"/>
        <w:rPr>
          <w:sz w:val="20"/>
          <w:szCs w:val="20"/>
          <w:color w:val="auto"/>
        </w:rPr>
      </w:pPr>
      <w:r>
        <w:rPr>
          <w:rFonts w:ascii="Times New Roman" w:cs="Times New Roman" w:eastAsia="Times New Roman" w:hAnsi="Times New Roman"/>
          <w:sz w:val="16"/>
          <w:szCs w:val="16"/>
          <w:color w:val="auto"/>
        </w:rPr>
        <w:t>It is important to emphasize that relevant information of this nature may directly affect or significantly influence the determination of the price, supply, or trading of securities registered in the RPMV. In general, such information is necessary for investors to form an opinion regarding the issuer’s implicit risk, financial situation, operating results, and the securities issued. These requirements were clearly set forth in the former Regulation on Material Events in force at the time.</w:t>
      </w:r>
    </w:p>
    <w:p>
      <w:pPr>
        <w:spacing w:after="0" w:line="154" w:lineRule="exact"/>
        <w:rPr>
          <w:sz w:val="20"/>
          <w:szCs w:val="20"/>
          <w:color w:val="auto"/>
        </w:rPr>
      </w:pPr>
    </w:p>
    <w:p>
      <w:pPr>
        <w:jc w:val="both"/>
        <w:ind w:left="3" w:right="20"/>
        <w:spacing w:after="0" w:line="290" w:lineRule="auto"/>
        <w:rPr>
          <w:sz w:val="20"/>
          <w:szCs w:val="20"/>
          <w:color w:val="auto"/>
        </w:rPr>
      </w:pPr>
      <w:r>
        <w:rPr>
          <w:rFonts w:ascii="Times New Roman" w:cs="Times New Roman" w:eastAsia="Times New Roman" w:hAnsi="Times New Roman"/>
          <w:sz w:val="16"/>
          <w:szCs w:val="16"/>
          <w:color w:val="auto"/>
        </w:rPr>
        <w:t xml:space="preserve">It must be reiterated that this proceeding concerns the concealment of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which affected the transparency of the securities market—a legally protected interest under securities regulation.</w:t>
      </w:r>
    </w:p>
    <w:p>
      <w:pPr>
        <w:spacing w:after="0" w:line="140"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Accordingly, the fact that the contributions may have been lawful does not exempt the Issuer from responsibility for the infraction committed under securities market regulations.</w:t>
      </w:r>
    </w:p>
    <w:p>
      <w:pPr>
        <w:spacing w:after="0" w:line="141" w:lineRule="exact"/>
        <w:rPr>
          <w:sz w:val="20"/>
          <w:szCs w:val="20"/>
          <w:color w:val="auto"/>
        </w:rPr>
      </w:pPr>
    </w:p>
    <w:p>
      <w:pPr>
        <w:jc w:val="both"/>
        <w:ind w:left="3" w:right="20"/>
        <w:spacing w:after="0" w:line="229" w:lineRule="auto"/>
        <w:rPr>
          <w:sz w:val="20"/>
          <w:szCs w:val="20"/>
          <w:color w:val="auto"/>
        </w:rPr>
      </w:pPr>
      <w:r>
        <w:rPr>
          <w:rFonts w:ascii="Times New Roman" w:cs="Times New Roman" w:eastAsia="Times New Roman" w:hAnsi="Times New Roman"/>
          <w:sz w:val="16"/>
          <w:szCs w:val="16"/>
          <w:color w:val="auto"/>
        </w:rPr>
        <w:t xml:space="preserve">Notwithstanding this, regarding the lawfulness of the contributions referred to in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it must be noted that at the time they were delivered, Article 30 of Law No. 28094, the Political Organizations Law, set a limit of 60 UIT for contributions from legal entities. In 2010 and 2011, the UIT was S/ 3,600</w:t>
      </w:r>
      <w:r>
        <w:rPr>
          <w:rFonts w:ascii="Times New Roman" w:cs="Times New Roman" w:eastAsia="Times New Roman" w:hAnsi="Times New Roman"/>
          <w:sz w:val="26"/>
          <w:szCs w:val="26"/>
          <w:color w:val="auto"/>
          <w:vertAlign w:val="superscript"/>
        </w:rPr>
        <w:t>55</w:t>
      </w:r>
      <w:r>
        <w:rPr>
          <w:rFonts w:ascii="Times New Roman" w:cs="Times New Roman" w:eastAsia="Times New Roman" w:hAnsi="Times New Roman"/>
          <w:sz w:val="16"/>
          <w:szCs w:val="16"/>
          <w:color w:val="auto"/>
        </w:rPr>
        <w:t>, meaning the legal limit was S/ 216,000. A simple calculation shows that the Issuer’s cash contributions to FUERZA 2011—US$ 3.65 million—far exceeded the legal limit. Consequently, the Issuer would not have complied with the limits established by electoral law, or possibly did not even evaluate this matter, given that the decision was taken by one or two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178435</wp:posOffset>
            </wp:positionV>
            <wp:extent cx="157289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72895" cy="15240"/>
                    </a:xfrm>
                    <a:prstGeom prst="rect">
                      <a:avLst/>
                    </a:prstGeom>
                    <a:noFill/>
                  </pic:spPr>
                </pic:pic>
              </a:graphicData>
            </a:graphic>
          </wp:anchor>
        </w:drawing>
      </w:r>
    </w:p>
    <w:p>
      <w:pPr>
        <w:spacing w:after="0" w:line="242" w:lineRule="exact"/>
        <w:rPr>
          <w:sz w:val="20"/>
          <w:szCs w:val="20"/>
          <w:color w:val="auto"/>
        </w:rPr>
      </w:pPr>
    </w:p>
    <w:p>
      <w:pPr>
        <w:ind w:left="183" w:hanging="183"/>
        <w:spacing w:after="0"/>
        <w:tabs>
          <w:tab w:leader="none" w:pos="183" w:val="left"/>
        </w:tabs>
        <w:numPr>
          <w:ilvl w:val="0"/>
          <w:numId w:val="10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D.S. N° 252-2010-EF y D.S. N° 311-2009-EF.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7146290"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92" w:name="page93"/>
    <w:bookmarkEnd w:id="92"/>
    <w:p>
      <w:pPr>
        <w:jc w:val="both"/>
        <w:spacing w:after="0" w:line="211" w:lineRule="exact"/>
        <w:rPr>
          <w:sz w:val="20"/>
          <w:szCs w:val="20"/>
          <w:color w:val="auto"/>
        </w:rPr>
      </w:pPr>
      <w:r>
        <w:rPr>
          <w:rFonts w:ascii="Times New Roman" w:cs="Times New Roman" w:eastAsia="Times New Roman" w:hAnsi="Times New Roman"/>
          <w:sz w:val="16"/>
          <w:szCs w:val="16"/>
          <w:color w:val="auto"/>
        </w:rPr>
        <w:t>Nevertheless, any indication of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with electoral rules has no bearing on this administrative proceeding or the applicable sanction. As noted, the Issuer has the constitutional right to participate in political life. However, such participation must occur within the boundaries of electoral law and, critically, in compliance with the rules governing the securities market.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7.2.7. REGARDING THE EVOLUTION OF THE SHARE PRICE</w:t>
      </w:r>
    </w:p>
    <w:p>
      <w:pPr>
        <w:spacing w:after="0" w:line="2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The Issuer states that the </w:t>
      </w:r>
      <w:r>
        <w:rPr>
          <w:rFonts w:ascii="Times New Roman" w:cs="Times New Roman" w:eastAsia="Times New Roman" w:hAnsi="Times New Roman"/>
          <w:sz w:val="16"/>
          <w:szCs w:val="16"/>
          <w:b w:val="1"/>
          <w:bCs w:val="1"/>
          <w:color w:val="auto"/>
        </w:rPr>
        <w:t>2011 INFORMATION</w:t>
      </w:r>
      <w:r>
        <w:rPr>
          <w:rFonts w:ascii="Times New Roman" w:cs="Times New Roman" w:eastAsia="Times New Roman" w:hAnsi="Times New Roman"/>
          <w:sz w:val="16"/>
          <w:szCs w:val="16"/>
          <w:color w:val="auto"/>
        </w:rPr>
        <w:t xml:space="preserve"> was not material because it did not have any relevant—let alone significant—impact on the price and trading volume of its shares (Ticker: BAP); for this purpose, it analyzes the evolution of these elements during the days following the </w:t>
      </w:r>
      <w:r>
        <w:rPr>
          <w:rFonts w:ascii="Times New Roman" w:cs="Times New Roman" w:eastAsia="Times New Roman" w:hAnsi="Times New Roman"/>
          <w:sz w:val="16"/>
          <w:szCs w:val="16"/>
          <w:b w:val="1"/>
          <w:bCs w:val="1"/>
          <w:u w:val="single" w:color="auto"/>
          <w:color w:val="auto"/>
        </w:rPr>
        <w:t>disclosure</w:t>
      </w:r>
      <w:r>
        <w:rPr>
          <w:rFonts w:ascii="Times New Roman" w:cs="Times New Roman" w:eastAsia="Times New Roman" w:hAnsi="Times New Roman"/>
          <w:sz w:val="16"/>
          <w:szCs w:val="16"/>
          <w:color w:val="auto"/>
        </w:rPr>
        <w:t xml:space="preserve"> of the </w:t>
      </w:r>
      <w:r>
        <w:rPr>
          <w:rFonts w:ascii="Times New Roman" w:cs="Times New Roman" w:eastAsia="Times New Roman" w:hAnsi="Times New Roman"/>
          <w:sz w:val="16"/>
          <w:szCs w:val="16"/>
          <w:b w:val="1"/>
          <w:bCs w:val="1"/>
          <w:u w:val="single" w:color="auto"/>
          <w:color w:val="auto"/>
        </w:rPr>
        <w:t>2011 INFORMATION</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In this regard, it must be noted that even though the analysis does not correspond to the moment when the information should have been disclosed, indicators show that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2011 INFORMATION</w:t>
      </w:r>
      <w:r>
        <w:rPr>
          <w:rFonts w:ascii="Times New Roman" w:cs="Times New Roman" w:eastAsia="Times New Roman" w:hAnsi="Times New Roman"/>
          <w:sz w:val="16"/>
          <w:szCs w:val="16"/>
          <w:color w:val="auto"/>
        </w:rPr>
        <w:t>—although disclosed late, even years later—did have the capacity to significantly influence the market for the Issuer’s common shares. Although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price recovered in the following days, it did not return to the same levels prior to the disclosure of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which referred to the cash contribution made to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Accordingly, although indicators show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even when disclosed late, did have the capacity to significantly influence the market for the Issuer’s common shares, it is considered that the same impact would have occurred had investors learned of these contributions in 2011.</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Thus, to support this argument, the behavior of the Issuer’s shares is shown from the moment the market became aware of the information that had been concealed for more than eight (8)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193675</wp:posOffset>
            </wp:positionV>
            <wp:extent cx="7146290"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8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color w:val="auto"/>
        </w:rPr>
        <w:t>The following chart is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140335</wp:posOffset>
            </wp:positionV>
            <wp:extent cx="4370705" cy="24358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70705" cy="243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Elaboration IGCC. Source: Bloomberg</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In line with this, and as already noted in the Charges Letter, on November 19, 2019 (after the dissemination of Mr. Romero’s letter via Twitter on November 18, 2019 and the publication of the Press Release on the Issuer’s website on the same date), it was observed that during the first hour of trading on the New York Stock Exchange (NYSE), the Issuer’s common share (BAP) suffered a drop of up to 2.46%, while on the Lima Stock Exchange (BVL) it showed a drop of 2.0% compared to the previous day’s closing price, reaching minimum prices of US$ 205.6 and US$ 205.9, respectively.</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Although the share price recovered in the following hours, BAP closed that day lower at US$ 208.19 on the NYSE and US$ 206.62 on the BVL, representing declines of – 1.25% and –1.61%, respectively, indicating that there was an effect on the Issuer’s share price (BAP) on the same day the news became known.</w:t>
      </w:r>
    </w:p>
    <w:p>
      <w:pPr>
        <w:spacing w:after="0" w:line="141" w:lineRule="exact"/>
        <w:rPr>
          <w:sz w:val="20"/>
          <w:szCs w:val="20"/>
          <w:color w:val="auto"/>
        </w:rPr>
      </w:pPr>
    </w:p>
    <w:p>
      <w:pPr>
        <w:jc w:val="both"/>
        <w:spacing w:after="0" w:line="199" w:lineRule="exact"/>
        <w:rPr>
          <w:sz w:val="20"/>
          <w:szCs w:val="20"/>
          <w:color w:val="auto"/>
        </w:rPr>
      </w:pPr>
      <w:r>
        <w:rPr>
          <w:rFonts w:ascii="Times New Roman" w:cs="Times New Roman" w:eastAsia="Times New Roman" w:hAnsi="Times New Roman"/>
          <w:sz w:val="16"/>
          <w:szCs w:val="16"/>
          <w:color w:val="auto"/>
        </w:rPr>
        <w:t xml:space="preserve">Likewise, contrary to the Issuer’s argument, it is observed that following the </w:t>
      </w:r>
      <w:r>
        <w:rPr>
          <w:rFonts w:ascii="Times New Roman" w:cs="Times New Roman" w:eastAsia="Times New Roman" w:hAnsi="Times New Roman"/>
          <w:sz w:val="16"/>
          <w:szCs w:val="16"/>
          <w:b w:val="1"/>
          <w:bCs w:val="1"/>
          <w:u w:val="single" w:color="auto"/>
          <w:color w:val="auto"/>
        </w:rPr>
        <w:t>disclosure</w:t>
      </w:r>
      <w:r>
        <w:rPr>
          <w:rFonts w:ascii="Times New Roman" w:cs="Times New Roman" w:eastAsia="Times New Roman" w:hAnsi="Times New Roman"/>
          <w:sz w:val="16"/>
          <w:szCs w:val="16"/>
          <w:color w:val="auto"/>
        </w:rPr>
        <w:t xml:space="preserve"> of the </w:t>
      </w:r>
      <w:r>
        <w:rPr>
          <w:rFonts w:ascii="Times New Roman" w:cs="Times New Roman" w:eastAsia="Times New Roman" w:hAnsi="Times New Roman"/>
          <w:sz w:val="16"/>
          <w:szCs w:val="16"/>
          <w:b w:val="1"/>
          <w:bCs w:val="1"/>
          <w:color w:val="auto"/>
        </w:rPr>
        <w:t>2011 INFORMATION</w:t>
      </w:r>
      <w:r>
        <w:rPr>
          <w:rFonts w:ascii="Times New Roman" w:cs="Times New Roman" w:eastAsia="Times New Roman" w:hAnsi="Times New Roman"/>
          <w:sz w:val="16"/>
          <w:szCs w:val="16"/>
          <w:color w:val="auto"/>
        </w:rPr>
        <w:t>, between November 19 and 22, 2019, the BAP share price (NYSE) remained down and only recovered to pre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disclosure levels on November 29, 2019. Furthermore, the assessment of materiality—capacity for significant influence—does not depend on whether the BAP share price remained at a lower level over subsequent trading days. Rather, what matters is that on the day the news was published, the BAP share price did show an effect (a price decline).</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Regarding the Issuer’s argument that the price drop on November 19, 2019, both on the BVL and the NYSE, was due to various factors affecting the Issuer and the Latin American financial sector in general, it must be noted that shares of other financial issuers listed on the NYSE also fell on that day. However, a more appropriate comparable would have been Intercorp Financial Services Inc. (IFS), a financial issuer also listed on the NYSE and more similar to the Issuer. Notably, on November 19, 2019, the IFS share closed at US$ 40.21, registering a 0.58% increase compared to the previous day.</w:t>
      </w:r>
    </w:p>
    <w:p>
      <w:pPr>
        <w:spacing w:after="0" w:line="126"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Therefore, although market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impact analysis is not the decisive factor for determining whether information must be disclosed as a material event, in this case there is sufficient evidence showing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disclosed on November 19, 2019 had an impact on the Issuer’s share price (BAP), regardless of whether the price later returned to previous levels. This provides additional indication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is significant for purposes of its qualification as a material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14629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ind w:left="3"/>
        <w:spacing w:after="0"/>
        <w:rPr>
          <w:sz w:val="20"/>
          <w:szCs w:val="20"/>
          <w:color w:val="auto"/>
        </w:rPr>
      </w:pPr>
      <w:r>
        <w:rPr>
          <w:rFonts w:ascii="Times New Roman" w:cs="Times New Roman" w:eastAsia="Times New Roman" w:hAnsi="Times New Roman"/>
          <w:sz w:val="16"/>
          <w:szCs w:val="16"/>
          <w:b w:val="1"/>
          <w:bCs w:val="1"/>
          <w:color w:val="auto"/>
        </w:rPr>
        <w:t>7.2.8. REGARDING THE MATERIALITY STANDARD OF THE NEW YORK STOCK EXCHANGE (NYSE)</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 xml:space="preserve">Regarding this argument, it must be noted that the NYSE did not learn of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at the time it occurred. Therefore, the statements of Macroinvest S.A.</w:t>
      </w:r>
    </w:p>
    <w:p>
      <w:pPr>
        <w:spacing w:after="0" w:line="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are incomplete, or at least cannot assess what would have happened had the information been disclosed to the NYSE market in 2011.</w:t>
      </w:r>
    </w:p>
    <w:p>
      <w:pPr>
        <w:spacing w:after="0" w:line="153" w:lineRule="exact"/>
        <w:rPr>
          <w:sz w:val="20"/>
          <w:szCs w:val="20"/>
          <w:color w:val="auto"/>
        </w:rPr>
      </w:pPr>
    </w:p>
    <w:p>
      <w:pPr>
        <w:jc w:val="both"/>
        <w:ind w:left="3" w:right="20"/>
        <w:spacing w:after="0" w:line="221" w:lineRule="exact"/>
        <w:rPr>
          <w:sz w:val="20"/>
          <w:szCs w:val="20"/>
          <w:color w:val="auto"/>
        </w:rPr>
      </w:pPr>
      <w:r>
        <w:rPr>
          <w:rFonts w:ascii="Times New Roman" w:cs="Times New Roman" w:eastAsia="Times New Roman" w:hAnsi="Times New Roman"/>
          <w:sz w:val="16"/>
          <w:szCs w:val="16"/>
          <w:color w:val="auto"/>
        </w:rPr>
        <w:t>The Issuer also presents a second report prepared by the “</w:t>
      </w:r>
      <w:r>
        <w:rPr>
          <w:rFonts w:ascii="Times New Roman" w:cs="Times New Roman" w:eastAsia="Times New Roman" w:hAnsi="Times New Roman"/>
          <w:sz w:val="16"/>
          <w:szCs w:val="16"/>
          <w:i w:val="1"/>
          <w:iCs w:val="1"/>
          <w:color w:val="auto"/>
        </w:rPr>
        <w:t>well</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known U.S. law firm Arnold &amp; Porter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which explains the disclosure regime applicable to Credicorp as an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issuer, and concludies that under U.S. federal securities laws and NYSE rules, the 2011 INFORMATION lacked materiality and did not need to be disclosed</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ind w:left="3" w:right="20"/>
        <w:spacing w:after="0" w:line="271" w:lineRule="auto"/>
        <w:rPr>
          <w:sz w:val="20"/>
          <w:szCs w:val="20"/>
          <w:color w:val="auto"/>
        </w:rPr>
      </w:pPr>
      <w:r>
        <w:rPr>
          <w:rFonts w:ascii="Times New Roman" w:cs="Times New Roman" w:eastAsia="Times New Roman" w:hAnsi="Times New Roman"/>
          <w:sz w:val="16"/>
          <w:szCs w:val="16"/>
          <w:color w:val="auto"/>
        </w:rPr>
        <w:t xml:space="preserve">As can be seen, these are commissioned reports prepared by third parties hired by the Issuer to support the argument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did not qualify as a material event. These are opinions from firms that are not the NYSE or the SEC. Therefore, the conclusion of Arnold &amp; Porter Kaye Scholer LLP that the 2011 information lacked materiality under U.S. federal securities laws and NYSE rules does not contradict or undermine the charges.</w:t>
      </w:r>
    </w:p>
    <w:p>
      <w:pPr>
        <w:spacing w:after="0" w:line="156" w:lineRule="exact"/>
        <w:rPr>
          <w:sz w:val="20"/>
          <w:szCs w:val="20"/>
          <w:color w:val="auto"/>
        </w:rPr>
      </w:pPr>
    </w:p>
    <w:p>
      <w:pPr>
        <w:jc w:val="both"/>
        <w:ind w:left="3"/>
        <w:spacing w:after="0" w:line="198" w:lineRule="exact"/>
        <w:rPr>
          <w:sz w:val="20"/>
          <w:szCs w:val="20"/>
          <w:color w:val="auto"/>
        </w:rPr>
      </w:pPr>
      <w:r>
        <w:rPr>
          <w:rFonts w:ascii="Times New Roman" w:cs="Times New Roman" w:eastAsia="Times New Roman" w:hAnsi="Times New Roman"/>
          <w:sz w:val="16"/>
          <w:szCs w:val="16"/>
          <w:color w:val="auto"/>
        </w:rPr>
        <w:t>Furthermore, regarding the conclusions reached by the law firm Arnold &amp; Porter Kaye Scholer LLP, the analysis of U.S. regulation is reasonably similar to Peruvian regulation: in the U.S., Forms 20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 and 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require specific disclosure; in Peru, the Regulation on Material Events contains an indicative annex of events typically deemed material. However, in both jurisdictions, beyond explicitly listed events, issuers must disclose any other circumstances that are material—quantitatively or qualitatively—as previously explained.</w:t>
      </w:r>
    </w:p>
    <w:p>
      <w:pPr>
        <w:spacing w:after="0" w:line="9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Additionally, it must be noted that the FASB</w:t>
      </w:r>
      <w:r>
        <w:rPr>
          <w:rFonts w:ascii="Times New Roman" w:cs="Times New Roman" w:eastAsia="Times New Roman" w:hAnsi="Times New Roman"/>
          <w:sz w:val="26"/>
          <w:szCs w:val="26"/>
          <w:color w:val="auto"/>
          <w:vertAlign w:val="superscript"/>
        </w:rPr>
        <w:t>56</w:t>
      </w:r>
      <w:r>
        <w:rPr>
          <w:rFonts w:ascii="Times New Roman" w:cs="Times New Roman" w:eastAsia="Times New Roman" w:hAnsi="Times New Roman"/>
          <w:sz w:val="16"/>
          <w:szCs w:val="16"/>
          <w:color w:val="auto"/>
        </w:rPr>
        <w:t>, an independent organization that issues financial reporting standards required by the SEC for all companies listed on U.S.</w:t>
      </w:r>
    </w:p>
    <w:p>
      <w:pPr>
        <w:ind w:left="3"/>
        <w:spacing w:after="0"/>
        <w:rPr>
          <w:sz w:val="20"/>
          <w:szCs w:val="20"/>
          <w:color w:val="auto"/>
        </w:rPr>
      </w:pPr>
      <w:r>
        <w:rPr>
          <w:rFonts w:ascii="Times New Roman" w:cs="Times New Roman" w:eastAsia="Times New Roman" w:hAnsi="Times New Roman"/>
          <w:sz w:val="16"/>
          <w:szCs w:val="16"/>
          <w:color w:val="auto"/>
        </w:rPr>
        <w:t>stock exchanges, has consistently emphasized that materiality cannot be reduced to a numerical formula.</w:t>
      </w:r>
    </w:p>
    <w:p>
      <w:pPr>
        <w:spacing w:after="0" w:line="186" w:lineRule="exact"/>
        <w:rPr>
          <w:sz w:val="20"/>
          <w:szCs w:val="20"/>
          <w:color w:val="auto"/>
        </w:rPr>
      </w:pPr>
    </w:p>
    <w:p>
      <w:pPr>
        <w:jc w:val="both"/>
        <w:ind w:left="3" w:right="20"/>
        <w:spacing w:after="0" w:line="270" w:lineRule="auto"/>
        <w:rPr>
          <w:sz w:val="20"/>
          <w:szCs w:val="20"/>
          <w:color w:val="auto"/>
        </w:rPr>
      </w:pPr>
      <w:r>
        <w:rPr>
          <w:rFonts w:ascii="Times New Roman" w:cs="Times New Roman" w:eastAsia="Times New Roman" w:hAnsi="Times New Roman"/>
          <w:sz w:val="16"/>
          <w:szCs w:val="16"/>
          <w:color w:val="auto"/>
        </w:rPr>
        <w:t>Similarly, as previously explained, SEC Staff Accounting Bulletin No. 99 makes clear that materiality requires evaluating both quantitative and qualitative aspects of an event to determine whether disclosure is appropriate. It also states that U.S. court decisions, SEC rules and enforcement actions, and accounting and auditing literature have always considered qualitative factors in various contexts.</w:t>
      </w:r>
    </w:p>
    <w:p>
      <w:pPr>
        <w:spacing w:after="0" w:line="156"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Accordingly, it is reiterated that a materiality assessment must consider various elements of information—quantitative and qualitative—evaluated together to determine whether the event constitutes a material event.</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7.2.9. REGARDING MR. ROMERO’S STATEMENTS</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Regarding these defenses, two assertions by the Issuer must be highlighted: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178816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367" w:lineRule="exact"/>
        <w:rPr>
          <w:sz w:val="20"/>
          <w:szCs w:val="20"/>
          <w:color w:val="auto"/>
        </w:rPr>
      </w:pPr>
    </w:p>
    <w:p>
      <w:pPr>
        <w:ind w:left="3" w:right="100" w:hanging="3"/>
        <w:spacing w:after="0" w:line="200" w:lineRule="auto"/>
        <w:tabs>
          <w:tab w:leader="none" w:pos="178" w:val="left"/>
        </w:tabs>
        <w:numPr>
          <w:ilvl w:val="0"/>
          <w:numId w:val="10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About FSSB view link:</w:t>
      </w:r>
      <w:r>
        <w:rPr>
          <w:rFonts w:ascii="Times New Roman" w:cs="Times New Roman" w:eastAsia="Times New Roman" w:hAnsi="Times New Roman"/>
          <w:sz w:val="16"/>
          <w:szCs w:val="16"/>
          <w:u w:val="single" w:color="auto"/>
          <w:color w:val="auto"/>
        </w:rPr>
        <w:t>https://www.fasb.org/jsp/FASB/Page/SectionPage&amp;cid=1218220137486</w:t>
      </w:r>
      <w:r>
        <w:rPr>
          <w:rFonts w:ascii="Times New Roman" w:cs="Times New Roman" w:eastAsia="Times New Roman" w:hAnsi="Times New Roman"/>
          <w:sz w:val="16"/>
          <w:szCs w:val="16"/>
          <w:color w:val="auto"/>
        </w:rPr>
        <w:t>. Translator’s Note: The hyperlink included in the original document is no longer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146290"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95" w:name="page96"/>
    <w:bookmarkEnd w:id="95"/>
    <w:p>
      <w:pPr>
        <w:ind w:left="580" w:hanging="292"/>
        <w:spacing w:after="0"/>
        <w:tabs>
          <w:tab w:leader="none" w:pos="58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reiterates that the 2011 INFORMATION was not material; and</w:t>
      </w:r>
    </w:p>
    <w:p>
      <w:pPr>
        <w:spacing w:after="0" w:line="204" w:lineRule="exact"/>
        <w:rPr>
          <w:rFonts w:ascii="Times New Roman" w:cs="Times New Roman" w:eastAsia="Times New Roman" w:hAnsi="Times New Roman"/>
          <w:sz w:val="16"/>
          <w:szCs w:val="16"/>
          <w:color w:val="auto"/>
        </w:rPr>
      </w:pPr>
    </w:p>
    <w:p>
      <w:pPr>
        <w:ind w:left="580" w:right="20" w:hanging="292"/>
        <w:spacing w:after="0" w:line="287" w:lineRule="auto"/>
        <w:tabs>
          <w:tab w:leader="none" w:pos="58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claims that Mr. Romero’s statements generated intense media coverage only due to circumstances corresponding to later or subsequently known events, such as those related to investigations by the Public Prosecutor’s Office.</w:t>
      </w:r>
    </w:p>
    <w:p>
      <w:pPr>
        <w:spacing w:after="0" w:line="14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With respect to materiality, this issue has already been extensively analyzed, and it has been concluded, among other things, that the regulation on material events does not contain the term “material” or its derivatives. However, the development of this concept is recognized in the rules. Therefore, the importance or materiality of information is determined not only by quantitative factors, but also by qualitative ones.</w:t>
      </w:r>
    </w:p>
    <w:p>
      <w:pPr>
        <w:spacing w:after="0" w:line="1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As previously stated, although “</w:t>
      </w:r>
      <w:r>
        <w:rPr>
          <w:rFonts w:ascii="Times New Roman" w:cs="Times New Roman" w:eastAsia="Times New Roman" w:hAnsi="Times New Roman"/>
          <w:sz w:val="16"/>
          <w:szCs w:val="16"/>
          <w:i w:val="1"/>
          <w:iCs w:val="1"/>
          <w:color w:val="auto"/>
        </w:rPr>
        <w:t>cash contributions to political parties</w:t>
      </w:r>
      <w:r>
        <w:rPr>
          <w:rFonts w:ascii="Times New Roman" w:cs="Times New Roman" w:eastAsia="Times New Roman" w:hAnsi="Times New Roman"/>
          <w:sz w:val="16"/>
          <w:szCs w:val="16"/>
          <w:color w:val="auto"/>
        </w:rPr>
        <w:t xml:space="preserve">” is not included in the Annex to the repealed or current Regulation on Material Events, such contributions are relevant for the market. Again, it was relevant for the market and investors to know that one of the largest financial conglomerates operating in Peru took a political position and decided to contribute US$ 3.65 million—a contribution that, from a qualitative perspective, is significant and should have been disclosed as a material event. It is worth highlighting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is now officially listed as a material event disclosed by the Issuer, and is publicly available across various information sources in Peru and worldwide, including social media and the press. This makes the event irreversible—it is now part of the Issuer’s record of material events, and it cannot be erased or declared “not material,” simply because it objectively 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respect to the second argument presented by the Issuer, it is appropriate to recall Mr. Romero’s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Statement via Twitter:</w:t>
      </w:r>
    </w:p>
    <w:p>
      <w:pPr>
        <w:spacing w:after="0" w:line="202"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 my statement, I informed the Prosecutor’s Office about the donations that Credicorp Ltd. made to the Fuerza 2011 campaign during the presidential elections of that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year. I feel it is necessary to write this letter to explain the circumstances and, especially, the reasons behind the decision to make such contributions.</w:t>
      </w:r>
    </w:p>
    <w:p>
      <w:pPr>
        <w:spacing w:after="0" w:line="138" w:lineRule="exact"/>
        <w:rPr>
          <w:sz w:val="20"/>
          <w:szCs w:val="20"/>
          <w:color w:val="auto"/>
        </w:rPr>
      </w:pPr>
    </w:p>
    <w:p>
      <w:pPr>
        <w:jc w:val="both"/>
        <w:spacing w:after="0" w:line="201" w:lineRule="exact"/>
        <w:rPr>
          <w:sz w:val="20"/>
          <w:szCs w:val="20"/>
          <w:color w:val="auto"/>
        </w:rPr>
      </w:pPr>
      <w:r>
        <w:rPr>
          <w:rFonts w:ascii="Times New Roman" w:cs="Times New Roman" w:eastAsia="Times New Roman" w:hAnsi="Times New Roman"/>
          <w:sz w:val="16"/>
          <w:szCs w:val="16"/>
          <w:i w:val="1"/>
          <w:iCs w:val="1"/>
          <w:color w:val="auto"/>
        </w:rPr>
        <w:t>I would like to begin by recalling the anxiety we experienced during that electoral process, those of us who believe in Peru’s development and progress. The Venezuelan regime, then led by Hugo Chávez, was deploying multimillion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dollar efforts to expand harmful chavismo throughout Latin America. Peru had become a crucial target for Chávez, and candidate Ollanta Humala adopted this ideology in his government plan ‘La Gran Transformación’</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Likewise, his statements before the Public Prosecutor’s Office:</w:t>
      </w:r>
    </w:p>
    <w:p>
      <w:pPr>
        <w:spacing w:after="0" w:line="169" w:lineRule="exact"/>
        <w:rPr>
          <w:sz w:val="20"/>
          <w:szCs w:val="20"/>
          <w:color w:val="auto"/>
        </w:rPr>
      </w:pPr>
    </w:p>
    <w:p>
      <w:pPr>
        <w:jc w:val="both"/>
        <w:ind w:right="20"/>
        <w:spacing w:after="0" w:line="202" w:lineRule="exact"/>
        <w:rPr>
          <w:sz w:val="20"/>
          <w:szCs w:val="20"/>
          <w:color w:val="auto"/>
        </w:rPr>
      </w:pPr>
      <w:r>
        <w:rPr>
          <w:rFonts w:ascii="Times New Roman" w:cs="Times New Roman" w:eastAsia="Times New Roman" w:hAnsi="Times New Roman"/>
          <w:sz w:val="16"/>
          <w:szCs w:val="16"/>
          <w:i w:val="1"/>
          <w:iCs w:val="1"/>
          <w:color w:val="auto"/>
        </w:rPr>
        <w:t>“(…) In late 2010 and early 2011, there was great concern about the possibility that a chavista</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style candidate, or one controlled by chavismo, could take power in Peru; President Chávez of Venezuela had expressed his intention to export his system of government, 21st</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century socialism, and have control or influence over other countries in the region, and it was evident that he was contributing millions of dollars to the campaigns of candidates aligned with him. In Peru, this manifested through the ‘Great Transformation’ project of candidate OLLANTA HUMALA. Faced with this exceptional risk and exceptional situation for the companies I lead and for our country’s economy, and even for democracy itself, we at CREDICORP, as a leading Peruvian business group, decided to use the tools at our disposal to confront this threat, under the prerogatives I hold as Chairman of the Board and chief executive of CREDICORP; and in coordination with Manager WALTER BAYLY, we decided to support the Party that, according to polls, could win the election against the Party financed by Venezuela.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7146290"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6" w:name="page97"/>
    <w:bookmarkEnd w:id="96"/>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Between the first and second round we contributed a total amount of THREE MILLION SIX HUNDRED FIFTY THOUSAND AND 00/100 U.S. DOLLARS (US$ 3,650,000.00). I am aware that it is an exceptional amount given in an exceptional context, that the country could fall into the hands of chavista politics (…)”.</w:t>
      </w:r>
    </w:p>
    <w:p>
      <w:pPr>
        <w:spacing w:after="0" w:line="14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this regard, regardless of the extensive discussion already provided regarding the Issuer’s materiality argument, it was also necessary to bear in mind Mr. Romero’s statements, which reveal the highly significant and exceptional nature of the contributions, given the circumstances Peru faced at that time. Therefore, the Issuer’s argument that the contributions were “</w:t>
      </w:r>
      <w:r>
        <w:rPr>
          <w:rFonts w:ascii="Times New Roman" w:cs="Times New Roman" w:eastAsia="Times New Roman" w:hAnsi="Times New Roman"/>
          <w:sz w:val="16"/>
          <w:szCs w:val="16"/>
          <w:i w:val="1"/>
          <w:iCs w:val="1"/>
          <w:color w:val="auto"/>
        </w:rPr>
        <w:t>exceptional</w:t>
      </w:r>
      <w:r>
        <w:rPr>
          <w:rFonts w:ascii="Times New Roman" w:cs="Times New Roman" w:eastAsia="Times New Roman" w:hAnsi="Times New Roman"/>
          <w:sz w:val="16"/>
          <w:szCs w:val="16"/>
          <w:color w:val="auto"/>
        </w:rPr>
        <w:t>,” that they “</w:t>
      </w:r>
      <w:r>
        <w:rPr>
          <w:rFonts w:ascii="Times New Roman" w:cs="Times New Roman" w:eastAsia="Times New Roman" w:hAnsi="Times New Roman"/>
          <w:sz w:val="16"/>
          <w:szCs w:val="16"/>
          <w:i w:val="1"/>
          <w:iCs w:val="1"/>
          <w:color w:val="auto"/>
        </w:rPr>
        <w:t>do not constitute an exception to the common rule</w:t>
      </w:r>
      <w:r>
        <w:rPr>
          <w:rFonts w:ascii="Times New Roman" w:cs="Times New Roman" w:eastAsia="Times New Roman" w:hAnsi="Times New Roman"/>
          <w:sz w:val="16"/>
          <w:szCs w:val="16"/>
          <w:color w:val="auto"/>
        </w:rPr>
        <w:t>,” and that for that reason they “</w:t>
      </w:r>
      <w:r>
        <w:rPr>
          <w:rFonts w:ascii="Times New Roman" w:cs="Times New Roman" w:eastAsia="Times New Roman" w:hAnsi="Times New Roman"/>
          <w:sz w:val="16"/>
          <w:szCs w:val="16"/>
          <w:i w:val="1"/>
          <w:iCs w:val="1"/>
          <w:color w:val="auto"/>
        </w:rPr>
        <w:t>become something capable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significantly influencing the price or trading volume of a share or the investment decisions of a reasonable investor</w:t>
      </w:r>
      <w:r>
        <w:rPr>
          <w:rFonts w:ascii="Times New Roman" w:cs="Times New Roman" w:eastAsia="Times New Roman" w:hAnsi="Times New Roman"/>
          <w:sz w:val="16"/>
          <w:szCs w:val="16"/>
          <w:color w:val="auto"/>
        </w:rPr>
        <w:t>,” only reinforces what has already been stated: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Issuer’s cash contributions to the political party FUERZA 2011 constituted relevant information for investors and for the market.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Notwithstanding that it has already been demonstrated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qualifies as a material event, it is necessary to also note that in the Issuer’s 2019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Annual Report, Mr. Romero states (see </w:t>
      </w:r>
      <w:r>
        <w:rPr>
          <w:rFonts w:ascii="Times New Roman" w:cs="Times New Roman" w:eastAsia="Times New Roman" w:hAnsi="Times New Roman"/>
          <w:sz w:val="16"/>
          <w:szCs w:val="16"/>
          <w:b w:val="1"/>
          <w:bCs w:val="1"/>
          <w:color w:val="auto"/>
        </w:rPr>
        <w:t>ANNEX 1</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Letter from the President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Dear Shareholders,</w:t>
      </w:r>
    </w:p>
    <w:p>
      <w:pPr>
        <w:spacing w:after="0" w:line="20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Each year I write this letter to share with you the results of our business and our outlook for the future. On this occasion, I would like to begin by commenting on the impact of events that occurred nine years ago and the measures we have been taking as part of a continuous improvement process in our corporate governance.</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I have recently made public the reasons why I decided, in the years 2010–2011, within a politically risky context for the future of Peru, that Credicorp should contribute funds to the 2011 presidential campaign. I greatly regret the impact these actions have had on our organization and on the perception of our stakeholders. Since late 2011, together with Management and the Board of Directors,</w:t>
      </w:r>
      <w:r>
        <w:rPr>
          <w:rFonts w:ascii="Times New Roman" w:cs="Times New Roman" w:eastAsia="Times New Roman" w:hAnsi="Times New Roman"/>
          <w:sz w:val="16"/>
          <w:szCs w:val="16"/>
          <w:i w:val="1"/>
          <w:iCs w:val="1"/>
          <w:color w:val="auto"/>
        </w:rPr>
        <w:t xml:space="preserve"> we have worked to continuously strengthen and reinforce our corporate governance policies. For example, the political contributions made during the 2016 presidential campaign by three of our subsidiaries (Banco de Crédito del Perú, Mibanco, and Pacífico) were carried out under clear procedures and in strict compliance with transparency and reporting requirements. Furthermore, I want to underline that Credicorp currently has a corporate policy prohibiting political contributions to any political party, regardless of the jurisdiction in which we operate.</w:t>
      </w:r>
    </w:p>
    <w:p>
      <w:pPr>
        <w:spacing w:after="0" w:line="16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 xml:space="preserve">As shown, Mr. Romero, Chairman of the Issuer’s Board of Directors—who, as noted, is attributed to the Issuer for the purposes of analysis in this proceeding— acknowledges that the events referred to in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generated an impact on the organization and on the perception of its stakeholders.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Therefore, it is evident that the Issuer, in this proceeding, insists with arguments claiming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is not material or significant and does not qualify as a material event, while on the other hand Mr. Romero—who is attributed to the Issuer—publicly acknowledges in his letter to shareholders that such information has generated an impact on the organization and its stakeholders. This contradiction is clear; however, Mr. Romero’s acknowledgment is a fact, consistent with reality, and irrefutable.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Consequently,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qualifies as a material event, and in reality, it has been disclosed and is recorded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234315</wp:posOffset>
            </wp:positionV>
            <wp:extent cx="7146290"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7" w:name="page98"/>
    <w:bookmarkEnd w:id="97"/>
    <w:p>
      <w:pPr>
        <w:spacing w:after="0" w:line="184" w:lineRule="exact"/>
        <w:rPr>
          <w:sz w:val="20"/>
          <w:szCs w:val="20"/>
          <w:color w:val="auto"/>
        </w:rPr>
      </w:pPr>
      <w:r>
        <w:rPr>
          <w:rFonts w:ascii="Times New Roman" w:cs="Times New Roman" w:eastAsia="Times New Roman" w:hAnsi="Times New Roman"/>
          <w:sz w:val="16"/>
          <w:szCs w:val="16"/>
          <w:b w:val="1"/>
          <w:bCs w:val="1"/>
          <w:color w:val="auto"/>
        </w:rPr>
        <w:t>7.3. NON</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EXISTENCE OF INFORMATION CONCEALMENT</w:t>
      </w:r>
    </w:p>
    <w:p>
      <w:pPr>
        <w:spacing w:after="0" w:line="2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From the analysis of the defenses submitted by the Issuer, it is apparent that they are repetitive in the sense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is not material, that the accounting record of the contributions was adequate, and that alleged intent does not change the conduct. Additionally, the Issuer states that Mr. Walter Bayly Llona publicly declared to the press that the Credicorp Group had made political contributions during the 2011 campaign.</w:t>
      </w:r>
    </w:p>
    <w:p>
      <w:pPr>
        <w:spacing w:after="0" w:line="120"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6"/>
          <w:szCs w:val="16"/>
          <w:color w:val="auto"/>
        </w:rPr>
        <w:t>Given the Issuer’s claim of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existence of concealment of information,” it is appropriate to first outline the facts in order to properly assess the basis for initiating this sanctioning procedure against the Issuer:</w:t>
      </w:r>
    </w:p>
    <w:p>
      <w:pPr>
        <w:spacing w:after="0" w:line="177" w:lineRule="exact"/>
        <w:rPr>
          <w:sz w:val="20"/>
          <w:szCs w:val="20"/>
          <w:color w:val="auto"/>
        </w:rPr>
      </w:pPr>
    </w:p>
    <w:p>
      <w:pPr>
        <w:ind w:left="580" w:hanging="292"/>
        <w:spacing w:after="0" w:line="290" w:lineRule="auto"/>
        <w:tabs>
          <w:tab w:leader="none" w:pos="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Between November 18 and 21, 2019, the Issuer publicly disclosed </w:t>
      </w:r>
      <w:r>
        <w:rPr>
          <w:rFonts w:ascii="Times New Roman" w:cs="Times New Roman" w:eastAsia="Times New Roman" w:hAnsi="Times New Roman"/>
          <w:sz w:val="16"/>
          <w:szCs w:val="16"/>
          <w:u w:val="single" w:color="auto"/>
          <w:color w:val="auto"/>
        </w:rPr>
        <w:t>for the first time</w:t>
      </w:r>
      <w:r>
        <w:rPr>
          <w:rFonts w:ascii="Times New Roman" w:cs="Times New Roman" w:eastAsia="Times New Roman" w:hAnsi="Times New Roman"/>
          <w:sz w:val="16"/>
          <w:szCs w:val="16"/>
          <w:color w:val="auto"/>
        </w:rPr>
        <w:t xml:space="preserve"> that it had made c</w:t>
      </w:r>
      <w:r>
        <w:rPr>
          <w:rFonts w:ascii="Times New Roman" w:cs="Times New Roman" w:eastAsia="Times New Roman" w:hAnsi="Times New Roman"/>
          <w:sz w:val="16"/>
          <w:szCs w:val="16"/>
          <w:b w:val="1"/>
          <w:bCs w:val="1"/>
          <w:color w:val="auto"/>
        </w:rPr>
        <w:t>ash contributions totaling US$ 3.65 million to the political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party FUERZA 2011 f</w:t>
      </w:r>
      <w:r>
        <w:rPr>
          <w:rFonts w:ascii="Times New Roman" w:cs="Times New Roman" w:eastAsia="Times New Roman" w:hAnsi="Times New Roman"/>
          <w:sz w:val="16"/>
          <w:szCs w:val="16"/>
          <w:color w:val="auto"/>
        </w:rPr>
        <w:t>or the 2011 presidential campaign.</w:t>
      </w:r>
    </w:p>
    <w:p>
      <w:pPr>
        <w:spacing w:after="0" w:line="138" w:lineRule="exact"/>
        <w:rPr>
          <w:rFonts w:ascii="Times New Roman" w:cs="Times New Roman" w:eastAsia="Times New Roman" w:hAnsi="Times New Roman"/>
          <w:sz w:val="16"/>
          <w:szCs w:val="16"/>
          <w:color w:val="auto"/>
        </w:rPr>
      </w:pPr>
    </w:p>
    <w:p>
      <w:pPr>
        <w:ind w:left="580" w:hanging="292"/>
        <w:spacing w:after="0" w:line="290" w:lineRule="auto"/>
        <w:tabs>
          <w:tab w:leader="none" w:pos="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information regarding </w:t>
      </w:r>
      <w:r>
        <w:rPr>
          <w:rFonts w:ascii="Times New Roman" w:cs="Times New Roman" w:eastAsia="Times New Roman" w:hAnsi="Times New Roman"/>
          <w:sz w:val="16"/>
          <w:szCs w:val="16"/>
          <w:b w:val="1"/>
          <w:bCs w:val="1"/>
          <w:color w:val="auto"/>
        </w:rPr>
        <w:t>these cash contributions</w:t>
      </w:r>
      <w:r>
        <w:rPr>
          <w:rFonts w:ascii="Times New Roman" w:cs="Times New Roman" w:eastAsia="Times New Roman" w:hAnsi="Times New Roman"/>
          <w:sz w:val="16"/>
          <w:szCs w:val="16"/>
          <w:color w:val="auto"/>
        </w:rPr>
        <w:t xml:space="preserve"> was disclosed by the Issuer because its Chairman of the Board was summoned to testify as a witness in a criminal investigation. As the Issuer publicly stated, the Chairman appeared before the Public Prosecutor’s Office on November 18, 2019.</w:t>
      </w:r>
    </w:p>
    <w:p>
      <w:pPr>
        <w:spacing w:after="0" w:line="140" w:lineRule="exact"/>
        <w:rPr>
          <w:rFonts w:ascii="Times New Roman" w:cs="Times New Roman" w:eastAsia="Times New Roman" w:hAnsi="Times New Roman"/>
          <w:sz w:val="16"/>
          <w:szCs w:val="16"/>
          <w:color w:val="auto"/>
        </w:rPr>
      </w:pPr>
    </w:p>
    <w:p>
      <w:pPr>
        <w:jc w:val="both"/>
        <w:ind w:left="580" w:hanging="292"/>
        <w:spacing w:after="0" w:line="270" w:lineRule="auto"/>
        <w:tabs>
          <w:tab w:leader="none" w:pos="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statements made before the Public Prosecutor were confirmed on November 18, 2019, through a communication issued by Mr. Romero, as Chairman of the Board, addressed to the Issuer’s employees. This communication was published on the official Twitter account (@CredicorpGroup). Additionally, the Issuer released a Press Release titled “</w:t>
      </w:r>
      <w:r>
        <w:rPr>
          <w:rFonts w:ascii="Times New Roman" w:cs="Times New Roman" w:eastAsia="Times New Roman" w:hAnsi="Times New Roman"/>
          <w:sz w:val="16"/>
          <w:szCs w:val="16"/>
          <w:i w:val="1"/>
          <w:iCs w:val="1"/>
          <w:color w:val="auto"/>
        </w:rPr>
        <w:t>Credicorp Ltd. Chairman Testifies in Government Investigation</w:t>
      </w:r>
      <w:r>
        <w:rPr>
          <w:rFonts w:ascii="Times New Roman" w:cs="Times New Roman" w:eastAsia="Times New Roman" w:hAnsi="Times New Roman"/>
          <w:sz w:val="16"/>
          <w:szCs w:val="16"/>
          <w:color w:val="auto"/>
        </w:rPr>
        <w:t>” on its website (</w:t>
      </w:r>
      <w:r>
        <w:rPr>
          <w:rFonts w:ascii="Times New Roman" w:cs="Times New Roman" w:eastAsia="Times New Roman" w:hAnsi="Times New Roman"/>
          <w:sz w:val="16"/>
          <w:szCs w:val="16"/>
          <w:u w:val="single" w:color="auto"/>
          <w:color w:val="auto"/>
        </w:rPr>
        <w:t>http://www.credicorpnet.com</w:t>
      </w:r>
      <w:r>
        <w:rPr>
          <w:rFonts w:ascii="Times New Roman" w:cs="Times New Roman" w:eastAsia="Times New Roman" w:hAnsi="Times New Roman"/>
          <w:sz w:val="16"/>
          <w:szCs w:val="16"/>
          <w:color w:val="auto"/>
        </w:rPr>
        <w:t>).</w:t>
      </w:r>
    </w:p>
    <w:p>
      <w:pPr>
        <w:spacing w:after="0" w:line="154" w:lineRule="exact"/>
        <w:rPr>
          <w:rFonts w:ascii="Times New Roman" w:cs="Times New Roman" w:eastAsia="Times New Roman" w:hAnsi="Times New Roman"/>
          <w:sz w:val="16"/>
          <w:szCs w:val="16"/>
          <w:color w:val="auto"/>
        </w:rPr>
      </w:pPr>
    </w:p>
    <w:p>
      <w:pPr>
        <w:ind w:left="580" w:hanging="292"/>
        <w:spacing w:after="0"/>
        <w:tabs>
          <w:tab w:leader="none" w:pos="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Furthermore, Mr. Romero’s statement before the Public Prosecutor, given on November 18, 2019, was also reported by </w:t>
      </w:r>
      <w:r>
        <w:rPr>
          <w:rFonts w:ascii="Times New Roman" w:cs="Times New Roman" w:eastAsia="Times New Roman" w:hAnsi="Times New Roman"/>
          <w:sz w:val="16"/>
          <w:szCs w:val="16"/>
          <w:i w:val="1"/>
          <w:iCs w:val="1"/>
          <w:color w:val="auto"/>
        </w:rPr>
        <w:t>El Comercio</w:t>
      </w:r>
      <w:r>
        <w:rPr>
          <w:rFonts w:ascii="Times New Roman" w:cs="Times New Roman" w:eastAsia="Times New Roman" w:hAnsi="Times New Roman"/>
          <w:sz w:val="16"/>
          <w:szCs w:val="16"/>
          <w:color w:val="auto"/>
        </w:rPr>
        <w:t xml:space="preserve"> in its November 19, 2019</w:t>
      </w:r>
    </w:p>
    <w:p>
      <w:pPr>
        <w:spacing w:after="0" w:line="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edition.</w:t>
            </w:r>
          </w:p>
        </w:tc>
        <w:tc>
          <w:tcPr>
            <w:tcW w:w="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See:</w:t>
            </w:r>
          </w:p>
        </w:tc>
        <w:tc>
          <w:tcPr>
            <w:tcW w:w="8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https://elcomercio.pe/politica/justicia/lea-el-testimonio-completo-de-dionisio-romero-paoletti-sobre-aportes-a-keiko-fujimori-noticia/</w:t>
            </w: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86"/>
              </w:rPr>
              <w:t>and</w:t>
            </w:r>
          </w:p>
        </w:tc>
      </w:tr>
      <w:tr>
        <w:trPr>
          <w:trHeight w:val="20"/>
        </w:trPr>
        <w:tc>
          <w:tcPr>
            <w:tcW w:w="1460" w:type="dxa"/>
            <w:vAlign w:val="bottom"/>
            <w:gridSpan w:val="2"/>
          </w:tcPr>
          <w:p>
            <w:pPr>
              <w:spacing w:after="0" w:line="20" w:lineRule="exact"/>
              <w:rPr>
                <w:sz w:val="1"/>
                <w:szCs w:val="1"/>
                <w:color w:val="auto"/>
              </w:rPr>
            </w:pPr>
          </w:p>
        </w:tc>
        <w:tc>
          <w:tcPr>
            <w:tcW w:w="578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4"/>
        </w:trPr>
        <w:tc>
          <w:tcPr>
            <w:tcW w:w="102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auto"/>
              </w:rPr>
              <w:t>https://es.scribd.com/document/435717148/Declaracion-de-Dionisio-Romero-Paoletti#download&amp;from_embed.</w:t>
            </w:r>
          </w:p>
        </w:tc>
        <w:tc>
          <w:tcPr>
            <w:tcW w:w="400" w:type="dxa"/>
            <w:vAlign w:val="bottom"/>
          </w:tcPr>
          <w:p>
            <w:pPr>
              <w:spacing w:after="0"/>
              <w:rPr>
                <w:sz w:val="15"/>
                <w:szCs w:val="15"/>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7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ind w:left="580" w:hanging="292"/>
        <w:spacing w:after="0" w:line="217" w:lineRule="exact"/>
        <w:tabs>
          <w:tab w:leader="none" w:pos="5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It should be emphasized that the Issuer only disclosed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because of the summons to testify before the Public Prosecutor’s Office—i.e., it was revealed during an interrogation of Mr. Romero—making evident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disclosure or concealment of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from the market.</w:t>
      </w:r>
    </w:p>
    <w:p>
      <w:pPr>
        <w:spacing w:after="0" w:line="150" w:lineRule="exact"/>
        <w:rPr>
          <w:rFonts w:ascii="Times New Roman" w:cs="Times New Roman" w:eastAsia="Times New Roman" w:hAnsi="Times New Roman"/>
          <w:sz w:val="16"/>
          <w:szCs w:val="16"/>
          <w:color w:val="auto"/>
        </w:rPr>
      </w:pPr>
    </w:p>
    <w:p>
      <w:pPr>
        <w:ind w:left="580" w:hanging="292"/>
        <w:spacing w:after="0" w:line="290" w:lineRule="auto"/>
        <w:tabs>
          <w:tab w:leader="none" w:pos="5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by its nature, had the capacity to significantly influence investor decisions regarding the Issuer’s securities and should therefore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been disclosed as a material event, as it could have affected the market for those securities.</w:t>
      </w:r>
    </w:p>
    <w:p>
      <w:pPr>
        <w:spacing w:after="0" w:line="140" w:lineRule="exact"/>
        <w:rPr>
          <w:rFonts w:ascii="Times New Roman" w:cs="Times New Roman" w:eastAsia="Times New Roman" w:hAnsi="Times New Roman"/>
          <w:sz w:val="16"/>
          <w:szCs w:val="16"/>
          <w:color w:val="auto"/>
        </w:rPr>
      </w:pPr>
    </w:p>
    <w:p>
      <w:pPr>
        <w:jc w:val="both"/>
        <w:ind w:left="580" w:hanging="292"/>
        <w:spacing w:after="0" w:line="264" w:lineRule="auto"/>
        <w:tabs>
          <w:tab w:leader="none" w:pos="5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 contributions totaling US$ 3.65 million constituted relevant information that should have been known by the securities market, especially considering the significant amount of the contribution, which was material not only in monetary terms but also based on Mr. Romero’s own statement on Twitter: “</w:t>
      </w:r>
      <w:r>
        <w:rPr>
          <w:rFonts w:ascii="Times New Roman" w:cs="Times New Roman" w:eastAsia="Times New Roman" w:hAnsi="Times New Roman"/>
          <w:sz w:val="16"/>
          <w:szCs w:val="16"/>
          <w:i w:val="1"/>
          <w:iCs w:val="1"/>
          <w:color w:val="auto"/>
        </w:rPr>
        <w:t>Thus, between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late 2010 and 2011, at different times during the two rounds of the electoral process, Credicorp Ltd. made several contributions to Fuerza 2011 totaling US$ 3.65 million. It was undoubtedly </w:t>
      </w:r>
      <w:r>
        <w:rPr>
          <w:rFonts w:ascii="Times New Roman" w:cs="Times New Roman" w:eastAsia="Times New Roman" w:hAnsi="Times New Roman"/>
          <w:sz w:val="16"/>
          <w:szCs w:val="16"/>
          <w:i w:val="1"/>
          <w:iCs w:val="1"/>
          <w:u w:val="single" w:color="auto"/>
          <w:color w:val="auto"/>
        </w:rPr>
        <w:t>an exceptional amount</w:t>
      </w:r>
      <w:r>
        <w:rPr>
          <w:rFonts w:ascii="Times New Roman" w:cs="Times New Roman" w:eastAsia="Times New Roman" w:hAnsi="Times New Roman"/>
          <w:sz w:val="16"/>
          <w:szCs w:val="16"/>
          <w:i w:val="1"/>
          <w:iCs w:val="1"/>
          <w:color w:val="auto"/>
        </w:rPr>
        <w:t xml:space="preserve"> given the equally exceptional context of the chavista threat.</w:t>
      </w:r>
      <w:r>
        <w:rPr>
          <w:rFonts w:ascii="Times New Roman" w:cs="Times New Roman" w:eastAsia="Times New Roman" w:hAnsi="Times New Roman"/>
          <w:sz w:val="16"/>
          <w:szCs w:val="16"/>
          <w:color w:val="auto"/>
        </w:rPr>
        <w:t>” (Emphasis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146290"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88" w:right="339" w:bottom="1440" w:gutter="0" w:footer="0" w:header="0"/>
        </w:sectPr>
      </w:pPr>
    </w:p>
    <w:bookmarkStart w:id="98" w:name="page99"/>
    <w:bookmarkEnd w:id="98"/>
    <w:p>
      <w:pPr>
        <w:ind w:left="580" w:right="20" w:hanging="292"/>
        <w:spacing w:after="0" w:line="265" w:lineRule="auto"/>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failure to disclose was evidenced when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was revealed to the market following Mr. Romero’s statement in the criminal investigation.</w:t>
      </w:r>
    </w:p>
    <w:p>
      <w:pPr>
        <w:spacing w:after="0" w:line="379" w:lineRule="exact"/>
        <w:rPr>
          <w:rFonts w:ascii="Times New Roman" w:cs="Times New Roman" w:eastAsia="Times New Roman" w:hAnsi="Times New Roman"/>
          <w:sz w:val="16"/>
          <w:szCs w:val="16"/>
          <w:color w:val="auto"/>
        </w:rPr>
      </w:pPr>
    </w:p>
    <w:p>
      <w:pPr>
        <w:jc w:val="both"/>
        <w:ind w:left="580" w:right="20" w:hanging="292"/>
        <w:spacing w:after="0" w:line="271" w:lineRule="auto"/>
        <w:tabs>
          <w:tab w:leader="none" w:pos="5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facts demonstrate a </w:t>
      </w:r>
      <w:r>
        <w:rPr>
          <w:rFonts w:ascii="Times New Roman" w:cs="Times New Roman" w:eastAsia="Times New Roman" w:hAnsi="Times New Roman"/>
          <w:sz w:val="16"/>
          <w:szCs w:val="16"/>
          <w:b w:val="1"/>
          <w:bCs w:val="1"/>
          <w:color w:val="auto"/>
        </w:rPr>
        <w:t>clear intention not to disclose and to conceal THE 2011 INFORMATION</w:t>
      </w:r>
      <w:r>
        <w:rPr>
          <w:rFonts w:ascii="Times New Roman" w:cs="Times New Roman" w:eastAsia="Times New Roman" w:hAnsi="Times New Roman"/>
          <w:sz w:val="16"/>
          <w:szCs w:val="16"/>
          <w:color w:val="auto"/>
        </w:rPr>
        <w:t>, and that such conduct only ceased with the disclosure of the material event on November 21, 2019, following an SMV requirement. Consequently, this constitutes a permanent infraction related to the concealment of relevant information, which affected the transparency of the securities market—a legally protected interest.</w:t>
      </w:r>
    </w:p>
    <w:p>
      <w:pPr>
        <w:spacing w:after="0" w:line="15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Additionally, both the IGCC and this Deputy Superintendency consider that another element evidencing concealment is the fact that the cash contributions to FUERZA 2011 consisted of seventeen (17) transfers involving BCP and Atlantic Security Bank, ordered by the Issuer. As shown in the table (see page 27), these transfers took place between November 2, 2010 and May 20, 2011, in amounts ranging from US$ 100,000 to US$ 500,000, totaling US$ 3,650,000. This method of splitting the contribution into smaller amounts and delivering it in cash clearly demonstrates an intention to conceal the contribution.</w:t>
      </w:r>
    </w:p>
    <w:p>
      <w:pPr>
        <w:spacing w:after="0" w:line="16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Given this flow of transfers culminating in cash deliveries, the conduct attributed to the Issuer corresponds to the very serious infraction typified in subsection 1.6, numeral 1 of Annex I of the Sanctions Regulation.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Regarding the remaining arguments presented by the Issuer, the prior analysis and conclusions of this Resolution are reiterated.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As for the argument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is not material, this has already been analyzed and shown to be unfounded.</w:t>
      </w:r>
    </w:p>
    <w:p>
      <w:pPr>
        <w:spacing w:after="0" w:line="2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Regarding the assertion that the expense represented by the 2011 contributions was duly recorded in the Issuer’s accounting books, it must be clarified—based on the review of the accounting entries submitted by the Issuer—that although the contribution is recorded in generic accounts, there is no annotation referencing these contributions that would have been visible in the audited 2010 and 2011 financial statements.</w:t>
      </w:r>
    </w:p>
    <w:p>
      <w:pPr>
        <w:spacing w:after="0" w:line="120" w:lineRule="exact"/>
        <w:rPr>
          <w:sz w:val="20"/>
          <w:szCs w:val="20"/>
          <w:color w:val="auto"/>
        </w:rPr>
      </w:pPr>
    </w:p>
    <w:p>
      <w:pPr>
        <w:jc w:val="both"/>
        <w:ind w:right="20"/>
        <w:spacing w:after="0" w:line="221" w:lineRule="exact"/>
        <w:rPr>
          <w:sz w:val="20"/>
          <w:szCs w:val="20"/>
          <w:color w:val="auto"/>
        </w:rPr>
      </w:pPr>
      <w:r>
        <w:rPr>
          <w:rFonts w:ascii="Times New Roman" w:cs="Times New Roman" w:eastAsia="Times New Roman" w:hAnsi="Times New Roman"/>
          <w:sz w:val="16"/>
          <w:szCs w:val="16"/>
          <w:color w:val="auto"/>
        </w:rPr>
        <w:t>It should be noted that, through Resolution No. 043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2010 of the Accounting Standards Council, the amended version of the General Business Accounting Plan was approved and entered into force on January 1, 2011. This plan includes, among its accounts, Account 659 for the registration of “other expenses.” It also allows that, in the case of other expenses related to donations, such amounts be recorded in a specific sub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account 6591.</w:t>
      </w:r>
    </w:p>
    <w:p>
      <w:pPr>
        <w:spacing w:after="0" w:line="15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Accordingly, as previously analyzed, the Issuer did not make any express disclosure regarding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in its financial statements, which is easily verifiable upon reviewing them.</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Regarding the Issuer’s assertion that the obligation to disclose private political campaign contributions rests with political parties and that ONPE is the entity responsible for verifying and controlling such reporting—and therefore,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should have been the one to disclose the contributions—the following must be clarified: This argument is not relevant to justify the Issuer’s concealment of the cash contributions made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In this proceeding, what is being evaluated is the Issuer’s own compliance with securities market regulations—not the compliance of the political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146290"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9" w:name="page100"/>
    <w:bookmarkEnd w:id="99"/>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As for the Issuer’s claim (in the hypothetical and denied scenario) that the alleged concealment would merely constitute intentional nondisclosure, and that intent does not change the nature of the infraction, it must be reiterated—as already noted—that the conduct attributed to the Issuer is the concealment of information relevant to the market. </w:t>
      </w:r>
      <w:r>
        <w:rPr>
          <w:rFonts w:ascii="Times New Roman" w:cs="Times New Roman" w:eastAsia="Times New Roman" w:hAnsi="Times New Roman"/>
          <w:sz w:val="16"/>
          <w:szCs w:val="16"/>
          <w:u w:val="single" w:color="auto"/>
          <w:color w:val="auto"/>
        </w:rPr>
        <w:t>Intentionality is part of the infraction type</w:t>
      </w:r>
      <w:r>
        <w:rPr>
          <w:rFonts w:ascii="Times New Roman" w:cs="Times New Roman" w:eastAsia="Times New Roman" w:hAnsi="Times New Roman"/>
          <w:sz w:val="16"/>
          <w:szCs w:val="16"/>
          <w:color w:val="auto"/>
        </w:rPr>
        <w:t xml:space="preserve"> (the subjective element), and therefore it is unfounded to argue that intent does not alter the infraction consisting of failing to disclose information of significant relevance.</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 xml:space="preserve">Finally, regarding the statements made on August 22, 2015, by Mr. Walter Bayly Llona, who publicly stated to the press that the Credicorp Group had made political contributions to the 2011 campaign, it must be clarified that from the text of such statements, there is no indication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was disclosed. His statements include only the following: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 the previous election, did BCP support any candidate?</w:t>
      </w:r>
      <w:r>
        <w:rPr>
          <w:rFonts w:ascii="Times New Roman" w:cs="Times New Roman" w:eastAsia="Times New Roman" w:hAnsi="Times New Roman"/>
          <w:sz w:val="16"/>
          <w:szCs w:val="16"/>
          <w:color w:val="auto"/>
        </w:rPr>
        <w:t xml:space="preserve"> Yes.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Which one? </w:t>
      </w:r>
      <w:r>
        <w:rPr>
          <w:rFonts w:ascii="Times New Roman" w:cs="Times New Roman" w:eastAsia="Times New Roman" w:hAnsi="Times New Roman"/>
          <w:sz w:val="16"/>
          <w:szCs w:val="16"/>
          <w:u w:val="single" w:color="auto"/>
          <w:color w:val="auto"/>
        </w:rPr>
        <w:t>I prefer not to comment</w:t>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Therefore, when the Issuer claims that Mr. Bayly had already publicly disclosed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such claim is not consistent with the facts, as is evident from Mr. Bayly’s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7.4. REGARDING THE ALLEGED ABSENCE OF HARM TO INVESTORS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Regarding this defense, it must be kept in mind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was concealed from the market for more than eight (8) years, and such concealment ceased only when the information was made public under circumstances that are themselves publicly known and previously described. Therefore, considering that this information was hidden for several years, it is now impossible to reliably measure the harm resulting from such conduct.</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Furthermore, regarding the Issuer’s assertion that from December 31, 2010 to January 13, 2020 its investors achieved an accumulated return of 117.8%, higher than that of comparable instruments, the following must be noted: The statistical results presented by the Issuer do not incorporate the information that remained concealed for more than eight (8) years. Consequently, this relevant variable is not reflected in the Issuer’s reported performance or statistical data.</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Therefore, the Issuer’s defense that “no harm occurred” is not accurate, since the Issuer has not demonstrated such a claim, and it is impossible to calculate the harm caused to the market. As is known, there is no generally accepted mathematical model capable of reliably estimating the effect (a valuation impact) on a security’s price derived from information that was deliberately concealed.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 COMPLIANCE WITH THE ISSUER’S POLICIES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7.5.1. REGARDING THE 2009 CODE OF ETHICS</w:t>
      </w:r>
    </w:p>
    <w:p>
      <w:pPr>
        <w:spacing w:after="0" w:line="206" w:lineRule="exact"/>
        <w:rPr>
          <w:sz w:val="20"/>
          <w:szCs w:val="20"/>
          <w:color w:val="auto"/>
        </w:rPr>
      </w:pPr>
    </w:p>
    <w:p>
      <w:pPr>
        <w:jc w:val="both"/>
        <w:spacing w:after="0" w:line="200" w:lineRule="exact"/>
        <w:rPr>
          <w:sz w:val="20"/>
          <w:szCs w:val="20"/>
          <w:color w:val="auto"/>
        </w:rPr>
      </w:pPr>
      <w:r>
        <w:rPr>
          <w:rFonts w:ascii="Times New Roman" w:cs="Times New Roman" w:eastAsia="Times New Roman" w:hAnsi="Times New Roman"/>
          <w:sz w:val="16"/>
          <w:szCs w:val="16"/>
          <w:color w:val="auto"/>
        </w:rPr>
        <w:t>On this matter, it is necessary to reiterate what was stated in the Charges Letter: regardless of the conduct identified as infractions, it was verified that the Issuer has corporate policies publicly disclosed to the market, expressing self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regulatory principles adopted by the corporation. However, based on the documentation in the file, it is evident that some of these policies existed only on paper and were not applied to the facts related to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7146290"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ind w:left="3"/>
        <w:spacing w:after="0"/>
        <w:rPr>
          <w:sz w:val="20"/>
          <w:szCs w:val="20"/>
          <w:color w:val="auto"/>
        </w:rPr>
      </w:pPr>
      <w:r>
        <w:rPr>
          <w:rFonts w:ascii="Times New Roman" w:cs="Times New Roman" w:eastAsia="Times New Roman" w:hAnsi="Times New Roman"/>
          <w:sz w:val="16"/>
          <w:szCs w:val="16"/>
          <w:color w:val="auto"/>
        </w:rPr>
        <w:t>Given that the Issuer explained its 2009, 2011, and 2014 Codes of Ethics, it is appropriate to note the following:</w:t>
      </w:r>
    </w:p>
    <w:p>
      <w:pPr>
        <w:spacing w:after="0" w:line="202" w:lineRule="exact"/>
        <w:rPr>
          <w:sz w:val="20"/>
          <w:szCs w:val="20"/>
          <w:color w:val="auto"/>
        </w:rPr>
      </w:pPr>
    </w:p>
    <w:p>
      <w:pPr>
        <w:jc w:val="both"/>
        <w:ind w:left="3"/>
        <w:spacing w:after="0" w:line="265" w:lineRule="auto"/>
        <w:rPr>
          <w:sz w:val="20"/>
          <w:szCs w:val="20"/>
          <w:color w:val="auto"/>
        </w:rPr>
      </w:pPr>
      <w:r>
        <w:rPr>
          <w:rFonts w:ascii="Times New Roman" w:cs="Times New Roman" w:eastAsia="Times New Roman" w:hAnsi="Times New Roman"/>
          <w:sz w:val="16"/>
          <w:szCs w:val="16"/>
          <w:color w:val="auto"/>
        </w:rPr>
        <w:t xml:space="preserve">The first point that draws attention in the 2009 Code—entitled </w:t>
      </w:r>
      <w:r>
        <w:rPr>
          <w:rFonts w:ascii="Times New Roman" w:cs="Times New Roman" w:eastAsia="Times New Roman" w:hAnsi="Times New Roman"/>
          <w:sz w:val="16"/>
          <w:szCs w:val="16"/>
          <w:i w:val="1"/>
          <w:iCs w:val="1"/>
          <w:color w:val="auto"/>
        </w:rPr>
        <w:t>CREDICORP CORPORATE POLICIES – Policies – Code of Ethics</w:t>
      </w:r>
      <w:r>
        <w:rPr>
          <w:rFonts w:ascii="Times New Roman" w:cs="Times New Roman" w:eastAsia="Times New Roman" w:hAnsi="Times New Roman"/>
          <w:sz w:val="16"/>
          <w:szCs w:val="16"/>
          <w:color w:val="auto"/>
        </w:rPr>
        <w:t xml:space="preserve">, effective July 1, 2009, and submitted by the Issuer as Annex 19.1—is that it included a rule under section 4.5 IMPROPER PAYMENTS, within section 4 CONFLICTS OF INTEREST, which stated: </w:t>
      </w:r>
      <w:r>
        <w:rPr>
          <w:rFonts w:ascii="Times New Roman" w:cs="Times New Roman" w:eastAsia="Times New Roman" w:hAnsi="Times New Roman"/>
          <w:sz w:val="16"/>
          <w:szCs w:val="16"/>
          <w:i w:val="1"/>
          <w:iCs w:val="1"/>
          <w:color w:val="auto"/>
        </w:rPr>
        <w:t>“(…) It 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strictly prohibited to offer or pay any such compensation or reward to national or foreign public officials, political parties, or candidates for political office on behalf of or in representation of the Corporation. (…)</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left="3"/>
        <w:spacing w:after="0" w:line="270" w:lineRule="auto"/>
        <w:rPr>
          <w:sz w:val="20"/>
          <w:szCs w:val="20"/>
          <w:color w:val="auto"/>
        </w:rPr>
      </w:pPr>
      <w:r>
        <w:rPr>
          <w:rFonts w:ascii="Times New Roman" w:cs="Times New Roman" w:eastAsia="Times New Roman" w:hAnsi="Times New Roman"/>
          <w:sz w:val="16"/>
          <w:szCs w:val="16"/>
          <w:color w:val="auto"/>
        </w:rPr>
        <w:t xml:space="preserve">In other words, the Issuer’s 2009 Code of Ethics prohibited providing any type of compensation to political parties or political candidates on behalf of the Issuer. Given that the contributions referred to in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were disbursed between November 2010 and May 2011, it is evident that such contributions were executed in violation of the above prohibition. Consequently, the Issuer violated its own 2009 Code of Ethics.</w:t>
      </w:r>
    </w:p>
    <w:p>
      <w:pPr>
        <w:spacing w:after="0" w:line="154" w:lineRule="exact"/>
        <w:rPr>
          <w:sz w:val="20"/>
          <w:szCs w:val="20"/>
          <w:color w:val="auto"/>
        </w:rPr>
      </w:pPr>
    </w:p>
    <w:p>
      <w:pPr>
        <w:jc w:val="both"/>
        <w:ind w:left="3"/>
        <w:spacing w:after="0" w:line="271" w:lineRule="auto"/>
        <w:rPr>
          <w:sz w:val="20"/>
          <w:szCs w:val="20"/>
          <w:color w:val="auto"/>
        </w:rPr>
      </w:pPr>
      <w:r>
        <w:rPr>
          <w:rFonts w:ascii="Times New Roman" w:cs="Times New Roman" w:eastAsia="Times New Roman" w:hAnsi="Times New Roman"/>
          <w:sz w:val="16"/>
          <w:szCs w:val="16"/>
          <w:color w:val="auto"/>
        </w:rPr>
        <w:t>The Issuer argues that “</w:t>
      </w:r>
      <w:r>
        <w:rPr>
          <w:rFonts w:ascii="Times New Roman" w:cs="Times New Roman" w:eastAsia="Times New Roman" w:hAnsi="Times New Roman"/>
          <w:sz w:val="16"/>
          <w:szCs w:val="16"/>
          <w:i w:val="1"/>
          <w:iCs w:val="1"/>
          <w:color w:val="auto"/>
        </w:rPr>
        <w:t>under the electoral legislation in force at the time the 2011 Contributions were made, private companies such as Credicorp were allowed to make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contributions to political organizations within the framework of the constitutional right to participate in the political life of the Nation</w:t>
      </w:r>
      <w:r>
        <w:rPr>
          <w:rFonts w:ascii="Times New Roman" w:cs="Times New Roman" w:eastAsia="Times New Roman" w:hAnsi="Times New Roman"/>
          <w:sz w:val="16"/>
          <w:szCs w:val="16"/>
          <w:color w:val="auto"/>
        </w:rPr>
        <w:t>.” In response, it must be noted that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time the contributions were made, Law No. 28094, the Political Organizations Law, was in force, and Article 30 (in effect at the time) provided:</w:t>
      </w:r>
    </w:p>
    <w:p>
      <w:pPr>
        <w:spacing w:after="0" w:line="15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ARTICLE 30 – PRIVATE FUNDING</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Political parties and other political organizations may receive resources from private financing, such as:</w:t>
      </w:r>
    </w:p>
    <w:p>
      <w:pPr>
        <w:spacing w:after="0" w:line="204" w:lineRule="exact"/>
        <w:rPr>
          <w:sz w:val="20"/>
          <w:szCs w:val="20"/>
          <w:color w:val="auto"/>
        </w:rPr>
      </w:pPr>
    </w:p>
    <w:p>
      <w:pPr>
        <w:ind w:left="283" w:hanging="283"/>
        <w:spacing w:after="0"/>
        <w:tabs>
          <w:tab w:leader="none" w:pos="283" w:val="left"/>
        </w:tabs>
        <w:numPr>
          <w:ilvl w:val="0"/>
          <w:numId w:val="1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Membership dues and monetary contributions from affiliates;</w:t>
      </w:r>
    </w:p>
    <w:p>
      <w:pPr>
        <w:spacing w:after="0" w:line="28" w:lineRule="exact"/>
        <w:rPr>
          <w:rFonts w:ascii="Times New Roman" w:cs="Times New Roman" w:eastAsia="Times New Roman" w:hAnsi="Times New Roman"/>
          <w:sz w:val="16"/>
          <w:szCs w:val="16"/>
          <w:i w:val="1"/>
          <w:iCs w:val="1"/>
          <w:color w:val="auto"/>
        </w:rPr>
      </w:pPr>
    </w:p>
    <w:p>
      <w:pPr>
        <w:ind w:left="283" w:hanging="283"/>
        <w:spacing w:after="0"/>
        <w:tabs>
          <w:tab w:leader="none" w:pos="283" w:val="left"/>
        </w:tabs>
        <w:numPr>
          <w:ilvl w:val="0"/>
          <w:numId w:val="1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Proceeds from party activities and returns from their own assets. In the case of unidentified contributors, amounts may not exceed thirty UIT per year;</w:t>
      </w:r>
    </w:p>
    <w:p>
      <w:pPr>
        <w:spacing w:after="0" w:line="10" w:lineRule="exact"/>
        <w:rPr>
          <w:rFonts w:ascii="Times New Roman" w:cs="Times New Roman" w:eastAsia="Times New Roman" w:hAnsi="Times New Roman"/>
          <w:sz w:val="16"/>
          <w:szCs w:val="16"/>
          <w:i w:val="1"/>
          <w:iCs w:val="1"/>
          <w:color w:val="auto"/>
        </w:rPr>
      </w:pPr>
    </w:p>
    <w:p>
      <w:pPr>
        <w:ind w:left="283" w:hanging="283"/>
        <w:spacing w:after="0"/>
        <w:tabs>
          <w:tab w:leader="none" w:pos="283" w:val="left"/>
        </w:tabs>
        <w:numPr>
          <w:ilvl w:val="0"/>
          <w:numId w:val="1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Income from other contributions under the terms of this law;</w:t>
      </w:r>
    </w:p>
    <w:p>
      <w:pPr>
        <w:spacing w:after="0" w:line="10" w:lineRule="exact"/>
        <w:rPr>
          <w:rFonts w:ascii="Times New Roman" w:cs="Times New Roman" w:eastAsia="Times New Roman" w:hAnsi="Times New Roman"/>
          <w:sz w:val="16"/>
          <w:szCs w:val="16"/>
          <w:i w:val="1"/>
          <w:iCs w:val="1"/>
          <w:color w:val="auto"/>
        </w:rPr>
      </w:pPr>
    </w:p>
    <w:p>
      <w:pPr>
        <w:ind w:left="283" w:hanging="283"/>
        <w:spacing w:after="0"/>
        <w:tabs>
          <w:tab w:leader="none" w:pos="283" w:val="left"/>
        </w:tabs>
        <w:numPr>
          <w:ilvl w:val="0"/>
          <w:numId w:val="1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Loans;</w:t>
      </w:r>
    </w:p>
    <w:p>
      <w:pPr>
        <w:spacing w:after="0" w:line="10" w:lineRule="exact"/>
        <w:rPr>
          <w:rFonts w:ascii="Times New Roman" w:cs="Times New Roman" w:eastAsia="Times New Roman" w:hAnsi="Times New Roman"/>
          <w:sz w:val="16"/>
          <w:szCs w:val="16"/>
          <w:i w:val="1"/>
          <w:iCs w:val="1"/>
          <w:color w:val="auto"/>
        </w:rPr>
      </w:pPr>
    </w:p>
    <w:p>
      <w:pPr>
        <w:ind w:left="283" w:hanging="283"/>
        <w:spacing w:after="0" w:line="184" w:lineRule="exact"/>
        <w:tabs>
          <w:tab w:leader="none" w:pos="283" w:val="left"/>
        </w:tabs>
        <w:numPr>
          <w:ilvl w:val="0"/>
          <w:numId w:val="1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Bequests and, in general, any monetary or in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kind contribution.</w:t>
      </w:r>
    </w:p>
    <w:p>
      <w:pPr>
        <w:spacing w:after="0" w:line="18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Contributions from a single individual or legal person may not exceed sixty (60) UIT per year.</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All such income must be recorded in the accounting books of the political party</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ind w:left="3"/>
        <w:spacing w:after="0" w:line="287" w:lineRule="auto"/>
        <w:rPr>
          <w:sz w:val="20"/>
          <w:szCs w:val="20"/>
          <w:color w:val="auto"/>
        </w:rPr>
      </w:pPr>
      <w:r>
        <w:rPr>
          <w:rFonts w:ascii="Times New Roman" w:cs="Times New Roman" w:eastAsia="Times New Roman" w:hAnsi="Times New Roman"/>
          <w:sz w:val="16"/>
          <w:szCs w:val="16"/>
          <w:color w:val="auto"/>
        </w:rPr>
        <w:t>Under this provision, and given the total amount contributed to FUERZA 2011—US$ 3.65 million—it is clear that this amount exceeded the legal limit of 60 UIT, which at the time represented S/ 216,000. Therefore, the Issuer did not comply with the contribution limits established under electoral law.</w:t>
      </w:r>
    </w:p>
    <w:p>
      <w:pPr>
        <w:spacing w:after="0" w:line="143" w:lineRule="exact"/>
        <w:rPr>
          <w:sz w:val="20"/>
          <w:szCs w:val="20"/>
          <w:color w:val="auto"/>
        </w:rPr>
      </w:pPr>
    </w:p>
    <w:p>
      <w:pPr>
        <w:ind w:left="3"/>
        <w:spacing w:after="0" w:line="287" w:lineRule="auto"/>
        <w:rPr>
          <w:sz w:val="20"/>
          <w:szCs w:val="20"/>
          <w:color w:val="auto"/>
        </w:rPr>
      </w:pPr>
      <w:r>
        <w:rPr>
          <w:rFonts w:ascii="Times New Roman" w:cs="Times New Roman" w:eastAsia="Times New Roman" w:hAnsi="Times New Roman"/>
          <w:sz w:val="16"/>
          <w:szCs w:val="16"/>
          <w:color w:val="auto"/>
        </w:rPr>
        <w:t>It must be reiterated that this breach has no direct impact on the present administrative process, since electoral matters fall outside the SMV’s jurisdiction and this is not a securities market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146290"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23" w:right="339" w:bottom="1440" w:gutter="0" w:footer="0" w:header="0"/>
        </w:sectPr>
      </w:pPr>
    </w:p>
    <w:bookmarkStart w:id="101" w:name="page102"/>
    <w:bookmarkEnd w:id="101"/>
    <w:p>
      <w:pPr>
        <w:ind w:left="3"/>
        <w:spacing w:after="0"/>
        <w:rPr>
          <w:sz w:val="20"/>
          <w:szCs w:val="20"/>
          <w:color w:val="auto"/>
        </w:rPr>
      </w:pPr>
      <w:r>
        <w:rPr>
          <w:rFonts w:ascii="Times New Roman" w:cs="Times New Roman" w:eastAsia="Times New Roman" w:hAnsi="Times New Roman"/>
          <w:sz w:val="16"/>
          <w:szCs w:val="16"/>
          <w:b w:val="1"/>
          <w:bCs w:val="1"/>
          <w:color w:val="auto"/>
        </w:rPr>
        <w:t>7.5.2. ANALYSIS OF THE 2011 CODE OF ETHICS</w:t>
      </w:r>
    </w:p>
    <w:p>
      <w:pPr>
        <w:spacing w:after="0" w:line="204" w:lineRule="exact"/>
        <w:rPr>
          <w:sz w:val="20"/>
          <w:szCs w:val="20"/>
          <w:color w:val="auto"/>
        </w:rPr>
      </w:pPr>
    </w:p>
    <w:p>
      <w:pPr>
        <w:ind w:left="3"/>
        <w:spacing w:after="0" w:line="290" w:lineRule="auto"/>
        <w:rPr>
          <w:sz w:val="20"/>
          <w:szCs w:val="20"/>
          <w:color w:val="auto"/>
        </w:rPr>
      </w:pPr>
      <w:r>
        <w:rPr>
          <w:rFonts w:ascii="Times New Roman" w:cs="Times New Roman" w:eastAsia="Times New Roman" w:hAnsi="Times New Roman"/>
          <w:sz w:val="16"/>
          <w:szCs w:val="16"/>
          <w:color w:val="auto"/>
        </w:rPr>
        <w:t>The Issuer argues that “</w:t>
      </w:r>
      <w:r>
        <w:rPr>
          <w:rFonts w:ascii="Times New Roman" w:cs="Times New Roman" w:eastAsia="Times New Roman" w:hAnsi="Times New Roman"/>
          <w:sz w:val="16"/>
          <w:szCs w:val="16"/>
          <w:i w:val="1"/>
          <w:iCs w:val="1"/>
          <w:color w:val="auto"/>
        </w:rPr>
        <w:t>the 2011 Code does not contain a prohibition regarding the possibility of making contributions to political campaigns</w:t>
      </w:r>
      <w:r>
        <w:rPr>
          <w:rFonts w:ascii="Times New Roman" w:cs="Times New Roman" w:eastAsia="Times New Roman" w:hAnsi="Times New Roman"/>
          <w:sz w:val="16"/>
          <w:szCs w:val="16"/>
          <w:color w:val="auto"/>
        </w:rPr>
        <w:t>,” and therefore the conduct does not contradict the Code.</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Regarding the 2011 Code of Ethics, the following should be noted:</w:t>
      </w:r>
    </w:p>
    <w:p>
      <w:pPr>
        <w:spacing w:after="0" w:line="202" w:lineRule="exact"/>
        <w:rPr>
          <w:sz w:val="20"/>
          <w:szCs w:val="20"/>
          <w:color w:val="auto"/>
        </w:rPr>
      </w:pPr>
    </w:p>
    <w:p>
      <w:pPr>
        <w:ind w:left="583" w:hanging="292"/>
        <w:spacing w:after="0" w:line="290" w:lineRule="auto"/>
        <w:tabs>
          <w:tab w:leader="none" w:pos="583"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First: </w:t>
      </w:r>
      <w:r>
        <w:rPr>
          <w:rFonts w:ascii="Times New Roman" w:cs="Times New Roman" w:eastAsia="Times New Roman" w:hAnsi="Times New Roman"/>
          <w:sz w:val="16"/>
          <w:szCs w:val="16"/>
          <w:color w:val="auto"/>
        </w:rPr>
        <w:t>This 2011 Code was not submitted as documentary evidence in the Issuer’s defenses. Only the 2014 Code (Annex 19.2) was submitted. Therefore, it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unknown when the 2011 Code was approved or whether it was in force when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events occurred.</w:t>
      </w:r>
    </w:p>
    <w:p>
      <w:pPr>
        <w:spacing w:after="0" w:line="138" w:lineRule="exact"/>
        <w:rPr>
          <w:rFonts w:ascii="Times New Roman" w:cs="Times New Roman" w:eastAsia="Times New Roman" w:hAnsi="Times New Roman"/>
          <w:sz w:val="16"/>
          <w:szCs w:val="16"/>
          <w:color w:val="auto"/>
        </w:rPr>
      </w:pPr>
    </w:p>
    <w:p>
      <w:pPr>
        <w:ind w:left="583" w:hanging="292"/>
        <w:spacing w:after="0" w:line="290" w:lineRule="auto"/>
        <w:tabs>
          <w:tab w:leader="none" w:pos="583"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Second: </w:t>
      </w:r>
      <w:r>
        <w:rPr>
          <w:rFonts w:ascii="Times New Roman" w:cs="Times New Roman" w:eastAsia="Times New Roman" w:hAnsi="Times New Roman"/>
          <w:sz w:val="16"/>
          <w:szCs w:val="16"/>
          <w:color w:val="auto"/>
        </w:rPr>
        <w:t>If the 2011 Code did exist—even though it was not submitted as evidence—the Issuer’s explanation of its contents allows the analysis to comment on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cited text.</w:t>
      </w:r>
    </w:p>
    <w:p>
      <w:pPr>
        <w:spacing w:after="0" w:line="138" w:lineRule="exact"/>
        <w:rPr>
          <w:rFonts w:ascii="Times New Roman" w:cs="Times New Roman" w:eastAsia="Times New Roman" w:hAnsi="Times New Roman"/>
          <w:sz w:val="16"/>
          <w:szCs w:val="16"/>
          <w:color w:val="auto"/>
        </w:rPr>
      </w:pPr>
    </w:p>
    <w:p>
      <w:pPr>
        <w:ind w:left="583" w:hanging="292"/>
        <w:spacing w:after="0"/>
        <w:tabs>
          <w:tab w:leader="none" w:pos="583"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Third: </w:t>
      </w:r>
      <w:r>
        <w:rPr>
          <w:rFonts w:ascii="Times New Roman" w:cs="Times New Roman" w:eastAsia="Times New Roman" w:hAnsi="Times New Roman"/>
          <w:sz w:val="16"/>
          <w:szCs w:val="16"/>
          <w:color w:val="auto"/>
        </w:rPr>
        <w:t>The Issuer’s assertion that “</w:t>
      </w:r>
      <w:r>
        <w:rPr>
          <w:rFonts w:ascii="Times New Roman" w:cs="Times New Roman" w:eastAsia="Times New Roman" w:hAnsi="Times New Roman"/>
          <w:sz w:val="16"/>
          <w:szCs w:val="16"/>
          <w:i w:val="1"/>
          <w:iCs w:val="1"/>
          <w:color w:val="auto"/>
        </w:rPr>
        <w:t>the Code does not prohibit contributions to political campaigns</w:t>
      </w:r>
      <w:r>
        <w:rPr>
          <w:rFonts w:ascii="Times New Roman" w:cs="Times New Roman" w:eastAsia="Times New Roman" w:hAnsi="Times New Roman"/>
          <w:sz w:val="16"/>
          <w:szCs w:val="16"/>
          <w:color w:val="auto"/>
        </w:rPr>
        <w:t>” must be assessed together with numeral 16 of Section 1 of the</w:t>
      </w:r>
    </w:p>
    <w:p>
      <w:pPr>
        <w:spacing w:after="0" w:line="28" w:lineRule="exact"/>
        <w:rPr>
          <w:rFonts w:ascii="Times New Roman" w:cs="Times New Roman" w:eastAsia="Times New Roman" w:hAnsi="Times New Roman"/>
          <w:sz w:val="16"/>
          <w:szCs w:val="16"/>
          <w:color w:val="auto"/>
        </w:rPr>
      </w:pPr>
    </w:p>
    <w:p>
      <w:pPr>
        <w:jc w:val="both"/>
        <w:ind w:left="583"/>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2011 Code of Ethics, which states: “</w:t>
      </w:r>
      <w:r>
        <w:rPr>
          <w:rFonts w:ascii="Times New Roman" w:cs="Times New Roman" w:eastAsia="Times New Roman" w:hAnsi="Times New Roman"/>
          <w:sz w:val="16"/>
          <w:szCs w:val="16"/>
          <w:i w:val="1"/>
          <w:iCs w:val="1"/>
          <w:color w:val="auto"/>
        </w:rPr>
        <w:t>Every employee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member of the Board of Directors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is a representative of our organization; therefore, they are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committed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acting within the limits established by laws, regulations, bylaws, codes, policies</w:t>
      </w:r>
      <w:r>
        <w:rPr>
          <w:rFonts w:ascii="Times New Roman" w:cs="Times New Roman" w:eastAsia="Times New Roman" w:hAnsi="Times New Roman"/>
          <w:sz w:val="16"/>
          <w:szCs w:val="16"/>
          <w:i w:val="1"/>
          <w:iCs w:val="1"/>
          <w:color w:val="auto"/>
        </w:rPr>
        <w:t xml:space="preserve"> and procedures of our corporation, and to reflect an image of respect toward others both inside and outside the organization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Therefore, it is not true that the conduct referred to in the Charges Letter is consistent with the Code.”</w:t>
      </w:r>
    </w:p>
    <w:p>
      <w:pPr>
        <w:spacing w:after="0" w:line="161" w:lineRule="exact"/>
        <w:rPr>
          <w:sz w:val="20"/>
          <w:szCs w:val="20"/>
          <w:color w:val="auto"/>
        </w:rPr>
      </w:pPr>
    </w:p>
    <w:p>
      <w:pPr>
        <w:jc w:val="both"/>
        <w:ind w:left="3"/>
        <w:spacing w:after="0" w:line="290" w:lineRule="auto"/>
        <w:rPr>
          <w:sz w:val="20"/>
          <w:szCs w:val="20"/>
          <w:color w:val="auto"/>
        </w:rPr>
      </w:pPr>
      <w:r>
        <w:rPr>
          <w:rFonts w:ascii="Times New Roman" w:cs="Times New Roman" w:eastAsia="Times New Roman" w:hAnsi="Times New Roman"/>
          <w:sz w:val="16"/>
          <w:szCs w:val="16"/>
          <w:color w:val="auto"/>
        </w:rPr>
        <w:t xml:space="preserve">This extract of the 2011 Code sets broad standards designed to ensure that the Issuer’s employees and </w:t>
      </w:r>
      <w:r>
        <w:rPr>
          <w:rFonts w:ascii="Times New Roman" w:cs="Times New Roman" w:eastAsia="Times New Roman" w:hAnsi="Times New Roman"/>
          <w:sz w:val="16"/>
          <w:szCs w:val="16"/>
          <w:b w:val="1"/>
          <w:bCs w:val="1"/>
          <w:color w:val="auto"/>
        </w:rPr>
        <w:t>board members</w:t>
      </w:r>
      <w:r>
        <w:rPr>
          <w:rFonts w:ascii="Times New Roman" w:cs="Times New Roman" w:eastAsia="Times New Roman" w:hAnsi="Times New Roman"/>
          <w:sz w:val="16"/>
          <w:szCs w:val="16"/>
          <w:color w:val="auto"/>
        </w:rPr>
        <w:t xml:space="preserve"> act within the limits of applicable laws, regulations, and policies. These rules guide conduct and require compliance to preserve the organization’s reputation.</w:t>
      </w:r>
    </w:p>
    <w:p>
      <w:pPr>
        <w:spacing w:after="0" w:line="138" w:lineRule="exact"/>
        <w:rPr>
          <w:sz w:val="20"/>
          <w:szCs w:val="20"/>
          <w:color w:val="auto"/>
        </w:rPr>
      </w:pPr>
    </w:p>
    <w:p>
      <w:pPr>
        <w:jc w:val="both"/>
        <w:ind w:left="3"/>
        <w:spacing w:after="0" w:line="290" w:lineRule="auto"/>
        <w:rPr>
          <w:sz w:val="20"/>
          <w:szCs w:val="20"/>
          <w:color w:val="auto"/>
        </w:rPr>
      </w:pPr>
      <w:r>
        <w:rPr>
          <w:rFonts w:ascii="Times New Roman" w:cs="Times New Roman" w:eastAsia="Times New Roman" w:hAnsi="Times New Roman"/>
          <w:sz w:val="16"/>
          <w:szCs w:val="16"/>
          <w:color w:val="auto"/>
        </w:rPr>
        <w:t xml:space="preserve">In this line of argument, it is appropriate to assess whether the contributions to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were also within the limits established in Law No. 28094, the Political Organizations Law in effect in 2011.</w:t>
      </w:r>
    </w:p>
    <w:p>
      <w:pPr>
        <w:spacing w:after="0" w:line="138" w:lineRule="exact"/>
        <w:rPr>
          <w:sz w:val="20"/>
          <w:szCs w:val="20"/>
          <w:color w:val="auto"/>
        </w:rPr>
      </w:pPr>
    </w:p>
    <w:p>
      <w:pPr>
        <w:jc w:val="both"/>
        <w:ind w:left="3"/>
        <w:spacing w:after="0" w:line="216" w:lineRule="auto"/>
        <w:rPr>
          <w:sz w:val="20"/>
          <w:szCs w:val="20"/>
          <w:color w:val="auto"/>
        </w:rPr>
      </w:pPr>
      <w:r>
        <w:rPr>
          <w:rFonts w:ascii="Times New Roman" w:cs="Times New Roman" w:eastAsia="Times New Roman" w:hAnsi="Times New Roman"/>
          <w:sz w:val="16"/>
          <w:szCs w:val="16"/>
          <w:color w:val="auto"/>
        </w:rPr>
        <w:t xml:space="preserve">As previously stated, the contributions referred to in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exceeded the limit set forth in Article 30 of the aforementioned Law. Therefore, considering that the permitted 60 UIT amounted to S/ 216,000.00 (Two Hundred Sixteen Thousand and 00/100 Soles), and considering the exchange rate at that time</w:t>
      </w:r>
      <w:r>
        <w:rPr>
          <w:rFonts w:ascii="Times New Roman" w:cs="Times New Roman" w:eastAsia="Times New Roman" w:hAnsi="Times New Roman"/>
          <w:sz w:val="26"/>
          <w:szCs w:val="26"/>
          <w:color w:val="auto"/>
          <w:vertAlign w:val="superscript"/>
        </w:rPr>
        <w:t>57</w:t>
      </w:r>
      <w:r>
        <w:rPr>
          <w:rFonts w:ascii="Times New Roman" w:cs="Times New Roman" w:eastAsia="Times New Roman" w:hAnsi="Times New Roman"/>
          <w:sz w:val="16"/>
          <w:szCs w:val="16"/>
          <w:color w:val="auto"/>
        </w:rPr>
        <w:t>, the Issuer did not comply with the contribution limits established by electoral law.</w:t>
      </w:r>
    </w:p>
    <w:p>
      <w:pPr>
        <w:spacing w:after="0" w:line="143" w:lineRule="exact"/>
        <w:rPr>
          <w:sz w:val="20"/>
          <w:szCs w:val="20"/>
          <w:color w:val="auto"/>
        </w:rPr>
      </w:pPr>
    </w:p>
    <w:p>
      <w:pPr>
        <w:ind w:left="3"/>
        <w:spacing w:after="0" w:line="184" w:lineRule="exact"/>
        <w:rPr>
          <w:sz w:val="20"/>
          <w:szCs w:val="20"/>
          <w:color w:val="auto"/>
        </w:rPr>
      </w:pPr>
      <w:r>
        <w:rPr>
          <w:rFonts w:ascii="Times New Roman" w:cs="Times New Roman" w:eastAsia="Times New Roman" w:hAnsi="Times New Roman"/>
          <w:sz w:val="16"/>
          <w:szCs w:val="16"/>
          <w:color w:val="auto"/>
        </w:rPr>
        <w:t>However, it must be noted that this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is not the subject of the present administrative sanctioning proceeding.</w:t>
      </w:r>
    </w:p>
    <w:p>
      <w:pPr>
        <w:spacing w:after="0" w:line="23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7.5.3. REGARDING THE 2014 CODE OF ETHICS</w:t>
      </w:r>
    </w:p>
    <w:p>
      <w:pPr>
        <w:spacing w:after="0" w:line="206" w:lineRule="exact"/>
        <w:rPr>
          <w:sz w:val="20"/>
          <w:szCs w:val="20"/>
          <w:color w:val="auto"/>
        </w:rPr>
      </w:pPr>
    </w:p>
    <w:p>
      <w:pPr>
        <w:jc w:val="both"/>
        <w:ind w:left="3"/>
        <w:spacing w:after="0" w:line="270" w:lineRule="auto"/>
        <w:rPr>
          <w:sz w:val="20"/>
          <w:szCs w:val="20"/>
          <w:color w:val="auto"/>
        </w:rPr>
      </w:pPr>
      <w:r>
        <w:rPr>
          <w:rFonts w:ascii="Times New Roman" w:cs="Times New Roman" w:eastAsia="Times New Roman" w:hAnsi="Times New Roman"/>
          <w:sz w:val="16"/>
          <w:szCs w:val="16"/>
          <w:color w:val="auto"/>
        </w:rPr>
        <w:t xml:space="preserve">In this case, as with the 2011 Code of Ethics, the 2014 Code also contains rules of conduct and was likewise designed and established so that the Issuer’s employees and </w:t>
      </w:r>
      <w:r>
        <w:rPr>
          <w:rFonts w:ascii="Times New Roman" w:cs="Times New Roman" w:eastAsia="Times New Roman" w:hAnsi="Times New Roman"/>
          <w:sz w:val="16"/>
          <w:szCs w:val="16"/>
          <w:b w:val="1"/>
          <w:bCs w:val="1"/>
          <w:color w:val="auto"/>
        </w:rPr>
        <w:t xml:space="preserve">members of the Board </w:t>
      </w:r>
      <w:r>
        <w:rPr>
          <w:rFonts w:ascii="Times New Roman" w:cs="Times New Roman" w:eastAsia="Times New Roman" w:hAnsi="Times New Roman"/>
          <w:sz w:val="16"/>
          <w:szCs w:val="16"/>
          <w:color w:val="auto"/>
        </w:rPr>
        <w:t>commit to acting within the limits established by laws, regulations, bylaws, etc. In other words, the primary characteristic of this code is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compliance depends on the behavior, character and conduct of each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788160"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18" w:lineRule="exact"/>
        <w:rPr>
          <w:sz w:val="20"/>
          <w:szCs w:val="20"/>
          <w:color w:val="auto"/>
        </w:rPr>
      </w:pPr>
    </w:p>
    <w:p>
      <w:pPr>
        <w:ind w:left="183" w:hanging="183"/>
        <w:spacing w:after="0"/>
        <w:tabs>
          <w:tab w:leader="none" w:pos="183" w:val="left"/>
        </w:tabs>
        <w:numPr>
          <w:ilvl w:val="0"/>
          <w:numId w:val="1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Amount of the Tax Unit (UIT) corresponding to the 2010 and 2011 periods: S/ 3,600 soles, pursuant to D.S. No. 252-2010-EF and D.S. No. 311-2009-EF.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7146290"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102" w:name="page103"/>
    <w:bookmarkEnd w:id="102"/>
    <w:p>
      <w:pPr>
        <w:jc w:val="both"/>
        <w:spacing w:after="0" w:line="220" w:lineRule="exact"/>
        <w:rPr>
          <w:sz w:val="20"/>
          <w:szCs w:val="20"/>
          <w:color w:val="auto"/>
        </w:rPr>
      </w:pPr>
      <w:r>
        <w:rPr>
          <w:rFonts w:ascii="Times New Roman" w:cs="Times New Roman" w:eastAsia="Times New Roman" w:hAnsi="Times New Roman"/>
          <w:sz w:val="16"/>
          <w:szCs w:val="16"/>
          <w:color w:val="auto"/>
        </w:rPr>
        <w:t>Accordingly, it is once again evidenced that the Issuer has internal rules that are mandatory for all officers and directors; therefore, any deviation from or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with these rules is relevant within the organization and for investors and securities market regulators.</w:t>
      </w:r>
    </w:p>
    <w:p>
      <w:pPr>
        <w:spacing w:after="0" w:line="1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On the other hand, we agree with the Issuer that it is important that all its members respect the appropriate use of the organization’s tangible and intangible assets and are responsible for using them efficiently.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7.5.4. REGARDING COMPLIANCE WITH GOOD CORPORATE GOVERNANCE</w:t>
      </w:r>
    </w:p>
    <w:p>
      <w:pPr>
        <w:spacing w:after="0" w:line="171"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6"/>
          <w:szCs w:val="16"/>
          <w:color w:val="auto"/>
        </w:rPr>
        <w:t>It must be clarified that the Charges Letter does not impute a possible infraction related to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with corporate governance practices or annual corporate governance reports.</w:t>
      </w:r>
    </w:p>
    <w:p>
      <w:pPr>
        <w:spacing w:after="0" w:line="143"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6"/>
          <w:szCs w:val="16"/>
          <w:color w:val="auto"/>
        </w:rPr>
        <w:t>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attributed to the Issuer concerns the concealment of information relevant to the market, including shareholders and potential investors—information that should have been disclosed as a material event.</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Charges Letter mentions—by way of reference—that the facts constituting the charges and corresponding infractions reveal how the Issuer’s corporate governance practices were actually observed in practice. As is known, such practices relate to several matters and commitments, including: information transparency, regulatory compliance, risk management, the Code of Ethics, governance, and communication with shareholders.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 this context, regarding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the Issuer’s corporate governance practices, the following has been evidenced:</w:t>
      </w:r>
    </w:p>
    <w:p>
      <w:pPr>
        <w:spacing w:after="0" w:line="204" w:lineRule="exact"/>
        <w:rPr>
          <w:sz w:val="20"/>
          <w:szCs w:val="20"/>
          <w:color w:val="auto"/>
        </w:rPr>
      </w:pPr>
    </w:p>
    <w:p>
      <w:pPr>
        <w:ind w:left="580" w:hanging="292"/>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decision and execution of the cash contributions referred to in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were not disclosed to the securities market as a material event.</w:t>
      </w:r>
    </w:p>
    <w:p>
      <w:pPr>
        <w:spacing w:after="0" w:line="206" w:lineRule="exact"/>
        <w:rPr>
          <w:rFonts w:ascii="Times New Roman" w:cs="Times New Roman" w:eastAsia="Times New Roman" w:hAnsi="Times New Roman"/>
          <w:sz w:val="16"/>
          <w:szCs w:val="16"/>
          <w:color w:val="auto"/>
        </w:rPr>
      </w:pPr>
    </w:p>
    <w:p>
      <w:pPr>
        <w:ind w:left="580" w:hanging="292"/>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General Shareholders’ Meeting was not informed of these contributions.</w:t>
      </w:r>
    </w:p>
    <w:p>
      <w:pPr>
        <w:spacing w:after="0" w:line="204" w:lineRule="exact"/>
        <w:rPr>
          <w:rFonts w:ascii="Times New Roman" w:cs="Times New Roman" w:eastAsia="Times New Roman" w:hAnsi="Times New Roman"/>
          <w:sz w:val="16"/>
          <w:szCs w:val="16"/>
          <w:color w:val="auto"/>
        </w:rPr>
      </w:pPr>
    </w:p>
    <w:p>
      <w:pPr>
        <w:ind w:left="580" w:hanging="292"/>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the Issuer, its Board of Directors was not informed of these contributions.</w:t>
      </w:r>
    </w:p>
    <w:p>
      <w:pPr>
        <w:spacing w:after="0" w:line="204" w:lineRule="exact"/>
        <w:rPr>
          <w:rFonts w:ascii="Times New Roman" w:cs="Times New Roman" w:eastAsia="Times New Roman" w:hAnsi="Times New Roman"/>
          <w:sz w:val="16"/>
          <w:szCs w:val="16"/>
          <w:color w:val="auto"/>
        </w:rPr>
      </w:pPr>
    </w:p>
    <w:p>
      <w:pPr>
        <w:ind w:left="580"/>
        <w:spacing w:after="0" w:line="28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Members of the Issuer’s Board in 2011—Mr. José Raimundo Morales Dasso, Mr. Fernando Fort, Mr. Reynaldo Llosa, and Mr. Juan Carlos Verme—were only informed in November 2018.</w:t>
      </w:r>
    </w:p>
    <w:p>
      <w:pPr>
        <w:spacing w:after="0" w:line="142" w:lineRule="exact"/>
        <w:rPr>
          <w:rFonts w:ascii="Times New Roman" w:cs="Times New Roman" w:eastAsia="Times New Roman" w:hAnsi="Times New Roman"/>
          <w:sz w:val="16"/>
          <w:szCs w:val="16"/>
          <w:color w:val="auto"/>
        </w:rPr>
      </w:pPr>
    </w:p>
    <w:p>
      <w:pPr>
        <w:ind w:left="580"/>
        <w:spacing w:after="0" w:line="28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Former Directors in 2011—Mr. Luis Enrique Yarur Rey, Mr. Felipe Ortiz de Zevallos Madueño, and Mr. Germán Suarez Chávez—were informed only in November 2019.</w:t>
      </w:r>
    </w:p>
    <w:p>
      <w:pPr>
        <w:spacing w:after="0" w:line="142" w:lineRule="exact"/>
        <w:rPr>
          <w:rFonts w:ascii="Times New Roman" w:cs="Times New Roman" w:eastAsia="Times New Roman" w:hAnsi="Times New Roman"/>
          <w:sz w:val="16"/>
          <w:szCs w:val="16"/>
          <w:color w:val="auto"/>
        </w:rPr>
      </w:pPr>
    </w:p>
    <w:p>
      <w:pPr>
        <w:ind w:left="580" w:hanging="292"/>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Corporate Governance Committee was not informed of the contributions.</w:t>
      </w:r>
    </w:p>
    <w:p>
      <w:pPr>
        <w:spacing w:after="0" w:line="204" w:lineRule="exact"/>
        <w:rPr>
          <w:rFonts w:ascii="Times New Roman" w:cs="Times New Roman" w:eastAsia="Times New Roman" w:hAnsi="Times New Roman"/>
          <w:sz w:val="16"/>
          <w:szCs w:val="16"/>
          <w:color w:val="auto"/>
        </w:rPr>
      </w:pPr>
    </w:p>
    <w:p>
      <w:pPr>
        <w:ind w:left="580" w:hanging="292"/>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Audit Committee was not informed of the contributions.</w:t>
      </w:r>
    </w:p>
    <w:p>
      <w:pPr>
        <w:spacing w:after="0" w:line="204" w:lineRule="exact"/>
        <w:rPr>
          <w:rFonts w:ascii="Times New Roman" w:cs="Times New Roman" w:eastAsia="Times New Roman" w:hAnsi="Times New Roman"/>
          <w:sz w:val="16"/>
          <w:szCs w:val="16"/>
          <w:color w:val="auto"/>
        </w:rPr>
      </w:pPr>
    </w:p>
    <w:p>
      <w:pPr>
        <w:ind w:left="580" w:hanging="292"/>
        <w:spacing w:after="0" w:line="287" w:lineRule="auto"/>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internal audit system was not informed. The Internal Auditor learned of them only on November 15, 2019, days before Mr. Romero’s testimony before the Public Prosecutor.</w:t>
      </w:r>
    </w:p>
    <w:p>
      <w:pPr>
        <w:spacing w:after="0" w:line="142" w:lineRule="exact"/>
        <w:rPr>
          <w:rFonts w:ascii="Times New Roman" w:cs="Times New Roman" w:eastAsia="Times New Roman" w:hAnsi="Times New Roman"/>
          <w:sz w:val="16"/>
          <w:szCs w:val="16"/>
          <w:color w:val="auto"/>
        </w:rPr>
      </w:pPr>
    </w:p>
    <w:p>
      <w:pPr>
        <w:ind w:left="580" w:hanging="292"/>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risk management system was not informed. The Chief Risk Officer learned of the contributions only in November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233045</wp:posOffset>
            </wp:positionV>
            <wp:extent cx="7146290"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88" w:right="339" w:bottom="1440" w:gutter="0" w:footer="0" w:header="0"/>
        </w:sectPr>
      </w:pPr>
    </w:p>
    <w:bookmarkStart w:id="103" w:name="page104"/>
    <w:bookmarkEnd w:id="103"/>
    <w:p>
      <w:pPr>
        <w:ind w:left="580" w:hanging="292"/>
        <w:spacing w:after="0"/>
        <w:tabs>
          <w:tab w:leader="none" w:pos="58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compliance system was not informed. The Regulatory Compliance Manager learned of the contributions only in November 2018.</w:t>
      </w:r>
    </w:p>
    <w:p>
      <w:pPr>
        <w:spacing w:after="0" w:line="169" w:lineRule="exact"/>
        <w:rPr>
          <w:sz w:val="20"/>
          <w:szCs w:val="20"/>
          <w:color w:val="auto"/>
        </w:rPr>
      </w:pPr>
    </w:p>
    <w:p>
      <w:pPr>
        <w:jc w:val="both"/>
        <w:ind w:right="20"/>
        <w:spacing w:after="0" w:line="211" w:lineRule="exact"/>
        <w:rPr>
          <w:sz w:val="20"/>
          <w:szCs w:val="20"/>
          <w:color w:val="auto"/>
        </w:rPr>
      </w:pPr>
      <w:r>
        <w:rPr>
          <w:rFonts w:ascii="Times New Roman" w:cs="Times New Roman" w:eastAsia="Times New Roman" w:hAnsi="Times New Roman"/>
          <w:sz w:val="16"/>
          <w:szCs w:val="16"/>
          <w:color w:val="auto"/>
        </w:rPr>
        <w:t>Thus, based on the facts presented, the Issuer’s responses to the information requests in Official Letter No. 5714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included in the case file, and the additional documentation gathered, it is evident that the corporate governance practices adopted by the Issuer were insufficient to prevent the commission of infractions related to the concealment of information, which is the subject of this proceeding.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SPECIFIC DEFENSES REGARDING THE SECOND CHARGE</w:t>
      </w:r>
    </w:p>
    <w:p>
      <w:pPr>
        <w:spacing w:after="0" w:line="20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b w:val="1"/>
          <w:bCs w:val="1"/>
          <w:color w:val="auto"/>
        </w:rPr>
        <w:t>8.1. ANALYSIS OF THE ALLEGED LACK OF REASONABLENESS AND PROPORTIONALITY IN INITIATING FOUR SANCTIONING PROCEEDINGS FOR A SINGLE INFRACTION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 this regard, it must be clarified that charges were initiated against the Issuer and its three subsidiaries—BCP, PACÍFICO and MIBANCO—for </w:t>
      </w:r>
      <w:r>
        <w:rPr>
          <w:rFonts w:ascii="Times New Roman" w:cs="Times New Roman" w:eastAsia="Times New Roman" w:hAnsi="Times New Roman"/>
          <w:sz w:val="16"/>
          <w:szCs w:val="16"/>
          <w:b w:val="1"/>
          <w:bCs w:val="1"/>
          <w:u w:val="single" w:color="auto"/>
          <w:color w:val="auto"/>
        </w:rPr>
        <w:t>different facts</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Below, for illustrative purposes, the following table shows the charges formulated, in order to clarify any confusion and to demonstrate that there is no lack of reasonableness or proportionality in initiating these four (4) distinct sanctioning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7146290" cy="1402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6290" cy="140271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 w:type="dxa"/>
            <w:vAlign w:val="bottom"/>
            <w:shd w:val="clear" w:color="auto" w:fill="F5F5F5"/>
          </w:tcPr>
          <w:p>
            <w:pPr>
              <w:spacing w:after="0"/>
              <w:rPr>
                <w:sz w:val="20"/>
                <w:szCs w:val="20"/>
                <w:color w:val="auto"/>
              </w:rPr>
            </w:pPr>
          </w:p>
        </w:tc>
        <w:tc>
          <w:tcPr>
            <w:tcW w:w="2720" w:type="dxa"/>
            <w:vAlign w:val="bottom"/>
            <w:gridSpan w:val="10"/>
            <w:shd w:val="clear" w:color="auto" w:fill="F5F5F5"/>
          </w:tcPr>
          <w:p>
            <w:pPr>
              <w:ind w:left="20"/>
              <w:spacing w:after="0"/>
              <w:rPr>
                <w:sz w:val="20"/>
                <w:szCs w:val="20"/>
                <w:color w:val="auto"/>
              </w:rPr>
            </w:pPr>
            <w:r>
              <w:rPr>
                <w:rFonts w:ascii="Times New Roman" w:cs="Times New Roman" w:eastAsia="Times New Roman" w:hAnsi="Times New Roman"/>
                <w:sz w:val="16"/>
                <w:szCs w:val="16"/>
                <w:b w:val="1"/>
                <w:bCs w:val="1"/>
                <w:color w:val="auto"/>
              </w:rPr>
              <w:t>Charges and infraction type issued to</w:t>
            </w:r>
          </w:p>
        </w:tc>
        <w:tc>
          <w:tcPr>
            <w:tcW w:w="2840" w:type="dxa"/>
            <w:vAlign w:val="bottom"/>
            <w:gridSpan w:val="7"/>
            <w:shd w:val="clear" w:color="auto" w:fill="F5F5F5"/>
          </w:tcPr>
          <w:p>
            <w:pPr>
              <w:ind w:left="80"/>
              <w:spacing w:after="0"/>
              <w:rPr>
                <w:sz w:val="20"/>
                <w:szCs w:val="20"/>
                <w:color w:val="auto"/>
              </w:rPr>
            </w:pPr>
            <w:r>
              <w:rPr>
                <w:rFonts w:ascii="Times New Roman" w:cs="Times New Roman" w:eastAsia="Times New Roman" w:hAnsi="Times New Roman"/>
                <w:sz w:val="16"/>
                <w:szCs w:val="16"/>
                <w:b w:val="1"/>
                <w:bCs w:val="1"/>
                <w:color w:val="auto"/>
              </w:rPr>
              <w:t>Charges and infraction type issued to</w:t>
            </w:r>
          </w:p>
        </w:tc>
        <w:tc>
          <w:tcPr>
            <w:tcW w:w="2700" w:type="dxa"/>
            <w:vAlign w:val="bottom"/>
            <w:gridSpan w:val="6"/>
            <w:shd w:val="clear" w:color="auto" w:fill="F5F5F5"/>
          </w:tcPr>
          <w:p>
            <w:pPr>
              <w:spacing w:after="0"/>
              <w:rPr>
                <w:sz w:val="20"/>
                <w:szCs w:val="20"/>
                <w:color w:val="auto"/>
              </w:rPr>
            </w:pPr>
            <w:r>
              <w:rPr>
                <w:rFonts w:ascii="Times New Roman" w:cs="Times New Roman" w:eastAsia="Times New Roman" w:hAnsi="Times New Roman"/>
                <w:sz w:val="16"/>
                <w:szCs w:val="16"/>
                <w:b w:val="1"/>
                <w:bCs w:val="1"/>
                <w:color w:val="auto"/>
              </w:rPr>
              <w:t>Charges and infraction type issued to</w:t>
            </w:r>
          </w:p>
        </w:tc>
        <w:tc>
          <w:tcPr>
            <w:tcW w:w="2920" w:type="dxa"/>
            <w:vAlign w:val="bottom"/>
            <w:gridSpan w:val="5"/>
            <w:shd w:val="clear" w:color="auto" w:fill="F5F5F5"/>
          </w:tcPr>
          <w:p>
            <w:pPr>
              <w:ind w:left="60"/>
              <w:spacing w:after="0"/>
              <w:rPr>
                <w:sz w:val="20"/>
                <w:szCs w:val="20"/>
                <w:color w:val="auto"/>
              </w:rPr>
            </w:pPr>
            <w:r>
              <w:rPr>
                <w:rFonts w:ascii="Times New Roman" w:cs="Times New Roman" w:eastAsia="Times New Roman" w:hAnsi="Times New Roman"/>
                <w:sz w:val="16"/>
                <w:szCs w:val="16"/>
                <w:b w:val="1"/>
                <w:bCs w:val="1"/>
                <w:color w:val="auto"/>
              </w:rPr>
              <w:t>Charges and infraction type issued to</w:t>
            </w:r>
          </w:p>
        </w:tc>
        <w:tc>
          <w:tcPr>
            <w:tcW w:w="20" w:type="dxa"/>
            <w:vAlign w:val="bottom"/>
          </w:tcPr>
          <w:p>
            <w:pPr>
              <w:spacing w:after="0"/>
              <w:rPr>
                <w:sz w:val="20"/>
                <w:szCs w:val="20"/>
                <w:color w:val="auto"/>
              </w:rPr>
            </w:pPr>
          </w:p>
        </w:tc>
      </w:tr>
      <w:tr>
        <w:trPr>
          <w:trHeight w:val="164"/>
        </w:trPr>
        <w:tc>
          <w:tcPr>
            <w:tcW w:w="60" w:type="dxa"/>
            <w:vAlign w:val="bottom"/>
            <w:shd w:val="clear" w:color="auto" w:fill="F5F5F5"/>
          </w:tcPr>
          <w:p>
            <w:pPr>
              <w:spacing w:after="0"/>
              <w:rPr>
                <w:sz w:val="14"/>
                <w:szCs w:val="14"/>
                <w:color w:val="auto"/>
              </w:rPr>
            </w:pPr>
          </w:p>
        </w:tc>
        <w:tc>
          <w:tcPr>
            <w:tcW w:w="2720" w:type="dxa"/>
            <w:vAlign w:val="bottom"/>
            <w:gridSpan w:val="10"/>
            <w:shd w:val="clear" w:color="auto" w:fill="F5F5F5"/>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CREDICORP (OFFICIAL LETTER</w:t>
            </w:r>
          </w:p>
        </w:tc>
        <w:tc>
          <w:tcPr>
            <w:tcW w:w="440" w:type="dxa"/>
            <w:vAlign w:val="bottom"/>
            <w:gridSpan w:val="2"/>
            <w:shd w:val="clear" w:color="auto" w:fill="F5F5F5"/>
          </w:tcPr>
          <w:p>
            <w:pPr>
              <w:ind w:left="80"/>
              <w:spacing w:after="0" w:line="165" w:lineRule="exact"/>
              <w:rPr>
                <w:sz w:val="20"/>
                <w:szCs w:val="20"/>
                <w:color w:val="auto"/>
              </w:rPr>
            </w:pPr>
            <w:r>
              <w:rPr>
                <w:rFonts w:ascii="Times New Roman" w:cs="Times New Roman" w:eastAsia="Times New Roman" w:hAnsi="Times New Roman"/>
                <w:sz w:val="16"/>
                <w:szCs w:val="16"/>
                <w:b w:val="1"/>
                <w:bCs w:val="1"/>
                <w:color w:val="auto"/>
              </w:rPr>
              <w:t>BCP</w:t>
            </w:r>
          </w:p>
        </w:tc>
        <w:tc>
          <w:tcPr>
            <w:tcW w:w="1040" w:type="dxa"/>
            <w:vAlign w:val="bottom"/>
            <w:gridSpan w:val="3"/>
            <w:shd w:val="clear" w:color="auto" w:fill="F5F5F5"/>
          </w:tcPr>
          <w:p>
            <w:pPr>
              <w:ind w:left="140"/>
              <w:spacing w:after="0" w:line="165" w:lineRule="exact"/>
              <w:rPr>
                <w:sz w:val="20"/>
                <w:szCs w:val="20"/>
                <w:color w:val="auto"/>
              </w:rPr>
            </w:pPr>
            <w:r>
              <w:rPr>
                <w:rFonts w:ascii="Times New Roman" w:cs="Times New Roman" w:eastAsia="Times New Roman" w:hAnsi="Times New Roman"/>
                <w:sz w:val="16"/>
                <w:szCs w:val="16"/>
                <w:b w:val="1"/>
                <w:bCs w:val="1"/>
                <w:color w:val="auto"/>
              </w:rPr>
              <w:t>(OFFICIAL</w:t>
            </w:r>
          </w:p>
        </w:tc>
        <w:tc>
          <w:tcPr>
            <w:tcW w:w="900" w:type="dxa"/>
            <w:vAlign w:val="bottom"/>
            <w:shd w:val="clear" w:color="auto" w:fill="F5F5F5"/>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LETTER</w:t>
            </w:r>
          </w:p>
        </w:tc>
        <w:tc>
          <w:tcPr>
            <w:tcW w:w="460" w:type="dxa"/>
            <w:vAlign w:val="bottom"/>
            <w:shd w:val="clear" w:color="auto" w:fill="F5F5F5"/>
          </w:tcPr>
          <w:p>
            <w:pPr>
              <w:jc w:val="right"/>
              <w:ind w:right="39"/>
              <w:spacing w:after="0" w:line="165" w:lineRule="exact"/>
              <w:rPr>
                <w:sz w:val="20"/>
                <w:szCs w:val="20"/>
                <w:color w:val="auto"/>
              </w:rPr>
            </w:pPr>
            <w:r>
              <w:rPr>
                <w:rFonts w:ascii="Times New Roman" w:cs="Times New Roman" w:eastAsia="Times New Roman" w:hAnsi="Times New Roman"/>
                <w:sz w:val="16"/>
                <w:szCs w:val="16"/>
                <w:b w:val="1"/>
                <w:bCs w:val="1"/>
                <w:color w:val="auto"/>
              </w:rPr>
              <w:t>No.</w:t>
            </w:r>
          </w:p>
        </w:tc>
        <w:tc>
          <w:tcPr>
            <w:tcW w:w="820" w:type="dxa"/>
            <w:vAlign w:val="bottom"/>
            <w:gridSpan w:val="2"/>
            <w:shd w:val="clear" w:color="auto" w:fill="F5F5F5"/>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PACÍFICO</w:t>
            </w:r>
          </w:p>
        </w:tc>
        <w:tc>
          <w:tcPr>
            <w:tcW w:w="40" w:type="dxa"/>
            <w:vAlign w:val="bottom"/>
            <w:shd w:val="clear" w:color="auto" w:fill="F5F5F5"/>
          </w:tcPr>
          <w:p>
            <w:pPr>
              <w:spacing w:after="0"/>
              <w:rPr>
                <w:sz w:val="14"/>
                <w:szCs w:val="14"/>
                <w:color w:val="auto"/>
              </w:rPr>
            </w:pPr>
          </w:p>
        </w:tc>
        <w:tc>
          <w:tcPr>
            <w:tcW w:w="1840" w:type="dxa"/>
            <w:vAlign w:val="bottom"/>
            <w:gridSpan w:val="3"/>
            <w:shd w:val="clear" w:color="auto" w:fill="F5F5F5"/>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(OFFICIAL  LETTER</w:t>
            </w:r>
          </w:p>
        </w:tc>
        <w:tc>
          <w:tcPr>
            <w:tcW w:w="2920" w:type="dxa"/>
            <w:vAlign w:val="bottom"/>
            <w:gridSpan w:val="5"/>
            <w:shd w:val="clear" w:color="auto" w:fill="F5F5F5"/>
          </w:tcPr>
          <w:p>
            <w:pPr>
              <w:ind w:left="60"/>
              <w:spacing w:after="0" w:line="165" w:lineRule="exact"/>
              <w:rPr>
                <w:sz w:val="20"/>
                <w:szCs w:val="20"/>
                <w:color w:val="auto"/>
              </w:rPr>
            </w:pPr>
            <w:r>
              <w:rPr>
                <w:rFonts w:ascii="Times New Roman" w:cs="Times New Roman" w:eastAsia="Times New Roman" w:hAnsi="Times New Roman"/>
                <w:sz w:val="16"/>
                <w:szCs w:val="16"/>
                <w:b w:val="1"/>
                <w:bCs w:val="1"/>
                <w:color w:val="auto"/>
              </w:rPr>
              <w:t>MIBANCO (OFFICIAL LETTER No.</w:t>
            </w:r>
          </w:p>
        </w:tc>
        <w:tc>
          <w:tcPr>
            <w:tcW w:w="20" w:type="dxa"/>
            <w:vAlign w:val="bottom"/>
          </w:tcPr>
          <w:p>
            <w:pPr>
              <w:spacing w:after="0"/>
              <w:rPr>
                <w:sz w:val="14"/>
                <w:szCs w:val="14"/>
                <w:color w:val="auto"/>
              </w:rPr>
            </w:pPr>
          </w:p>
        </w:tc>
      </w:tr>
      <w:tr>
        <w:trPr>
          <w:trHeight w:val="283"/>
        </w:trPr>
        <w:tc>
          <w:tcPr>
            <w:tcW w:w="60" w:type="dxa"/>
            <w:vAlign w:val="bottom"/>
            <w:tcBorders>
              <w:bottom w:val="single" w:sz="8" w:color="F5F5F5"/>
            </w:tcBorders>
            <w:shd w:val="clear" w:color="auto" w:fill="F5F5F5"/>
          </w:tcPr>
          <w:p>
            <w:pPr>
              <w:spacing w:after="0"/>
              <w:rPr>
                <w:sz w:val="24"/>
                <w:szCs w:val="24"/>
                <w:color w:val="auto"/>
              </w:rPr>
            </w:pPr>
          </w:p>
        </w:tc>
        <w:tc>
          <w:tcPr>
            <w:tcW w:w="2300" w:type="dxa"/>
            <w:vAlign w:val="bottom"/>
            <w:tcBorders>
              <w:bottom w:val="single" w:sz="8" w:color="F5F5F5"/>
            </w:tcBorders>
            <w:gridSpan w:val="8"/>
            <w:shd w:val="clear" w:color="auto" w:fill="F5F5F5"/>
          </w:tcPr>
          <w:p>
            <w:pPr>
              <w:ind w:left="20"/>
              <w:spacing w:after="0" w:line="184" w:lineRule="exact"/>
              <w:rPr>
                <w:sz w:val="20"/>
                <w:szCs w:val="20"/>
                <w:color w:val="auto"/>
              </w:rPr>
            </w:pPr>
            <w:r>
              <w:rPr>
                <w:rFonts w:ascii="Times New Roman" w:cs="Times New Roman" w:eastAsia="Times New Roman" w:hAnsi="Times New Roman"/>
                <w:sz w:val="16"/>
                <w:szCs w:val="16"/>
                <w:b w:val="1"/>
                <w:bCs w:val="1"/>
                <w:color w:val="auto"/>
              </w:rPr>
              <w:t>No. 6143</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2019</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SMV/11.2)</w:t>
            </w:r>
          </w:p>
        </w:tc>
        <w:tc>
          <w:tcPr>
            <w:tcW w:w="380" w:type="dxa"/>
            <w:vAlign w:val="bottom"/>
            <w:tcBorders>
              <w:bottom w:val="single" w:sz="8" w:color="F5F5F5"/>
              <w:right w:val="single" w:sz="8" w:color="F5F5F5"/>
            </w:tcBorders>
            <w:shd w:val="clear" w:color="auto" w:fill="F5F5F5"/>
          </w:tcPr>
          <w:p>
            <w:pPr>
              <w:spacing w:after="0"/>
              <w:rPr>
                <w:sz w:val="24"/>
                <w:szCs w:val="24"/>
                <w:color w:val="auto"/>
              </w:rPr>
            </w:pPr>
          </w:p>
        </w:tc>
        <w:tc>
          <w:tcPr>
            <w:tcW w:w="40" w:type="dxa"/>
            <w:vAlign w:val="bottom"/>
            <w:tcBorders>
              <w:bottom w:val="single" w:sz="8" w:color="F5F5F5"/>
            </w:tcBorders>
            <w:shd w:val="clear" w:color="auto" w:fill="F5F5F5"/>
          </w:tcPr>
          <w:p>
            <w:pPr>
              <w:spacing w:after="0"/>
              <w:rPr>
                <w:sz w:val="24"/>
                <w:szCs w:val="24"/>
                <w:color w:val="auto"/>
              </w:rPr>
            </w:pPr>
          </w:p>
        </w:tc>
        <w:tc>
          <w:tcPr>
            <w:tcW w:w="2380" w:type="dxa"/>
            <w:vAlign w:val="bottom"/>
            <w:tcBorders>
              <w:bottom w:val="single" w:sz="8" w:color="F5F5F5"/>
            </w:tcBorders>
            <w:gridSpan w:val="6"/>
            <w:shd w:val="clear" w:color="auto" w:fill="F5F5F5"/>
          </w:tcPr>
          <w:p>
            <w:pPr>
              <w:ind w:left="80"/>
              <w:spacing w:after="0" w:line="184" w:lineRule="exact"/>
              <w:rPr>
                <w:sz w:val="20"/>
                <w:szCs w:val="20"/>
                <w:color w:val="auto"/>
              </w:rPr>
            </w:pPr>
            <w:r>
              <w:rPr>
                <w:rFonts w:ascii="Times New Roman" w:cs="Times New Roman" w:eastAsia="Times New Roman" w:hAnsi="Times New Roman"/>
                <w:sz w:val="16"/>
                <w:szCs w:val="16"/>
                <w:b w:val="1"/>
                <w:bCs w:val="1"/>
                <w:color w:val="auto"/>
              </w:rPr>
              <w:t>6197</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2019</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SMV/11.2)</w:t>
            </w:r>
          </w:p>
        </w:tc>
        <w:tc>
          <w:tcPr>
            <w:tcW w:w="460" w:type="dxa"/>
            <w:vAlign w:val="bottom"/>
            <w:tcBorders>
              <w:bottom w:val="single" w:sz="8" w:color="F5F5F5"/>
            </w:tcBorders>
            <w:shd w:val="clear" w:color="auto" w:fill="F5F5F5"/>
          </w:tcPr>
          <w:p>
            <w:pPr>
              <w:spacing w:after="0"/>
              <w:rPr>
                <w:sz w:val="24"/>
                <w:szCs w:val="24"/>
                <w:color w:val="auto"/>
              </w:rPr>
            </w:pPr>
          </w:p>
        </w:tc>
        <w:tc>
          <w:tcPr>
            <w:tcW w:w="2280" w:type="dxa"/>
            <w:vAlign w:val="bottom"/>
            <w:tcBorders>
              <w:bottom w:val="single" w:sz="8" w:color="F5F5F5"/>
            </w:tcBorders>
            <w:gridSpan w:val="5"/>
            <w:shd w:val="clear" w:color="auto" w:fill="F5F5F5"/>
          </w:tcPr>
          <w:p>
            <w:pPr>
              <w:spacing w:after="0" w:line="184" w:lineRule="exact"/>
              <w:rPr>
                <w:sz w:val="20"/>
                <w:szCs w:val="20"/>
                <w:color w:val="auto"/>
              </w:rPr>
            </w:pPr>
            <w:r>
              <w:rPr>
                <w:rFonts w:ascii="Times New Roman" w:cs="Times New Roman" w:eastAsia="Times New Roman" w:hAnsi="Times New Roman"/>
                <w:sz w:val="16"/>
                <w:szCs w:val="16"/>
                <w:b w:val="1"/>
                <w:bCs w:val="1"/>
                <w:color w:val="auto"/>
              </w:rPr>
              <w:t>No. 6199</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2019</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SMV/11.2)</w:t>
            </w:r>
          </w:p>
        </w:tc>
        <w:tc>
          <w:tcPr>
            <w:tcW w:w="420" w:type="dxa"/>
            <w:vAlign w:val="bottom"/>
            <w:tcBorders>
              <w:bottom w:val="single" w:sz="8" w:color="F5F5F5"/>
            </w:tcBorders>
            <w:shd w:val="clear" w:color="auto" w:fill="F5F5F5"/>
          </w:tcPr>
          <w:p>
            <w:pPr>
              <w:spacing w:after="0"/>
              <w:rPr>
                <w:sz w:val="24"/>
                <w:szCs w:val="24"/>
                <w:color w:val="auto"/>
              </w:rPr>
            </w:pPr>
          </w:p>
        </w:tc>
        <w:tc>
          <w:tcPr>
            <w:tcW w:w="2340" w:type="dxa"/>
            <w:vAlign w:val="bottom"/>
            <w:tcBorders>
              <w:bottom w:val="single" w:sz="8" w:color="F5F5F5"/>
            </w:tcBorders>
            <w:gridSpan w:val="3"/>
            <w:shd w:val="clear" w:color="auto" w:fill="F5F5F5"/>
          </w:tcPr>
          <w:p>
            <w:pPr>
              <w:ind w:left="60"/>
              <w:spacing w:after="0" w:line="184" w:lineRule="exact"/>
              <w:rPr>
                <w:sz w:val="20"/>
                <w:szCs w:val="20"/>
                <w:color w:val="auto"/>
              </w:rPr>
            </w:pPr>
            <w:r>
              <w:rPr>
                <w:rFonts w:ascii="Times New Roman" w:cs="Times New Roman" w:eastAsia="Times New Roman" w:hAnsi="Times New Roman"/>
                <w:sz w:val="16"/>
                <w:szCs w:val="16"/>
                <w:b w:val="1"/>
                <w:bCs w:val="1"/>
                <w:color w:val="auto"/>
              </w:rPr>
              <w:t>6198</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2019</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SMV/11.2)</w:t>
            </w:r>
          </w:p>
        </w:tc>
        <w:tc>
          <w:tcPr>
            <w:tcW w:w="320" w:type="dxa"/>
            <w:vAlign w:val="bottom"/>
            <w:tcBorders>
              <w:bottom w:val="single" w:sz="8" w:color="F5F5F5"/>
            </w:tcBorders>
            <w:shd w:val="clear" w:color="auto" w:fill="F5F5F5"/>
          </w:tcPr>
          <w:p>
            <w:pPr>
              <w:spacing w:after="0"/>
              <w:rPr>
                <w:sz w:val="24"/>
                <w:szCs w:val="24"/>
                <w:color w:val="auto"/>
              </w:rPr>
            </w:pPr>
          </w:p>
        </w:tc>
        <w:tc>
          <w:tcPr>
            <w:tcW w:w="260" w:type="dxa"/>
            <w:vAlign w:val="bottom"/>
            <w:tcBorders>
              <w:bottom w:val="single" w:sz="8" w:color="F5F5F5"/>
            </w:tcBorders>
            <w:shd w:val="clear" w:color="auto" w:fill="F5F5F5"/>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272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Failure to disclose relevant information</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2"/>
        </w:trPr>
        <w:tc>
          <w:tcPr>
            <w:tcW w:w="60" w:type="dxa"/>
            <w:vAlign w:val="bottom"/>
          </w:tcPr>
          <w:p>
            <w:pPr>
              <w:spacing w:after="0"/>
              <w:rPr>
                <w:sz w:val="16"/>
                <w:szCs w:val="16"/>
                <w:color w:val="auto"/>
              </w:rPr>
            </w:pPr>
          </w:p>
        </w:tc>
        <w:tc>
          <w:tcPr>
            <w:tcW w:w="272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to the market regarding CREDICORP’s</w:t>
            </w:r>
          </w:p>
        </w:tc>
        <w:tc>
          <w:tcPr>
            <w:tcW w:w="2840" w:type="dxa"/>
            <w:vAlign w:val="bottom"/>
            <w:gridSpan w:val="7"/>
          </w:tcPr>
          <w:p>
            <w:pPr>
              <w:ind w:left="80"/>
              <w:spacing w:after="0"/>
              <w:rPr>
                <w:sz w:val="20"/>
                <w:szCs w:val="20"/>
                <w:color w:val="auto"/>
              </w:rPr>
            </w:pPr>
            <w:r>
              <w:rPr>
                <w:rFonts w:ascii="Times New Roman" w:cs="Times New Roman" w:eastAsia="Times New Roman" w:hAnsi="Times New Roman"/>
                <w:sz w:val="16"/>
                <w:szCs w:val="16"/>
                <w:color w:val="auto"/>
              </w:rPr>
              <w:t>Failure to disclose relevant information</w:t>
            </w:r>
          </w:p>
        </w:tc>
        <w:tc>
          <w:tcPr>
            <w:tcW w:w="27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Failure to disclose relevant information</w:t>
            </w:r>
          </w:p>
        </w:tc>
        <w:tc>
          <w:tcPr>
            <w:tcW w:w="29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Failure to disclose relevant information to</w:t>
            </w:r>
          </w:p>
        </w:tc>
        <w:tc>
          <w:tcPr>
            <w:tcW w:w="20" w:type="dxa"/>
            <w:vAlign w:val="bottom"/>
          </w:tcPr>
          <w:p>
            <w:pPr>
              <w:spacing w:after="0"/>
              <w:rPr>
                <w:sz w:val="16"/>
                <w:szCs w:val="16"/>
                <w:color w:val="auto"/>
              </w:rPr>
            </w:pPr>
          </w:p>
        </w:tc>
      </w:tr>
      <w:tr>
        <w:trPr>
          <w:trHeight w:val="176"/>
        </w:trPr>
        <w:tc>
          <w:tcPr>
            <w:tcW w:w="60" w:type="dxa"/>
            <w:vAlign w:val="bottom"/>
          </w:tcPr>
          <w:p>
            <w:pPr>
              <w:spacing w:after="0"/>
              <w:rPr>
                <w:sz w:val="15"/>
                <w:szCs w:val="15"/>
                <w:color w:val="auto"/>
              </w:rPr>
            </w:pPr>
          </w:p>
        </w:tc>
        <w:tc>
          <w:tcPr>
            <w:tcW w:w="2720" w:type="dxa"/>
            <w:vAlign w:val="bottom"/>
            <w:gridSpan w:val="10"/>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agreement to carry out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through its</w:t>
            </w:r>
          </w:p>
        </w:tc>
        <w:tc>
          <w:tcPr>
            <w:tcW w:w="440" w:type="dxa"/>
            <w:vAlign w:val="bottom"/>
            <w:gridSpan w:val="2"/>
          </w:tcPr>
          <w:p>
            <w:pPr>
              <w:ind w:left="80"/>
              <w:spacing w:after="0" w:line="177" w:lineRule="exact"/>
              <w:rPr>
                <w:sz w:val="20"/>
                <w:szCs w:val="20"/>
                <w:color w:val="auto"/>
              </w:rPr>
            </w:pPr>
            <w:r>
              <w:rPr>
                <w:rFonts w:ascii="Times New Roman" w:cs="Times New Roman" w:eastAsia="Times New Roman" w:hAnsi="Times New Roman"/>
                <w:sz w:val="16"/>
                <w:szCs w:val="16"/>
                <w:color w:val="auto"/>
              </w:rPr>
              <w:t>to</w:t>
            </w:r>
          </w:p>
        </w:tc>
        <w:tc>
          <w:tcPr>
            <w:tcW w:w="440" w:type="dxa"/>
            <w:vAlign w:val="bottom"/>
          </w:tcPr>
          <w:p>
            <w:pPr>
              <w:ind w:left="20"/>
              <w:spacing w:after="0" w:line="177" w:lineRule="exact"/>
              <w:rPr>
                <w:sz w:val="20"/>
                <w:szCs w:val="20"/>
                <w:color w:val="auto"/>
              </w:rPr>
            </w:pPr>
            <w:r>
              <w:rPr>
                <w:rFonts w:ascii="Times New Roman" w:cs="Times New Roman" w:eastAsia="Times New Roman" w:hAnsi="Times New Roman"/>
                <w:sz w:val="16"/>
                <w:szCs w:val="16"/>
                <w:color w:val="auto"/>
              </w:rPr>
              <w:t>the</w:t>
            </w:r>
          </w:p>
        </w:tc>
        <w:tc>
          <w:tcPr>
            <w:tcW w:w="600" w:type="dxa"/>
            <w:vAlign w:val="bottom"/>
            <w:gridSpan w:val="2"/>
          </w:tcPr>
          <w:p>
            <w:pPr>
              <w:ind w:left="40"/>
              <w:spacing w:after="0" w:line="177" w:lineRule="exact"/>
              <w:rPr>
                <w:sz w:val="20"/>
                <w:szCs w:val="20"/>
                <w:color w:val="auto"/>
              </w:rPr>
            </w:pPr>
            <w:r>
              <w:rPr>
                <w:rFonts w:ascii="Times New Roman" w:cs="Times New Roman" w:eastAsia="Times New Roman" w:hAnsi="Times New Roman"/>
                <w:sz w:val="16"/>
                <w:szCs w:val="16"/>
                <w:color w:val="auto"/>
              </w:rPr>
              <w:t>market</w:t>
            </w:r>
          </w:p>
        </w:tc>
        <w:tc>
          <w:tcPr>
            <w:tcW w:w="90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color w:val="auto"/>
              </w:rPr>
              <w:t>regarding</w:t>
            </w:r>
          </w:p>
        </w:tc>
        <w:tc>
          <w:tcPr>
            <w:tcW w:w="460" w:type="dxa"/>
            <w:vAlign w:val="bottom"/>
          </w:tcPr>
          <w:p>
            <w:pPr>
              <w:jc w:val="right"/>
              <w:ind w:right="59"/>
              <w:spacing w:after="0" w:line="177" w:lineRule="exact"/>
              <w:rPr>
                <w:sz w:val="20"/>
                <w:szCs w:val="20"/>
                <w:color w:val="auto"/>
              </w:rPr>
            </w:pPr>
            <w:r>
              <w:rPr>
                <w:rFonts w:ascii="Times New Roman" w:cs="Times New Roman" w:eastAsia="Times New Roman" w:hAnsi="Times New Roman"/>
                <w:sz w:val="16"/>
                <w:szCs w:val="16"/>
                <w:color w:val="auto"/>
              </w:rPr>
              <w:t>the</w:t>
            </w:r>
          </w:p>
        </w:tc>
        <w:tc>
          <w:tcPr>
            <w:tcW w:w="36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to</w:t>
            </w:r>
          </w:p>
        </w:tc>
        <w:tc>
          <w:tcPr>
            <w:tcW w:w="460" w:type="dxa"/>
            <w:vAlign w:val="bottom"/>
          </w:tcPr>
          <w:p>
            <w:pPr>
              <w:ind w:left="20"/>
              <w:spacing w:after="0" w:line="177" w:lineRule="exact"/>
              <w:rPr>
                <w:sz w:val="20"/>
                <w:szCs w:val="20"/>
                <w:color w:val="auto"/>
              </w:rPr>
            </w:pPr>
            <w:r>
              <w:rPr>
                <w:rFonts w:ascii="Times New Roman" w:cs="Times New Roman" w:eastAsia="Times New Roman" w:hAnsi="Times New Roman"/>
                <w:sz w:val="16"/>
                <w:szCs w:val="16"/>
                <w:color w:val="auto"/>
              </w:rPr>
              <w:t>the</w:t>
            </w:r>
          </w:p>
        </w:tc>
        <w:tc>
          <w:tcPr>
            <w:tcW w:w="54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6"/>
                <w:szCs w:val="16"/>
                <w:color w:val="auto"/>
              </w:rPr>
              <w:t>market</w:t>
            </w:r>
          </w:p>
        </w:tc>
        <w:tc>
          <w:tcPr>
            <w:tcW w:w="920" w:type="dxa"/>
            <w:vAlign w:val="bottom"/>
          </w:tcPr>
          <w:p>
            <w:pPr>
              <w:ind w:left="200"/>
              <w:spacing w:after="0" w:line="177" w:lineRule="exact"/>
              <w:rPr>
                <w:sz w:val="20"/>
                <w:szCs w:val="20"/>
                <w:color w:val="auto"/>
              </w:rPr>
            </w:pPr>
            <w:r>
              <w:rPr>
                <w:rFonts w:ascii="Times New Roman" w:cs="Times New Roman" w:eastAsia="Times New Roman" w:hAnsi="Times New Roman"/>
                <w:sz w:val="16"/>
                <w:szCs w:val="16"/>
                <w:color w:val="auto"/>
              </w:rPr>
              <w:t>regarding</w:t>
            </w:r>
          </w:p>
        </w:tc>
        <w:tc>
          <w:tcPr>
            <w:tcW w:w="4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the</w:t>
            </w:r>
          </w:p>
        </w:tc>
        <w:tc>
          <w:tcPr>
            <w:tcW w:w="2920" w:type="dxa"/>
            <w:vAlign w:val="bottom"/>
            <w:gridSpan w:val="5"/>
          </w:tcPr>
          <w:p>
            <w:pPr>
              <w:ind w:left="60"/>
              <w:spacing w:after="0" w:line="177" w:lineRule="exact"/>
              <w:rPr>
                <w:sz w:val="20"/>
                <w:szCs w:val="20"/>
                <w:color w:val="auto"/>
              </w:rPr>
            </w:pPr>
            <w:r>
              <w:rPr>
                <w:rFonts w:ascii="Times New Roman" w:cs="Times New Roman" w:eastAsia="Times New Roman" w:hAnsi="Times New Roman"/>
                <w:sz w:val="16"/>
                <w:szCs w:val="16"/>
                <w:color w:val="auto"/>
              </w:rPr>
              <w:t xml:space="preserve">the market regarding the </w:t>
            </w:r>
            <w:r>
              <w:rPr>
                <w:rFonts w:ascii="Times New Roman" w:cs="Times New Roman" w:eastAsia="Times New Roman" w:hAnsi="Times New Roman"/>
                <w:sz w:val="16"/>
                <w:szCs w:val="16"/>
                <w:b w:val="1"/>
                <w:bCs w:val="1"/>
                <w:color w:val="auto"/>
              </w:rPr>
              <w:t>contribution to</w:t>
            </w:r>
          </w:p>
        </w:tc>
        <w:tc>
          <w:tcPr>
            <w:tcW w:w="2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60" w:type="dxa"/>
            <w:vAlign w:val="bottom"/>
          </w:tcPr>
          <w:p>
            <w:pPr>
              <w:spacing w:after="0"/>
              <w:rPr>
                <w:sz w:val="15"/>
                <w:szCs w:val="15"/>
                <w:color w:val="auto"/>
              </w:rPr>
            </w:pPr>
          </w:p>
        </w:tc>
        <w:tc>
          <w:tcPr>
            <w:tcW w:w="2720" w:type="dxa"/>
            <w:vAlign w:val="bottom"/>
            <w:gridSpan w:val="10"/>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subsidiaries</w:t>
            </w:r>
            <w:r>
              <w:rPr>
                <w:rFonts w:ascii="Times New Roman" w:cs="Times New Roman" w:eastAsia="Times New Roman" w:hAnsi="Times New Roman"/>
                <w:sz w:val="16"/>
                <w:szCs w:val="16"/>
                <w:color w:val="auto"/>
              </w:rPr>
              <w:t>,   contributions   to   the</w:t>
            </w:r>
          </w:p>
        </w:tc>
        <w:tc>
          <w:tcPr>
            <w:tcW w:w="2840" w:type="dxa"/>
            <w:vAlign w:val="bottom"/>
            <w:gridSpan w:val="7"/>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contribution  to  the  political  party</w:t>
            </w:r>
          </w:p>
        </w:tc>
        <w:tc>
          <w:tcPr>
            <w:tcW w:w="270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contribution  to  the  political  party</w:t>
            </w:r>
          </w:p>
        </w:tc>
        <w:tc>
          <w:tcPr>
            <w:tcW w:w="2920" w:type="dxa"/>
            <w:vAlign w:val="bottom"/>
            <w:gridSpan w:val="5"/>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the  political  party  Peruanos  por  el</w:t>
            </w:r>
          </w:p>
        </w:tc>
        <w:tc>
          <w:tcPr>
            <w:tcW w:w="2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60" w:type="dxa"/>
            <w:vAlign w:val="bottom"/>
          </w:tcPr>
          <w:p>
            <w:pPr>
              <w:spacing w:after="0"/>
              <w:rPr>
                <w:sz w:val="15"/>
                <w:szCs w:val="15"/>
                <w:color w:val="auto"/>
              </w:rPr>
            </w:pPr>
          </w:p>
        </w:tc>
        <w:tc>
          <w:tcPr>
            <w:tcW w:w="2680" w:type="dxa"/>
            <w:vAlign w:val="bottom"/>
            <w:tcBorders>
              <w:bottom w:val="single" w:sz="8" w:color="auto"/>
            </w:tcBorders>
            <w:gridSpan w:val="9"/>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political  party  Peruanos  por  el</w:t>
            </w:r>
          </w:p>
        </w:tc>
        <w:tc>
          <w:tcPr>
            <w:tcW w:w="40" w:type="dxa"/>
            <w:vAlign w:val="bottom"/>
          </w:tcPr>
          <w:p>
            <w:pPr>
              <w:spacing w:after="0"/>
              <w:rPr>
                <w:sz w:val="15"/>
                <w:szCs w:val="15"/>
                <w:color w:val="auto"/>
              </w:rPr>
            </w:pPr>
          </w:p>
        </w:tc>
        <w:tc>
          <w:tcPr>
            <w:tcW w:w="2840" w:type="dxa"/>
            <w:vAlign w:val="bottom"/>
            <w:gridSpan w:val="7"/>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Peruanos por el Kambio during the</w:t>
            </w:r>
          </w:p>
        </w:tc>
        <w:tc>
          <w:tcPr>
            <w:tcW w:w="270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Peruanos por el Kambio during the</w:t>
            </w:r>
          </w:p>
        </w:tc>
        <w:tc>
          <w:tcPr>
            <w:tcW w:w="2920" w:type="dxa"/>
            <w:vAlign w:val="bottom"/>
            <w:gridSpan w:val="5"/>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Kambio during the 2016 presidential</w:t>
            </w:r>
          </w:p>
        </w:tc>
        <w:tc>
          <w:tcPr>
            <w:tcW w:w="20" w:type="dxa"/>
            <w:vAlign w:val="bottom"/>
          </w:tcPr>
          <w:p>
            <w:pPr>
              <w:spacing w:after="0"/>
              <w:rPr>
                <w:sz w:val="15"/>
                <w:szCs w:val="15"/>
                <w:color w:val="auto"/>
              </w:rPr>
            </w:pPr>
          </w:p>
        </w:tc>
      </w:tr>
      <w:tr>
        <w:trPr>
          <w:trHeight w:val="174"/>
        </w:trPr>
        <w:tc>
          <w:tcPr>
            <w:tcW w:w="60" w:type="dxa"/>
            <w:vAlign w:val="bottom"/>
          </w:tcPr>
          <w:p>
            <w:pPr>
              <w:spacing w:after="0"/>
              <w:rPr>
                <w:sz w:val="15"/>
                <w:szCs w:val="15"/>
                <w:color w:val="auto"/>
              </w:rPr>
            </w:pPr>
          </w:p>
        </w:tc>
        <w:tc>
          <w:tcPr>
            <w:tcW w:w="2720" w:type="dxa"/>
            <w:vAlign w:val="bottom"/>
            <w:gridSpan w:val="10"/>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Kambio during the 2016 presidential</w:t>
            </w:r>
          </w:p>
        </w:tc>
        <w:tc>
          <w:tcPr>
            <w:tcW w:w="2380" w:type="dxa"/>
            <w:vAlign w:val="bottom"/>
            <w:gridSpan w:val="6"/>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2016 presidential campaign</w:t>
            </w: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228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2016 presidential campaign</w:t>
            </w:r>
            <w:r>
              <w:rPr>
                <w:rFonts w:ascii="Times New Roman" w:cs="Times New Roman" w:eastAsia="Times New Roman" w:hAnsi="Times New Roman"/>
                <w:sz w:val="16"/>
                <w:szCs w:val="16"/>
                <w:color w:val="auto"/>
              </w:rPr>
              <w:t>.</w:t>
            </w:r>
          </w:p>
        </w:tc>
        <w:tc>
          <w:tcPr>
            <w:tcW w:w="420" w:type="dxa"/>
            <w:vAlign w:val="bottom"/>
          </w:tcPr>
          <w:p>
            <w:pPr>
              <w:spacing w:after="0"/>
              <w:rPr>
                <w:sz w:val="15"/>
                <w:szCs w:val="15"/>
                <w:color w:val="auto"/>
              </w:rPr>
            </w:pPr>
          </w:p>
        </w:tc>
        <w:tc>
          <w:tcPr>
            <w:tcW w:w="122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campaign</w:t>
            </w:r>
            <w:r>
              <w:rPr>
                <w:rFonts w:ascii="Times New Roman" w:cs="Times New Roman" w:eastAsia="Times New Roman" w:hAnsi="Times New Roman"/>
                <w:sz w:val="16"/>
                <w:szCs w:val="16"/>
                <w:color w:val="auto"/>
              </w:rPr>
              <w:t>.</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60" w:type="dxa"/>
            <w:vAlign w:val="bottom"/>
          </w:tcPr>
          <w:p>
            <w:pPr>
              <w:spacing w:after="0"/>
              <w:rPr>
                <w:sz w:val="15"/>
                <w:szCs w:val="15"/>
                <w:color w:val="auto"/>
              </w:rPr>
            </w:pPr>
          </w:p>
        </w:tc>
        <w:tc>
          <w:tcPr>
            <w:tcW w:w="134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campaign</w:t>
            </w: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4"/>
        </w:trPr>
        <w:tc>
          <w:tcPr>
            <w:tcW w:w="60" w:type="dxa"/>
            <w:vAlign w:val="bottom"/>
          </w:tcPr>
          <w:p>
            <w:pPr>
              <w:spacing w:after="0"/>
              <w:rPr>
                <w:sz w:val="24"/>
                <w:szCs w:val="24"/>
                <w:color w:val="auto"/>
              </w:rPr>
            </w:pPr>
          </w:p>
        </w:tc>
        <w:tc>
          <w:tcPr>
            <w:tcW w:w="2720" w:type="dxa"/>
            <w:vAlign w:val="bottom"/>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Subsection 1.5, numeral 1 of Annex I</w:t>
            </w:r>
          </w:p>
        </w:tc>
        <w:tc>
          <w:tcPr>
            <w:tcW w:w="284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Subsection 1.5, numeral 1 of Annex I</w:t>
            </w:r>
          </w:p>
        </w:tc>
        <w:tc>
          <w:tcPr>
            <w:tcW w:w="27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Subsection 1.5, numeral 1 of Annex I</w:t>
            </w:r>
          </w:p>
        </w:tc>
        <w:tc>
          <w:tcPr>
            <w:tcW w:w="29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Subsection 1.5, numeral 1 of Annex I of</w:t>
            </w:r>
          </w:p>
        </w:tc>
        <w:tc>
          <w:tcPr>
            <w:tcW w:w="2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2720" w:type="dxa"/>
            <w:vAlign w:val="bottom"/>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of the Sanctions Regulation, </w:t>
            </w:r>
            <w:r>
              <w:rPr>
                <w:rFonts w:ascii="Times New Roman" w:cs="Times New Roman" w:eastAsia="Times New Roman" w:hAnsi="Times New Roman"/>
                <w:sz w:val="16"/>
                <w:szCs w:val="16"/>
                <w:color w:val="auto"/>
              </w:rPr>
              <w:t>approved</w:t>
            </w:r>
          </w:p>
        </w:tc>
        <w:tc>
          <w:tcPr>
            <w:tcW w:w="284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of the Sanctions Regulation</w:t>
            </w:r>
            <w:r>
              <w:rPr>
                <w:rFonts w:ascii="Times New Roman" w:cs="Times New Roman" w:eastAsia="Times New Roman" w:hAnsi="Times New Roman"/>
                <w:sz w:val="16"/>
                <w:szCs w:val="16"/>
                <w:color w:val="auto"/>
              </w:rPr>
              <w:t>, approved</w:t>
            </w:r>
          </w:p>
        </w:tc>
        <w:tc>
          <w:tcPr>
            <w:tcW w:w="27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of the Sanctions Regulation</w:t>
            </w:r>
            <w:r>
              <w:rPr>
                <w:rFonts w:ascii="Times New Roman" w:cs="Times New Roman" w:eastAsia="Times New Roman" w:hAnsi="Times New Roman"/>
                <w:sz w:val="16"/>
                <w:szCs w:val="16"/>
                <w:color w:val="auto"/>
              </w:rPr>
              <w:t>, approved</w:t>
            </w:r>
          </w:p>
        </w:tc>
        <w:tc>
          <w:tcPr>
            <w:tcW w:w="29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the Sanctions Regulation</w:t>
            </w:r>
            <w:r>
              <w:rPr>
                <w:rFonts w:ascii="Times New Roman" w:cs="Times New Roman" w:eastAsia="Times New Roman" w:hAnsi="Times New Roman"/>
                <w:sz w:val="16"/>
                <w:szCs w:val="16"/>
                <w:color w:val="auto"/>
              </w:rPr>
              <w:t>, approved by</w:t>
            </w:r>
          </w:p>
        </w:tc>
        <w:tc>
          <w:tcPr>
            <w:tcW w:w="20" w:type="dxa"/>
            <w:vAlign w:val="bottom"/>
          </w:tcPr>
          <w:p>
            <w:pPr>
              <w:spacing w:after="0"/>
              <w:rPr>
                <w:sz w:val="17"/>
                <w:szCs w:val="17"/>
                <w:color w:val="auto"/>
              </w:rPr>
            </w:pPr>
          </w:p>
        </w:tc>
      </w:tr>
      <w:tr>
        <w:trPr>
          <w:trHeight w:val="162"/>
        </w:trPr>
        <w:tc>
          <w:tcPr>
            <w:tcW w:w="60" w:type="dxa"/>
            <w:vAlign w:val="bottom"/>
          </w:tcPr>
          <w:p>
            <w:pPr>
              <w:spacing w:after="0"/>
              <w:rPr>
                <w:sz w:val="14"/>
                <w:szCs w:val="14"/>
                <w:color w:val="auto"/>
              </w:rPr>
            </w:pPr>
          </w:p>
        </w:tc>
        <w:tc>
          <w:tcPr>
            <w:tcW w:w="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by</w:t>
            </w:r>
          </w:p>
        </w:tc>
        <w:tc>
          <w:tcPr>
            <w:tcW w:w="940" w:type="dxa"/>
            <w:vAlign w:val="bottom"/>
            <w:gridSpan w:val="4"/>
          </w:tcPr>
          <w:p>
            <w:pPr>
              <w:ind w:left="40"/>
              <w:spacing w:after="0" w:line="162" w:lineRule="exact"/>
              <w:rPr>
                <w:sz w:val="20"/>
                <w:szCs w:val="20"/>
                <w:color w:val="auto"/>
              </w:rPr>
            </w:pPr>
            <w:r>
              <w:rPr>
                <w:rFonts w:ascii="Times New Roman" w:cs="Times New Roman" w:eastAsia="Times New Roman" w:hAnsi="Times New Roman"/>
                <w:sz w:val="16"/>
                <w:szCs w:val="16"/>
                <w:color w:val="auto"/>
              </w:rPr>
              <w:t>CONASEV</w:t>
            </w:r>
          </w:p>
        </w:tc>
        <w:tc>
          <w:tcPr>
            <w:tcW w:w="960" w:type="dxa"/>
            <w:vAlign w:val="bottom"/>
            <w:gridSpan w:val="3"/>
          </w:tcPr>
          <w:p>
            <w:pPr>
              <w:ind w:left="120"/>
              <w:spacing w:after="0" w:line="162" w:lineRule="exact"/>
              <w:rPr>
                <w:sz w:val="20"/>
                <w:szCs w:val="20"/>
                <w:color w:val="auto"/>
              </w:rPr>
            </w:pPr>
            <w:r>
              <w:rPr>
                <w:rFonts w:ascii="Times New Roman" w:cs="Times New Roman" w:eastAsia="Times New Roman" w:hAnsi="Times New Roman"/>
                <w:sz w:val="16"/>
                <w:szCs w:val="16"/>
                <w:color w:val="auto"/>
              </w:rPr>
              <w:t>Resolution</w:t>
            </w:r>
          </w:p>
        </w:tc>
        <w:tc>
          <w:tcPr>
            <w:tcW w:w="42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color w:val="auto"/>
              </w:rPr>
              <w:t>No.</w:t>
            </w:r>
          </w:p>
        </w:tc>
        <w:tc>
          <w:tcPr>
            <w:tcW w:w="44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color w:val="auto"/>
              </w:rPr>
              <w:t>by</w:t>
            </w:r>
          </w:p>
        </w:tc>
        <w:tc>
          <w:tcPr>
            <w:tcW w:w="104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6"/>
                <w:szCs w:val="16"/>
                <w:color w:val="auto"/>
              </w:rPr>
              <w:t>CONASEV</w:t>
            </w:r>
          </w:p>
        </w:tc>
        <w:tc>
          <w:tcPr>
            <w:tcW w:w="90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Resolution</w:t>
            </w:r>
          </w:p>
        </w:tc>
        <w:tc>
          <w:tcPr>
            <w:tcW w:w="4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by</w:t>
            </w:r>
          </w:p>
        </w:tc>
        <w:tc>
          <w:tcPr>
            <w:tcW w:w="10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6"/>
                <w:szCs w:val="16"/>
                <w:color w:val="auto"/>
              </w:rPr>
              <w:t>CONASEV</w:t>
            </w:r>
          </w:p>
        </w:tc>
        <w:tc>
          <w:tcPr>
            <w:tcW w:w="92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Resolution</w:t>
            </w:r>
          </w:p>
        </w:tc>
        <w:tc>
          <w:tcPr>
            <w:tcW w:w="4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No.</w:t>
            </w:r>
          </w:p>
        </w:tc>
        <w:tc>
          <w:tcPr>
            <w:tcW w:w="12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CONASEV</w:t>
            </w:r>
          </w:p>
        </w:tc>
        <w:tc>
          <w:tcPr>
            <w:tcW w:w="112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6"/>
                <w:szCs w:val="16"/>
                <w:color w:val="auto"/>
              </w:rPr>
              <w:t>Resolution</w:t>
            </w:r>
          </w:p>
        </w:tc>
        <w:tc>
          <w:tcPr>
            <w:tcW w:w="58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6"/>
                <w:szCs w:val="16"/>
                <w:color w:val="auto"/>
              </w:rPr>
              <w:t>No.</w:t>
            </w:r>
          </w:p>
        </w:tc>
        <w:tc>
          <w:tcPr>
            <w:tcW w:w="20" w:type="dxa"/>
            <w:vAlign w:val="bottom"/>
          </w:tcPr>
          <w:p>
            <w:pPr>
              <w:spacing w:after="0"/>
              <w:rPr>
                <w:sz w:val="14"/>
                <w:szCs w:val="14"/>
                <w:color w:val="auto"/>
              </w:rPr>
            </w:pPr>
          </w:p>
        </w:tc>
      </w:tr>
      <w:tr>
        <w:trPr>
          <w:trHeight w:val="194"/>
        </w:trPr>
        <w:tc>
          <w:tcPr>
            <w:tcW w:w="60" w:type="dxa"/>
            <w:vAlign w:val="bottom"/>
          </w:tcPr>
          <w:p>
            <w:pPr>
              <w:spacing w:after="0"/>
              <w:rPr>
                <w:sz w:val="16"/>
                <w:szCs w:val="16"/>
                <w:color w:val="auto"/>
              </w:rPr>
            </w:pPr>
          </w:p>
        </w:tc>
        <w:tc>
          <w:tcPr>
            <w:tcW w:w="2720" w:type="dxa"/>
            <w:vAlign w:val="bottom"/>
            <w:gridSpan w:val="10"/>
          </w:tcPr>
          <w:p>
            <w:pPr>
              <w:ind w:left="20"/>
              <w:spacing w:after="0" w:line="184" w:lineRule="exact"/>
              <w:rPr>
                <w:sz w:val="20"/>
                <w:szCs w:val="20"/>
                <w:color w:val="auto"/>
              </w:rPr>
            </w:pPr>
            <w:r>
              <w:rPr>
                <w:rFonts w:ascii="Times New Roman" w:cs="Times New Roman" w:eastAsia="Times New Roman" w:hAnsi="Times New Roman"/>
                <w:sz w:val="16"/>
                <w:szCs w:val="16"/>
                <w:color w:val="auto"/>
              </w:rPr>
              <w:t>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amended  by</w:t>
            </w:r>
          </w:p>
        </w:tc>
        <w:tc>
          <w:tcPr>
            <w:tcW w:w="2840" w:type="dxa"/>
            <w:vAlign w:val="bottom"/>
            <w:gridSpan w:val="7"/>
          </w:tcPr>
          <w:p>
            <w:pPr>
              <w:ind w:left="80"/>
              <w:spacing w:after="0" w:line="184" w:lineRule="exact"/>
              <w:rPr>
                <w:sz w:val="20"/>
                <w:szCs w:val="20"/>
                <w:color w:val="auto"/>
              </w:rPr>
            </w:pPr>
            <w:r>
              <w:rPr>
                <w:rFonts w:ascii="Times New Roman" w:cs="Times New Roman" w:eastAsia="Times New Roman" w:hAnsi="Times New Roman"/>
                <w:sz w:val="16"/>
                <w:szCs w:val="16"/>
                <w:color w:val="auto"/>
              </w:rPr>
              <w:t>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amended  by</w:t>
            </w:r>
          </w:p>
        </w:tc>
        <w:tc>
          <w:tcPr>
            <w:tcW w:w="2700" w:type="dxa"/>
            <w:vAlign w:val="bottom"/>
            <w:gridSpan w:val="6"/>
          </w:tcPr>
          <w:p>
            <w:pPr>
              <w:spacing w:after="0" w:line="184" w:lineRule="exact"/>
              <w:rPr>
                <w:sz w:val="20"/>
                <w:szCs w:val="20"/>
                <w:color w:val="auto"/>
              </w:rPr>
            </w:pPr>
            <w:r>
              <w:rPr>
                <w:rFonts w:ascii="Times New Roman" w:cs="Times New Roman" w:eastAsia="Times New Roman" w:hAnsi="Times New Roman"/>
                <w:sz w:val="16"/>
                <w:szCs w:val="16"/>
                <w:color w:val="auto"/>
              </w:rPr>
              <w:t>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amended  by</w:t>
            </w:r>
          </w:p>
        </w:tc>
        <w:tc>
          <w:tcPr>
            <w:tcW w:w="2920" w:type="dxa"/>
            <w:vAlign w:val="bottom"/>
            <w:gridSpan w:val="5"/>
          </w:tcPr>
          <w:p>
            <w:pPr>
              <w:ind w:left="60"/>
              <w:spacing w:after="0" w:line="184" w:lineRule="exact"/>
              <w:rPr>
                <w:sz w:val="20"/>
                <w:szCs w:val="20"/>
                <w:color w:val="auto"/>
              </w:rPr>
            </w:pPr>
            <w:r>
              <w:rPr>
                <w:rFonts w:ascii="Times New Roman" w:cs="Times New Roman" w:eastAsia="Times New Roman" w:hAnsi="Times New Roman"/>
                <w:sz w:val="16"/>
                <w:szCs w:val="16"/>
                <w:color w:val="auto"/>
              </w:rPr>
              <w:t>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amended by SMV</w:t>
            </w:r>
          </w:p>
        </w:tc>
        <w:tc>
          <w:tcPr>
            <w:tcW w:w="20" w:type="dxa"/>
            <w:vAlign w:val="bottom"/>
          </w:tcPr>
          <w:p>
            <w:pPr>
              <w:spacing w:after="0"/>
              <w:rPr>
                <w:sz w:val="16"/>
                <w:szCs w:val="16"/>
                <w:color w:val="auto"/>
              </w:rPr>
            </w:pPr>
          </w:p>
        </w:tc>
      </w:tr>
      <w:tr>
        <w:trPr>
          <w:trHeight w:val="194"/>
        </w:trPr>
        <w:tc>
          <w:tcPr>
            <w:tcW w:w="6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SMV</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Resolution</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7"/>
              </w:rPr>
              <w:t>SMV</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Resolution</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w w:val="97"/>
              </w:rPr>
              <w:t>SMV</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Resolution</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w:t>
            </w:r>
          </w:p>
        </w:tc>
        <w:tc>
          <w:tcPr>
            <w:tcW w:w="2920" w:type="dxa"/>
            <w:vAlign w:val="bottom"/>
            <w:gridSpan w:val="5"/>
          </w:tcPr>
          <w:p>
            <w:pPr>
              <w:ind w:left="60"/>
              <w:spacing w:after="0" w:line="184" w:lineRule="exact"/>
              <w:rPr>
                <w:sz w:val="20"/>
                <w:szCs w:val="20"/>
                <w:color w:val="auto"/>
              </w:rPr>
            </w:pPr>
            <w:r>
              <w:rPr>
                <w:rFonts w:ascii="Times New Roman" w:cs="Times New Roman" w:eastAsia="Times New Roman" w:hAnsi="Times New Roman"/>
                <w:sz w:val="16"/>
                <w:szCs w:val="16"/>
                <w:color w:val="auto"/>
              </w:rPr>
              <w:t>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in</w:t>
            </w:r>
          </w:p>
        </w:tc>
        <w:tc>
          <w:tcPr>
            <w:tcW w:w="20" w:type="dxa"/>
            <w:vAlign w:val="bottom"/>
          </w:tcPr>
          <w:p>
            <w:pPr>
              <w:spacing w:after="0"/>
              <w:rPr>
                <w:sz w:val="16"/>
                <w:szCs w:val="16"/>
                <w:color w:val="auto"/>
              </w:rPr>
            </w:pPr>
          </w:p>
        </w:tc>
      </w:tr>
      <w:tr>
        <w:trPr>
          <w:trHeight w:val="226"/>
        </w:trPr>
        <w:tc>
          <w:tcPr>
            <w:tcW w:w="60" w:type="dxa"/>
            <w:vAlign w:val="bottom"/>
          </w:tcPr>
          <w:p>
            <w:pPr>
              <w:spacing w:after="0"/>
              <w:rPr>
                <w:sz w:val="19"/>
                <w:szCs w:val="19"/>
                <w:color w:val="auto"/>
              </w:rPr>
            </w:pPr>
          </w:p>
        </w:tc>
        <w:tc>
          <w:tcPr>
            <w:tcW w:w="2720" w:type="dxa"/>
            <w:vAlign w:val="bottom"/>
            <w:gridSpan w:val="10"/>
          </w:tcPr>
          <w:p>
            <w:pPr>
              <w:ind w:left="20"/>
              <w:spacing w:after="0" w:line="184" w:lineRule="exact"/>
              <w:rPr>
                <w:sz w:val="20"/>
                <w:szCs w:val="20"/>
                <w:color w:val="auto"/>
              </w:rPr>
            </w:pPr>
            <w:r>
              <w:rPr>
                <w:rFonts w:ascii="Times New Roman" w:cs="Times New Roman" w:eastAsia="Times New Roman" w:hAnsi="Times New Roman"/>
                <w:sz w:val="16"/>
                <w:szCs w:val="16"/>
                <w:color w:val="auto"/>
              </w:rPr>
              <w:t>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in  force  at  the</w:t>
            </w:r>
          </w:p>
        </w:tc>
        <w:tc>
          <w:tcPr>
            <w:tcW w:w="2840" w:type="dxa"/>
            <w:vAlign w:val="bottom"/>
            <w:gridSpan w:val="7"/>
          </w:tcPr>
          <w:p>
            <w:pPr>
              <w:ind w:left="80"/>
              <w:spacing w:after="0" w:line="184" w:lineRule="exact"/>
              <w:rPr>
                <w:sz w:val="20"/>
                <w:szCs w:val="20"/>
                <w:color w:val="auto"/>
              </w:rPr>
            </w:pPr>
            <w:r>
              <w:rPr>
                <w:rFonts w:ascii="Times New Roman" w:cs="Times New Roman" w:eastAsia="Times New Roman" w:hAnsi="Times New Roman"/>
                <w:sz w:val="16"/>
                <w:szCs w:val="16"/>
                <w:color w:val="auto"/>
              </w:rPr>
              <w:t>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in  force  at  the</w:t>
            </w:r>
          </w:p>
        </w:tc>
        <w:tc>
          <w:tcPr>
            <w:tcW w:w="2700" w:type="dxa"/>
            <w:vAlign w:val="bottom"/>
            <w:gridSpan w:val="6"/>
          </w:tcPr>
          <w:p>
            <w:pPr>
              <w:spacing w:after="0" w:line="184" w:lineRule="exact"/>
              <w:rPr>
                <w:sz w:val="20"/>
                <w:szCs w:val="20"/>
                <w:color w:val="auto"/>
              </w:rPr>
            </w:pPr>
            <w:r>
              <w:rPr>
                <w:rFonts w:ascii="Times New Roman" w:cs="Times New Roman" w:eastAsia="Times New Roman" w:hAnsi="Times New Roman"/>
                <w:sz w:val="16"/>
                <w:szCs w:val="16"/>
                <w:color w:val="auto"/>
              </w:rPr>
              <w:t>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in  force  at  the</w:t>
            </w:r>
          </w:p>
        </w:tc>
        <w:tc>
          <w:tcPr>
            <w:tcW w:w="29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force at the beginning of the commission</w:t>
            </w:r>
          </w:p>
        </w:tc>
        <w:tc>
          <w:tcPr>
            <w:tcW w:w="20" w:type="dxa"/>
            <w:vAlign w:val="bottom"/>
          </w:tcPr>
          <w:p>
            <w:pPr>
              <w:spacing w:after="0"/>
              <w:rPr>
                <w:sz w:val="19"/>
                <w:szCs w:val="19"/>
                <w:color w:val="auto"/>
              </w:rPr>
            </w:pPr>
          </w:p>
        </w:tc>
      </w:tr>
      <w:tr>
        <w:trPr>
          <w:trHeight w:val="192"/>
        </w:trPr>
        <w:tc>
          <w:tcPr>
            <w:tcW w:w="60" w:type="dxa"/>
            <w:vAlign w:val="bottom"/>
          </w:tcPr>
          <w:p>
            <w:pPr>
              <w:spacing w:after="0"/>
              <w:rPr>
                <w:sz w:val="16"/>
                <w:szCs w:val="16"/>
                <w:color w:val="auto"/>
              </w:rPr>
            </w:pPr>
          </w:p>
        </w:tc>
        <w:tc>
          <w:tcPr>
            <w:tcW w:w="272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beginning  of  the  commission  of  the</w:t>
            </w:r>
          </w:p>
        </w:tc>
        <w:tc>
          <w:tcPr>
            <w:tcW w:w="2840" w:type="dxa"/>
            <w:vAlign w:val="bottom"/>
            <w:gridSpan w:val="7"/>
          </w:tcPr>
          <w:p>
            <w:pPr>
              <w:ind w:left="80"/>
              <w:spacing w:after="0"/>
              <w:rPr>
                <w:sz w:val="20"/>
                <w:szCs w:val="20"/>
                <w:color w:val="auto"/>
              </w:rPr>
            </w:pPr>
            <w:r>
              <w:rPr>
                <w:rFonts w:ascii="Times New Roman" w:cs="Times New Roman" w:eastAsia="Times New Roman" w:hAnsi="Times New Roman"/>
                <w:sz w:val="16"/>
                <w:szCs w:val="16"/>
                <w:color w:val="auto"/>
              </w:rPr>
              <w:t>beginning  of  the  commission  of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beginning  of  the  commission  of  the</w:t>
            </w:r>
          </w:p>
        </w:tc>
        <w:tc>
          <w:tcPr>
            <w:tcW w:w="29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of the infraction, which establishes as a</w:t>
            </w:r>
          </w:p>
        </w:tc>
        <w:tc>
          <w:tcPr>
            <w:tcW w:w="20" w:type="dxa"/>
            <w:vAlign w:val="bottom"/>
          </w:tcPr>
          <w:p>
            <w:pPr>
              <w:spacing w:after="0"/>
              <w:rPr>
                <w:sz w:val="16"/>
                <w:szCs w:val="16"/>
                <w:color w:val="auto"/>
              </w:rPr>
            </w:pPr>
          </w:p>
        </w:tc>
      </w:tr>
      <w:tr>
        <w:trPr>
          <w:trHeight w:val="194"/>
        </w:trPr>
        <w:tc>
          <w:tcPr>
            <w:tcW w:w="60" w:type="dxa"/>
            <w:vAlign w:val="bottom"/>
          </w:tcPr>
          <w:p>
            <w:pPr>
              <w:spacing w:after="0"/>
              <w:rPr>
                <w:sz w:val="16"/>
                <w:szCs w:val="16"/>
                <w:color w:val="auto"/>
              </w:rPr>
            </w:pPr>
          </w:p>
        </w:tc>
        <w:tc>
          <w:tcPr>
            <w:tcW w:w="272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infraction, which establishes as a very</w:t>
            </w:r>
          </w:p>
        </w:tc>
        <w:tc>
          <w:tcPr>
            <w:tcW w:w="2840" w:type="dxa"/>
            <w:vAlign w:val="bottom"/>
            <w:gridSpan w:val="7"/>
          </w:tcPr>
          <w:p>
            <w:pPr>
              <w:ind w:left="80"/>
              <w:spacing w:after="0"/>
              <w:rPr>
                <w:sz w:val="20"/>
                <w:szCs w:val="20"/>
                <w:color w:val="auto"/>
              </w:rPr>
            </w:pPr>
            <w:r>
              <w:rPr>
                <w:rFonts w:ascii="Times New Roman" w:cs="Times New Roman" w:eastAsia="Times New Roman" w:hAnsi="Times New Roman"/>
                <w:sz w:val="16"/>
                <w:szCs w:val="16"/>
                <w:color w:val="auto"/>
              </w:rPr>
              <w:t>infraction, which establishes as a very</w:t>
            </w:r>
          </w:p>
        </w:tc>
        <w:tc>
          <w:tcPr>
            <w:tcW w:w="27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infraction, which establishes as a very</w:t>
            </w:r>
          </w:p>
        </w:tc>
        <w:tc>
          <w:tcPr>
            <w:tcW w:w="29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 xml:space="preserve">very serious infraction: </w:t>
            </w:r>
            <w:r>
              <w:rPr>
                <w:rFonts w:ascii="Times New Roman" w:cs="Times New Roman" w:eastAsia="Times New Roman" w:hAnsi="Times New Roman"/>
                <w:sz w:val="16"/>
                <w:szCs w:val="16"/>
                <w:i w:val="1"/>
                <w:iCs w:val="1"/>
                <w:color w:val="auto"/>
              </w:rPr>
              <w:t>“Carrying out any</w:t>
            </w:r>
          </w:p>
        </w:tc>
        <w:tc>
          <w:tcPr>
            <w:tcW w:w="20" w:type="dxa"/>
            <w:vAlign w:val="bottom"/>
          </w:tcPr>
          <w:p>
            <w:pPr>
              <w:spacing w:after="0"/>
              <w:rPr>
                <w:sz w:val="16"/>
                <w:szCs w:val="16"/>
                <w:color w:val="auto"/>
              </w:rPr>
            </w:pPr>
          </w:p>
        </w:tc>
      </w:tr>
      <w:tr>
        <w:trPr>
          <w:trHeight w:val="194"/>
        </w:trPr>
        <w:tc>
          <w:tcPr>
            <w:tcW w:w="60" w:type="dxa"/>
            <w:vAlign w:val="bottom"/>
          </w:tcPr>
          <w:p>
            <w:pPr>
              <w:spacing w:after="0"/>
              <w:rPr>
                <w:sz w:val="16"/>
                <w:szCs w:val="16"/>
                <w:color w:val="auto"/>
              </w:rPr>
            </w:pPr>
          </w:p>
        </w:tc>
        <w:tc>
          <w:tcPr>
            <w:tcW w:w="272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rPr>
              <w:t xml:space="preserve">serious infraction: </w:t>
            </w:r>
            <w:r>
              <w:rPr>
                <w:rFonts w:ascii="Times New Roman" w:cs="Times New Roman" w:eastAsia="Times New Roman" w:hAnsi="Times New Roman"/>
                <w:sz w:val="16"/>
                <w:szCs w:val="16"/>
                <w:i w:val="1"/>
                <w:iCs w:val="1"/>
                <w:color w:val="auto"/>
              </w:rPr>
              <w:t>“Carrying out any</w:t>
            </w:r>
          </w:p>
        </w:tc>
        <w:tc>
          <w:tcPr>
            <w:tcW w:w="2840" w:type="dxa"/>
            <w:vAlign w:val="bottom"/>
            <w:gridSpan w:val="7"/>
          </w:tcPr>
          <w:p>
            <w:pPr>
              <w:ind w:left="80"/>
              <w:spacing w:after="0"/>
              <w:rPr>
                <w:sz w:val="20"/>
                <w:szCs w:val="20"/>
                <w:color w:val="auto"/>
              </w:rPr>
            </w:pPr>
            <w:r>
              <w:rPr>
                <w:rFonts w:ascii="Times New Roman" w:cs="Times New Roman" w:eastAsia="Times New Roman" w:hAnsi="Times New Roman"/>
                <w:sz w:val="16"/>
                <w:szCs w:val="16"/>
                <w:color w:val="auto"/>
              </w:rPr>
              <w:t xml:space="preserve">serious infraction: </w:t>
            </w:r>
            <w:r>
              <w:rPr>
                <w:rFonts w:ascii="Times New Roman" w:cs="Times New Roman" w:eastAsia="Times New Roman" w:hAnsi="Times New Roman"/>
                <w:sz w:val="16"/>
                <w:szCs w:val="16"/>
                <w:i w:val="1"/>
                <w:iCs w:val="1"/>
                <w:color w:val="auto"/>
              </w:rPr>
              <w:t>“Carrying out any</w:t>
            </w:r>
          </w:p>
        </w:tc>
        <w:tc>
          <w:tcPr>
            <w:tcW w:w="27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 xml:space="preserve">serious infraction: </w:t>
            </w:r>
            <w:r>
              <w:rPr>
                <w:rFonts w:ascii="Times New Roman" w:cs="Times New Roman" w:eastAsia="Times New Roman" w:hAnsi="Times New Roman"/>
                <w:sz w:val="16"/>
                <w:szCs w:val="16"/>
                <w:i w:val="1"/>
                <w:iCs w:val="1"/>
                <w:color w:val="auto"/>
              </w:rPr>
              <w:t>“Carrying out any</w:t>
            </w:r>
          </w:p>
        </w:tc>
        <w:tc>
          <w:tcPr>
            <w:tcW w:w="2920" w:type="dxa"/>
            <w:vAlign w:val="bottom"/>
            <w:gridSpan w:val="5"/>
          </w:tcPr>
          <w:p>
            <w:pPr>
              <w:ind w:left="60"/>
              <w:spacing w:after="0"/>
              <w:rPr>
                <w:sz w:val="20"/>
                <w:szCs w:val="20"/>
                <w:color w:val="auto"/>
              </w:rPr>
            </w:pPr>
            <w:r>
              <w:rPr>
                <w:rFonts w:ascii="Times New Roman" w:cs="Times New Roman" w:eastAsia="Times New Roman" w:hAnsi="Times New Roman"/>
                <w:sz w:val="16"/>
                <w:szCs w:val="16"/>
                <w:i w:val="1"/>
                <w:iCs w:val="1"/>
                <w:color w:val="auto"/>
              </w:rPr>
              <w:t>act, omission, practice or conduct that</w:t>
            </w:r>
          </w:p>
        </w:tc>
        <w:tc>
          <w:tcPr>
            <w:tcW w:w="20" w:type="dxa"/>
            <w:vAlign w:val="bottom"/>
          </w:tcPr>
          <w:p>
            <w:pPr>
              <w:spacing w:after="0"/>
              <w:rPr>
                <w:sz w:val="16"/>
                <w:szCs w:val="16"/>
                <w:color w:val="auto"/>
              </w:rPr>
            </w:pPr>
          </w:p>
        </w:tc>
      </w:tr>
      <w:tr>
        <w:trPr>
          <w:trHeight w:val="194"/>
        </w:trPr>
        <w:tc>
          <w:tcPr>
            <w:tcW w:w="60" w:type="dxa"/>
            <w:vAlign w:val="bottom"/>
          </w:tcPr>
          <w:p>
            <w:pPr>
              <w:spacing w:after="0"/>
              <w:rPr>
                <w:sz w:val="16"/>
                <w:szCs w:val="16"/>
                <w:color w:val="auto"/>
              </w:rPr>
            </w:pPr>
          </w:p>
        </w:tc>
        <w:tc>
          <w:tcPr>
            <w:tcW w:w="2720" w:type="dxa"/>
            <w:vAlign w:val="bottom"/>
            <w:gridSpan w:val="10"/>
          </w:tcPr>
          <w:p>
            <w:pPr>
              <w:ind w:left="20"/>
              <w:spacing w:after="0"/>
              <w:rPr>
                <w:sz w:val="20"/>
                <w:szCs w:val="20"/>
                <w:color w:val="auto"/>
              </w:rPr>
            </w:pPr>
            <w:r>
              <w:rPr>
                <w:rFonts w:ascii="Times New Roman" w:cs="Times New Roman" w:eastAsia="Times New Roman" w:hAnsi="Times New Roman"/>
                <w:sz w:val="16"/>
                <w:szCs w:val="16"/>
                <w:i w:val="1"/>
                <w:iCs w:val="1"/>
                <w:color w:val="auto"/>
              </w:rPr>
              <w:t>act, omission, practice or conduct that</w:t>
            </w:r>
          </w:p>
        </w:tc>
        <w:tc>
          <w:tcPr>
            <w:tcW w:w="2840" w:type="dxa"/>
            <w:vAlign w:val="bottom"/>
            <w:gridSpan w:val="7"/>
          </w:tcPr>
          <w:p>
            <w:pPr>
              <w:ind w:left="80"/>
              <w:spacing w:after="0"/>
              <w:rPr>
                <w:sz w:val="20"/>
                <w:szCs w:val="20"/>
                <w:color w:val="auto"/>
              </w:rPr>
            </w:pPr>
            <w:r>
              <w:rPr>
                <w:rFonts w:ascii="Times New Roman" w:cs="Times New Roman" w:eastAsia="Times New Roman" w:hAnsi="Times New Roman"/>
                <w:sz w:val="16"/>
                <w:szCs w:val="16"/>
                <w:i w:val="1"/>
                <w:iCs w:val="1"/>
                <w:color w:val="auto"/>
              </w:rPr>
              <w:t>act, omission, practice or conduct that</w:t>
            </w:r>
          </w:p>
        </w:tc>
        <w:tc>
          <w:tcPr>
            <w:tcW w:w="2700" w:type="dxa"/>
            <w:vAlign w:val="bottom"/>
            <w:gridSpan w:val="6"/>
          </w:tcPr>
          <w:p>
            <w:pPr>
              <w:spacing w:after="0"/>
              <w:rPr>
                <w:sz w:val="20"/>
                <w:szCs w:val="20"/>
                <w:color w:val="auto"/>
              </w:rPr>
            </w:pPr>
            <w:r>
              <w:rPr>
                <w:rFonts w:ascii="Times New Roman" w:cs="Times New Roman" w:eastAsia="Times New Roman" w:hAnsi="Times New Roman"/>
                <w:sz w:val="16"/>
                <w:szCs w:val="16"/>
                <w:i w:val="1"/>
                <w:iCs w:val="1"/>
                <w:color w:val="auto"/>
              </w:rPr>
              <w:t>act, omission, practice or conduct that</w:t>
            </w:r>
          </w:p>
        </w:tc>
        <w:tc>
          <w:tcPr>
            <w:tcW w:w="2920" w:type="dxa"/>
            <w:vAlign w:val="bottom"/>
            <w:gridSpan w:val="5"/>
          </w:tcPr>
          <w:p>
            <w:pPr>
              <w:ind w:left="60"/>
              <w:spacing w:after="0"/>
              <w:rPr>
                <w:sz w:val="20"/>
                <w:szCs w:val="20"/>
                <w:color w:val="auto"/>
              </w:rPr>
            </w:pPr>
            <w:r>
              <w:rPr>
                <w:rFonts w:ascii="Times New Roman" w:cs="Times New Roman" w:eastAsia="Times New Roman" w:hAnsi="Times New Roman"/>
                <w:sz w:val="16"/>
                <w:szCs w:val="16"/>
                <w:i w:val="1"/>
                <w:iCs w:val="1"/>
                <w:color w:val="auto"/>
              </w:rPr>
              <w:t>undermines the integrity or transparency</w:t>
            </w:r>
          </w:p>
        </w:tc>
        <w:tc>
          <w:tcPr>
            <w:tcW w:w="20" w:type="dxa"/>
            <w:vAlign w:val="bottom"/>
          </w:tcPr>
          <w:p>
            <w:pPr>
              <w:spacing w:after="0"/>
              <w:rPr>
                <w:sz w:val="16"/>
                <w:szCs w:val="16"/>
                <w:color w:val="auto"/>
              </w:rPr>
            </w:pPr>
          </w:p>
        </w:tc>
      </w:tr>
      <w:tr>
        <w:trPr>
          <w:trHeight w:val="194"/>
        </w:trPr>
        <w:tc>
          <w:tcPr>
            <w:tcW w:w="60" w:type="dxa"/>
            <w:vAlign w:val="bottom"/>
          </w:tcPr>
          <w:p>
            <w:pPr>
              <w:spacing w:after="0"/>
              <w:rPr>
                <w:sz w:val="16"/>
                <w:szCs w:val="16"/>
                <w:color w:val="auto"/>
              </w:rPr>
            </w:pPr>
          </w:p>
        </w:tc>
        <w:tc>
          <w:tcPr>
            <w:tcW w:w="2720" w:type="dxa"/>
            <w:vAlign w:val="bottom"/>
            <w:gridSpan w:val="10"/>
          </w:tcPr>
          <w:p>
            <w:pPr>
              <w:ind w:left="20"/>
              <w:spacing w:after="0"/>
              <w:rPr>
                <w:sz w:val="20"/>
                <w:szCs w:val="20"/>
                <w:color w:val="auto"/>
              </w:rPr>
            </w:pPr>
            <w:r>
              <w:rPr>
                <w:rFonts w:ascii="Times New Roman" w:cs="Times New Roman" w:eastAsia="Times New Roman" w:hAnsi="Times New Roman"/>
                <w:sz w:val="16"/>
                <w:szCs w:val="16"/>
                <w:i w:val="1"/>
                <w:iCs w:val="1"/>
                <w:color w:val="auto"/>
              </w:rPr>
              <w:t>undermines the integrity or transparency</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6"/>
                <w:szCs w:val="16"/>
                <w:i w:val="1"/>
                <w:iCs w:val="1"/>
                <w:color w:val="auto"/>
              </w:rPr>
              <w:t>undermines</w:t>
            </w:r>
          </w:p>
        </w:tc>
        <w:tc>
          <w:tcPr>
            <w:tcW w:w="60" w:type="dxa"/>
            <w:vAlign w:val="bottom"/>
          </w:tcPr>
          <w:p>
            <w:pPr>
              <w:spacing w:after="0"/>
              <w:rPr>
                <w:sz w:val="16"/>
                <w:szCs w:val="16"/>
                <w:color w:val="auto"/>
              </w:rPr>
            </w:pPr>
          </w:p>
        </w:tc>
        <w:tc>
          <w:tcPr>
            <w:tcW w:w="5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the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integrity</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or</w:t>
            </w:r>
          </w:p>
        </w:tc>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undermines</w:t>
            </w:r>
          </w:p>
        </w:tc>
        <w:tc>
          <w:tcPr>
            <w:tcW w:w="40" w:type="dxa"/>
            <w:vAlign w:val="bottom"/>
          </w:tcPr>
          <w:p>
            <w:pPr>
              <w:spacing w:after="0"/>
              <w:rPr>
                <w:sz w:val="16"/>
                <w:szCs w:val="16"/>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the</w:t>
            </w:r>
          </w:p>
        </w:tc>
        <w:tc>
          <w:tcPr>
            <w:tcW w:w="920" w:type="dxa"/>
            <w:vAlign w:val="bottom"/>
          </w:tcPr>
          <w:p>
            <w:pPr>
              <w:ind w:left="260"/>
              <w:spacing w:after="0"/>
              <w:rPr>
                <w:sz w:val="20"/>
                <w:szCs w:val="20"/>
                <w:color w:val="auto"/>
              </w:rPr>
            </w:pPr>
            <w:r>
              <w:rPr>
                <w:rFonts w:ascii="Times New Roman" w:cs="Times New Roman" w:eastAsia="Times New Roman" w:hAnsi="Times New Roman"/>
                <w:sz w:val="16"/>
                <w:szCs w:val="16"/>
                <w:i w:val="1"/>
                <w:iCs w:val="1"/>
                <w:color w:val="auto"/>
              </w:rPr>
              <w:t>integrity</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or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of the market.”</w:t>
            </w: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60" w:type="dxa"/>
            <w:vAlign w:val="bottom"/>
          </w:tcPr>
          <w:p>
            <w:pPr>
              <w:spacing w:after="0"/>
              <w:rPr>
                <w:sz w:val="18"/>
                <w:szCs w:val="18"/>
                <w:color w:val="auto"/>
              </w:rPr>
            </w:pP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6"/>
                <w:szCs w:val="16"/>
                <w:i w:val="1"/>
                <w:iCs w:val="1"/>
                <w:color w:val="auto"/>
              </w:rPr>
              <w:t>of the market.”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gridSpan w:val="6"/>
          </w:tcPr>
          <w:p>
            <w:pPr>
              <w:ind w:left="80"/>
              <w:spacing w:after="0"/>
              <w:rPr>
                <w:sz w:val="20"/>
                <w:szCs w:val="20"/>
                <w:color w:val="auto"/>
              </w:rPr>
            </w:pPr>
            <w:r>
              <w:rPr>
                <w:rFonts w:ascii="Times New Roman" w:cs="Times New Roman" w:eastAsia="Times New Roman" w:hAnsi="Times New Roman"/>
                <w:sz w:val="16"/>
                <w:szCs w:val="16"/>
                <w:i w:val="1"/>
                <w:iCs w:val="1"/>
                <w:color w:val="auto"/>
              </w:rPr>
              <w:t>transparency of the market.”</w:t>
            </w:r>
          </w:p>
        </w:tc>
        <w:tc>
          <w:tcPr>
            <w:tcW w:w="460" w:type="dxa"/>
            <w:vAlign w:val="bottom"/>
          </w:tcPr>
          <w:p>
            <w:pPr>
              <w:spacing w:after="0"/>
              <w:rPr>
                <w:sz w:val="18"/>
                <w:szCs w:val="18"/>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6"/>
                <w:szCs w:val="16"/>
                <w:i w:val="1"/>
                <w:iCs w:val="1"/>
                <w:color w:val="auto"/>
              </w:rPr>
              <w:t>transparency of the market.”</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2"/>
        </w:trPr>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23" w:right="319" w:bottom="1440" w:gutter="0" w:footer="0" w:header="0"/>
        </w:sectPr>
      </w:pPr>
    </w:p>
    <w:bookmarkStart w:id="104" w:name="page105"/>
    <w:bookmarkEnd w:id="104"/>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From the above, it is evident that the administrative sanctioning proceedings initiated against the Issuer are different from those initiated against BCP, PACÍFICO and MIBANCO. The Issuer was charged for failing to disclose the </w:t>
      </w:r>
      <w:r>
        <w:rPr>
          <w:rFonts w:ascii="Times New Roman" w:cs="Times New Roman" w:eastAsia="Times New Roman" w:hAnsi="Times New Roman"/>
          <w:sz w:val="16"/>
          <w:szCs w:val="16"/>
          <w:b w:val="1"/>
          <w:bCs w:val="1"/>
          <w:u w:val="single" w:color="auto"/>
          <w:color w:val="auto"/>
        </w:rPr>
        <w:t>agreement</w:t>
      </w:r>
      <w:r>
        <w:rPr>
          <w:rFonts w:ascii="Times New Roman" w:cs="Times New Roman" w:eastAsia="Times New Roman" w:hAnsi="Times New Roman"/>
          <w:sz w:val="16"/>
          <w:szCs w:val="16"/>
          <w:color w:val="auto"/>
        </w:rPr>
        <w:t xml:space="preserve"> whereby its subsidiaries would make contributions to the political party </w:t>
      </w:r>
      <w:r>
        <w:rPr>
          <w:rFonts w:ascii="Times New Roman" w:cs="Times New Roman" w:eastAsia="Times New Roman" w:hAnsi="Times New Roman"/>
          <w:sz w:val="16"/>
          <w:szCs w:val="16"/>
          <w:b w:val="1"/>
          <w:bCs w:val="1"/>
          <w:color w:val="auto"/>
        </w:rPr>
        <w:t>PERUANOS POR EL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KAMBIO</w:t>
      </w:r>
      <w:r>
        <w:rPr>
          <w:rFonts w:ascii="Times New Roman" w:cs="Times New Roman" w:eastAsia="Times New Roman" w:hAnsi="Times New Roman"/>
          <w:sz w:val="16"/>
          <w:szCs w:val="16"/>
          <w:color w:val="auto"/>
        </w:rPr>
        <w:t>; the subsidiaries, in turn, were charged for failing to disclose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contributions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of them made in favor of that political party. Thus, although these conducts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fall under the same infraction type, this does not imply a lack of reasonableness or proportionality in initiating four (4) separate administrative sanctioning proceedings.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Consequently, these constitute four distinct acts, individually carried out by each of these issuers of securities, and each one was obligated to inform the market at the time the relevant event took place. Instead, they concealed the information, failed to act in favor of market transparency, and thereby failed to comply with their duty to disclose.</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A second issue raised by the Issuer concerns its reference to numeral 251.2, Article 251 of the TUO of the LPAG, which states: “</w:t>
      </w:r>
      <w:r>
        <w:rPr>
          <w:rFonts w:ascii="Times New Roman" w:cs="Times New Roman" w:eastAsia="Times New Roman" w:hAnsi="Times New Roman"/>
          <w:sz w:val="16"/>
          <w:szCs w:val="16"/>
          <w:i w:val="1"/>
          <w:iCs w:val="1"/>
          <w:color w:val="auto"/>
        </w:rPr>
        <w:t>When the fulfillment of obligations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established by a legal provision corresponds jointly to several persons, they shall be jointly liable for any infractions committed and for the sanctions imposed</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Regarding this, the following must be noted: It is necessary to review administrative law doctrine on joint liability. Our administrative legal system is inspired by Article 130.3 of Spanish Law 30/1992 on the Legal Regime of Public Administrations and Common Administrative Procedure, which established: “</w:t>
      </w:r>
      <w:r>
        <w:rPr>
          <w:rFonts w:ascii="Times New Roman" w:cs="Times New Roman" w:eastAsia="Times New Roman" w:hAnsi="Times New Roman"/>
          <w:sz w:val="16"/>
          <w:szCs w:val="16"/>
          <w:i w:val="1"/>
          <w:iCs w:val="1"/>
          <w:color w:val="auto"/>
        </w:rPr>
        <w:t>When the fulfillment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obligations established in a legal provision corresponds jointly to several persons, they shall be jointly liable for the infractions committed and the sanctions imposed</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Although Law 30/1992 was later repealed by Laws 39/2015 and 40/2015, the latter reproduced the concept of joint liability. Article 28.3 of Law 40/2015 states: “</w:t>
      </w:r>
      <w:r>
        <w:rPr>
          <w:rFonts w:ascii="Times New Roman" w:cs="Times New Roman" w:eastAsia="Times New Roman" w:hAnsi="Times New Roman"/>
          <w:sz w:val="16"/>
          <w:szCs w:val="16"/>
          <w:i w:val="1"/>
          <w:iCs w:val="1"/>
          <w:color w:val="auto"/>
        </w:rPr>
        <w:t>When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legal obligation corresponds jointly to several persons, they shall be jointly liable for any infractions committed and for the sanctions imposed. </w:t>
      </w:r>
      <w:r>
        <w:rPr>
          <w:rFonts w:ascii="Times New Roman" w:cs="Times New Roman" w:eastAsia="Times New Roman" w:hAnsi="Times New Roman"/>
          <w:sz w:val="16"/>
          <w:szCs w:val="16"/>
          <w:i w:val="1"/>
          <w:iCs w:val="1"/>
          <w:u w:val="single" w:color="auto"/>
          <w:color w:val="auto"/>
        </w:rPr>
        <w:t>However, when the sanction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is pecuniary and possible, it shall be individualized based on each party’s degree of participation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201930</wp:posOffset>
            </wp:positionV>
            <wp:extent cx="7146290"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5" w:name="page106"/>
    <w:bookmarkEnd w:id="105"/>
    <w:p>
      <w:pPr>
        <w:jc w:val="both"/>
        <w:ind w:left="3"/>
        <w:spacing w:after="0" w:line="218" w:lineRule="auto"/>
        <w:rPr>
          <w:sz w:val="20"/>
          <w:szCs w:val="20"/>
          <w:color w:val="auto"/>
        </w:rPr>
      </w:pPr>
      <w:r>
        <w:rPr>
          <w:rFonts w:ascii="Times New Roman" w:cs="Times New Roman" w:eastAsia="Times New Roman" w:hAnsi="Times New Roman"/>
          <w:sz w:val="16"/>
          <w:szCs w:val="16"/>
          <w:color w:val="auto"/>
        </w:rPr>
        <w:t xml:space="preserve">Thus, in response to the Issuer’s claim, it must be clarified that </w:t>
      </w:r>
      <w:r>
        <w:rPr>
          <w:rFonts w:ascii="Times New Roman" w:cs="Times New Roman" w:eastAsia="Times New Roman" w:hAnsi="Times New Roman"/>
          <w:sz w:val="16"/>
          <w:szCs w:val="16"/>
          <w:i w:val="1"/>
          <w:iCs w:val="1"/>
          <w:color w:val="auto"/>
        </w:rPr>
        <w:t>in some cases sectoral sanctioning laws establish the simultaneous liability of several parties for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commission of an administrative infraction</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58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is, joint liability in Peruvian regulation applies when a single infraction is committed by more than one person, generally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by a legal entity and its management bodies. As GÓMEZ TOMILLO and SANZ RUBIALES note, </w:t>
      </w:r>
      <w:r>
        <w:rPr>
          <w:rFonts w:ascii="Times New Roman" w:cs="Times New Roman" w:eastAsia="Times New Roman" w:hAnsi="Times New Roman"/>
          <w:sz w:val="16"/>
          <w:szCs w:val="16"/>
          <w:i w:val="1"/>
          <w:iCs w:val="1"/>
          <w:color w:val="auto"/>
        </w:rPr>
        <w:t>imposing sanctions on both the legal entity and its directors—whether 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jure or de facto—makes full sense for general deterrence purposes: preventing individuals, shielded behind corporate liability, from being incentivized to commit acts sanctioned by law.</w:t>
      </w:r>
      <w:r>
        <w:rPr>
          <w:rFonts w:ascii="Times New Roman" w:cs="Times New Roman" w:eastAsia="Times New Roman" w:hAnsi="Times New Roman"/>
          <w:sz w:val="26"/>
          <w:szCs w:val="26"/>
          <w:color w:val="auto"/>
          <w:vertAlign w:val="superscript"/>
        </w:rPr>
        <w:t>59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Moreover, these authors point out that</w:t>
      </w:r>
      <w:r>
        <w:rPr>
          <w:rFonts w:ascii="Times New Roman" w:cs="Times New Roman" w:eastAsia="Times New Roman" w:hAnsi="Times New Roman"/>
          <w:sz w:val="16"/>
          <w:szCs w:val="16"/>
          <w:i w:val="1"/>
          <w:iCs w:val="1"/>
          <w:color w:val="auto"/>
        </w:rPr>
        <w:t xml:space="preserve"> joint liability applies when the legal entity—or its director—has contributed to endangering the protected legal interest</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60</w:t>
      </w:r>
    </w:p>
    <w:p>
      <w:pPr>
        <w:spacing w:after="0" w:line="46" w:lineRule="exact"/>
        <w:rPr>
          <w:sz w:val="20"/>
          <w:szCs w:val="20"/>
          <w:color w:val="auto"/>
        </w:rPr>
      </w:pPr>
    </w:p>
    <w:p>
      <w:pPr>
        <w:jc w:val="both"/>
        <w:ind w:left="3"/>
        <w:spacing w:after="0" w:line="225" w:lineRule="exact"/>
        <w:rPr>
          <w:sz w:val="20"/>
          <w:szCs w:val="20"/>
          <w:color w:val="auto"/>
        </w:rPr>
      </w:pPr>
      <w:r>
        <w:rPr>
          <w:rFonts w:ascii="Times New Roman" w:cs="Times New Roman" w:eastAsia="Times New Roman" w:hAnsi="Times New Roman"/>
          <w:sz w:val="16"/>
          <w:szCs w:val="16"/>
          <w:color w:val="auto"/>
        </w:rPr>
        <w:t>Based on what has been stated above, it may be deduced that the joint liability referred to in numeral 251.2, Article 251 of the TUO of the LPAG, invoked by the Issuer, does not apply, since—as shown in the preceding table—the same charge has not been brought against the legal entity and its governing bodies or administrators. For example, the Issuer was not charged jointly with its Board of Directors or its managers for the same infraction, whether as co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perpetrators, instigators or participants. As GÓMEZ TOMILLO and SANZ RUBIALES point out, </w:t>
      </w:r>
      <w:r>
        <w:rPr>
          <w:rFonts w:ascii="Times New Roman" w:cs="Times New Roman" w:eastAsia="Times New Roman" w:hAnsi="Times New Roman"/>
          <w:sz w:val="16"/>
          <w:szCs w:val="16"/>
          <w:i w:val="1"/>
          <w:iCs w:val="1"/>
          <w:color w:val="auto"/>
        </w:rPr>
        <w:t>any form of cooperation in the commission of the infraction would be sufficient to hold a natural person liable jointly with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legal entity</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61</w:t>
      </w:r>
    </w:p>
    <w:p>
      <w:pPr>
        <w:spacing w:after="0" w:line="44" w:lineRule="exact"/>
        <w:rPr>
          <w:sz w:val="20"/>
          <w:szCs w:val="20"/>
          <w:color w:val="auto"/>
        </w:rPr>
      </w:pPr>
    </w:p>
    <w:p>
      <w:pPr>
        <w:jc w:val="both"/>
        <w:ind w:left="3"/>
        <w:spacing w:after="0" w:line="260" w:lineRule="auto"/>
        <w:rPr>
          <w:sz w:val="20"/>
          <w:szCs w:val="20"/>
          <w:color w:val="auto"/>
        </w:rPr>
      </w:pPr>
      <w:r>
        <w:rPr>
          <w:rFonts w:ascii="Times New Roman" w:cs="Times New Roman" w:eastAsia="Times New Roman" w:hAnsi="Times New Roman"/>
          <w:sz w:val="16"/>
          <w:szCs w:val="16"/>
          <w:color w:val="auto"/>
        </w:rPr>
        <w:t xml:space="preserve">In these cases, charges were brought only against legal persons, namely the Issuer, BCP, PACÍFICO and MIBANCO. Although the latter three are subsidiaries of the Issuer, they are distinct legal entities, and each has obligations toward the market that must be fulfilled individually as required by regulation. Accordingly, it must be reiterated that the administrative sanctioning proceedings initiated against the Issuer are different from those initiated against BCP, PACÍFICO and MIBANCO. The Issuer was charged for failing to disclose, in due time, the </w:t>
      </w:r>
      <w:r>
        <w:rPr>
          <w:rFonts w:ascii="Times New Roman" w:cs="Times New Roman" w:eastAsia="Times New Roman" w:hAnsi="Times New Roman"/>
          <w:sz w:val="16"/>
          <w:szCs w:val="16"/>
          <w:b w:val="1"/>
          <w:bCs w:val="1"/>
          <w:u w:val="single" w:color="auto"/>
          <w:color w:val="auto"/>
        </w:rPr>
        <w:t>agreement</w:t>
      </w:r>
      <w:r>
        <w:rPr>
          <w:rFonts w:ascii="Times New Roman" w:cs="Times New Roman" w:eastAsia="Times New Roman" w:hAnsi="Times New Roman"/>
          <w:sz w:val="16"/>
          <w:szCs w:val="16"/>
          <w:color w:val="auto"/>
        </w:rPr>
        <w:t xml:space="preserve"> whereby its subsidiaries would make contributions to the political party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xml:space="preserve">; while each subsidiary was charged for failing to disclose the </w:t>
      </w:r>
      <w:r>
        <w:rPr>
          <w:rFonts w:ascii="Times New Roman" w:cs="Times New Roman" w:eastAsia="Times New Roman" w:hAnsi="Times New Roman"/>
          <w:sz w:val="16"/>
          <w:szCs w:val="16"/>
          <w:b w:val="1"/>
          <w:bCs w:val="1"/>
          <w:u w:val="single" w:color="auto"/>
          <w:color w:val="auto"/>
        </w:rPr>
        <w:t>contribution</w:t>
      </w:r>
      <w:r>
        <w:rPr>
          <w:rFonts w:ascii="Times New Roman" w:cs="Times New Roman" w:eastAsia="Times New Roman" w:hAnsi="Times New Roman"/>
          <w:sz w:val="16"/>
          <w:szCs w:val="16"/>
          <w:color w:val="auto"/>
        </w:rPr>
        <w:t xml:space="preserve"> each made in favor of that political party. Although these conducts fall under the same infraction type, this does not mean that one legal person could have responded on behalf of the others, since each is a distinct legal entity.</w:t>
      </w:r>
    </w:p>
    <w:p>
      <w:pPr>
        <w:spacing w:after="0" w:line="162" w:lineRule="exact"/>
        <w:rPr>
          <w:sz w:val="20"/>
          <w:szCs w:val="20"/>
          <w:color w:val="auto"/>
        </w:rPr>
      </w:pPr>
    </w:p>
    <w:p>
      <w:pPr>
        <w:jc w:val="both"/>
        <w:ind w:left="3"/>
        <w:spacing w:after="0" w:line="265" w:lineRule="auto"/>
        <w:rPr>
          <w:sz w:val="20"/>
          <w:szCs w:val="20"/>
          <w:color w:val="auto"/>
        </w:rPr>
      </w:pPr>
      <w:r>
        <w:rPr>
          <w:rFonts w:ascii="Times New Roman" w:cs="Times New Roman" w:eastAsia="Times New Roman" w:hAnsi="Times New Roman"/>
          <w:sz w:val="16"/>
          <w:szCs w:val="16"/>
          <w:color w:val="auto"/>
        </w:rPr>
        <w:t xml:space="preserve">Regarding the Issuer’s claim that the charges </w:t>
      </w:r>
      <w:r>
        <w:rPr>
          <w:rFonts w:ascii="Times New Roman" w:cs="Times New Roman" w:eastAsia="Times New Roman" w:hAnsi="Times New Roman"/>
          <w:sz w:val="16"/>
          <w:szCs w:val="16"/>
          <w:i w:val="1"/>
          <w:iCs w:val="1"/>
          <w:color w:val="auto"/>
        </w:rPr>
        <w:t>“…not only violate the rule of joint liability, but are contrary to the Principle of Reasonableness set forth in numeral 1.4,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Article IV of the Preliminary Title of the LPAG…</w:t>
      </w:r>
      <w:r>
        <w:rPr>
          <w:rFonts w:ascii="Times New Roman" w:cs="Times New Roman" w:eastAsia="Times New Roman" w:hAnsi="Times New Roman"/>
          <w:sz w:val="16"/>
          <w:szCs w:val="16"/>
          <w:color w:val="auto"/>
        </w:rPr>
        <w:t>”, we must state that the administrative sanctioning proceedings initiated against the Issuer, BCP, PACÍFICO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MIBANCO do not violate the Principle of Reasonableness—neither as part of the general principles of administrative procedure (Preliminary Title) nor as part of the special principles of administrative sanctioning authority (Article 248).</w:t>
      </w:r>
    </w:p>
    <w:p>
      <w:pPr>
        <w:spacing w:after="0" w:line="1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Indeed, these transversal principles prohibit the following:</w:t>
      </w:r>
    </w:p>
    <w:p>
      <w:pPr>
        <w:spacing w:after="0" w:line="204" w:lineRule="exact"/>
        <w:rPr>
          <w:sz w:val="20"/>
          <w:szCs w:val="20"/>
          <w:color w:val="auto"/>
        </w:rPr>
      </w:pPr>
    </w:p>
    <w:p>
      <w:pPr>
        <w:ind w:left="583" w:hanging="292"/>
        <w:spacing w:after="0" w:line="287" w:lineRule="auto"/>
        <w:tabs>
          <w:tab w:leader="none" w:pos="583"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that the administrative authority, when classifying infractions or imposing sanctions, exceed the limits of the powers granted or fail to maintain a proper proportion between the means employed and the ends pursued;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1788160"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04" w:lineRule="exact"/>
        <w:rPr>
          <w:sz w:val="20"/>
          <w:szCs w:val="20"/>
          <w:color w:val="auto"/>
        </w:rPr>
      </w:pPr>
    </w:p>
    <w:p>
      <w:pPr>
        <w:ind w:left="183" w:hanging="183"/>
        <w:spacing w:after="0"/>
        <w:tabs>
          <w:tab w:leader="none" w:pos="183" w:val="left"/>
        </w:tabs>
        <w:numPr>
          <w:ilvl w:val="0"/>
          <w:numId w:val="1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GOMEZ TOMILLO y SANZ RUBIALES. Derecho Administrativo Sancionador. Parte General. 3rd Edition. Thomsom Reuters, ARAZANDI. P. 590.</w:t>
      </w:r>
    </w:p>
    <w:p>
      <w:pPr>
        <w:spacing w:after="0" w:line="2" w:lineRule="exact"/>
        <w:rPr>
          <w:rFonts w:ascii="Times New Roman" w:cs="Times New Roman" w:eastAsia="Times New Roman" w:hAnsi="Times New Roman"/>
          <w:sz w:val="27"/>
          <w:szCs w:val="27"/>
          <w:color w:val="auto"/>
          <w:vertAlign w:val="superscript"/>
        </w:rPr>
      </w:pPr>
    </w:p>
    <w:p>
      <w:pPr>
        <w:ind w:left="183" w:hanging="183"/>
        <w:spacing w:after="0" w:line="182" w:lineRule="auto"/>
        <w:tabs>
          <w:tab w:leader="none" w:pos="183" w:val="left"/>
        </w:tabs>
        <w:numPr>
          <w:ilvl w:val="0"/>
          <w:numId w:val="1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GOMEZ TOMILLO y SANZ RUBIALES</w:t>
      </w:r>
      <w:r>
        <w:rPr>
          <w:rFonts w:ascii="Times New Roman" w:cs="Times New Roman" w:eastAsia="Times New Roman" w:hAnsi="Times New Roman"/>
          <w:sz w:val="14"/>
          <w:szCs w:val="14"/>
          <w:i w:val="1"/>
          <w:iCs w:val="1"/>
          <w:color w:val="auto"/>
        </w:rPr>
        <w:t>. Op cit</w:t>
      </w:r>
      <w:r>
        <w:rPr>
          <w:rFonts w:ascii="Times New Roman" w:cs="Times New Roman" w:eastAsia="Times New Roman" w:hAnsi="Times New Roman"/>
          <w:sz w:val="14"/>
          <w:szCs w:val="14"/>
          <w:color w:val="auto"/>
        </w:rPr>
        <w:t>. P. 591.</w:t>
      </w:r>
    </w:p>
    <w:p>
      <w:pPr>
        <w:spacing w:after="0" w:line="2" w:lineRule="exact"/>
        <w:rPr>
          <w:rFonts w:ascii="Times New Roman" w:cs="Times New Roman" w:eastAsia="Times New Roman" w:hAnsi="Times New Roman"/>
          <w:sz w:val="22"/>
          <w:szCs w:val="22"/>
          <w:color w:val="auto"/>
          <w:vertAlign w:val="superscript"/>
        </w:rPr>
      </w:pPr>
    </w:p>
    <w:p>
      <w:pPr>
        <w:ind w:left="183" w:hanging="183"/>
        <w:spacing w:after="0" w:line="182" w:lineRule="auto"/>
        <w:tabs>
          <w:tab w:leader="none" w:pos="183" w:val="left"/>
        </w:tabs>
        <w:numPr>
          <w:ilvl w:val="0"/>
          <w:numId w:val="1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GOMEZ TOMILLO y SANZ RUBIALES</w:t>
      </w:r>
      <w:r>
        <w:rPr>
          <w:rFonts w:ascii="Times New Roman" w:cs="Times New Roman" w:eastAsia="Times New Roman" w:hAnsi="Times New Roman"/>
          <w:sz w:val="14"/>
          <w:szCs w:val="14"/>
          <w:i w:val="1"/>
          <w:iCs w:val="1"/>
          <w:color w:val="auto"/>
        </w:rPr>
        <w:t>. Op cit</w:t>
      </w:r>
      <w:r>
        <w:rPr>
          <w:rFonts w:ascii="Times New Roman" w:cs="Times New Roman" w:eastAsia="Times New Roman" w:hAnsi="Times New Roman"/>
          <w:sz w:val="14"/>
          <w:szCs w:val="14"/>
          <w:color w:val="auto"/>
        </w:rPr>
        <w:t>. P. 591.</w:t>
      </w:r>
    </w:p>
    <w:p>
      <w:pPr>
        <w:spacing w:after="0" w:line="2" w:lineRule="exact"/>
        <w:rPr>
          <w:rFonts w:ascii="Times New Roman" w:cs="Times New Roman" w:eastAsia="Times New Roman" w:hAnsi="Times New Roman"/>
          <w:sz w:val="22"/>
          <w:szCs w:val="22"/>
          <w:color w:val="auto"/>
          <w:vertAlign w:val="superscript"/>
        </w:rPr>
      </w:pPr>
    </w:p>
    <w:p>
      <w:pPr>
        <w:ind w:left="183" w:hanging="183"/>
        <w:spacing w:after="0" w:line="182" w:lineRule="auto"/>
        <w:tabs>
          <w:tab w:leader="none" w:pos="183" w:val="left"/>
        </w:tabs>
        <w:numPr>
          <w:ilvl w:val="0"/>
          <w:numId w:val="1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GOMEZ TOMILLO y SANZ RUBIALES. </w:t>
      </w:r>
      <w:r>
        <w:rPr>
          <w:rFonts w:ascii="Times New Roman" w:cs="Times New Roman" w:eastAsia="Times New Roman" w:hAnsi="Times New Roman"/>
          <w:sz w:val="14"/>
          <w:szCs w:val="14"/>
          <w:i w:val="1"/>
          <w:iCs w:val="1"/>
          <w:color w:val="auto"/>
        </w:rPr>
        <w:t>Op cit</w:t>
      </w:r>
      <w:r>
        <w:rPr>
          <w:rFonts w:ascii="Times New Roman" w:cs="Times New Roman" w:eastAsia="Times New Roman" w:hAnsi="Times New Roman"/>
          <w:sz w:val="14"/>
          <w:szCs w:val="14"/>
          <w:color w:val="auto"/>
        </w:rPr>
        <w:t>. Pág. 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46290"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106" w:name="page107"/>
    <w:bookmarkEnd w:id="106"/>
    <w:p>
      <w:pPr>
        <w:ind w:left="580" w:hanging="292"/>
        <w:spacing w:after="0"/>
        <w:tabs>
          <w:tab w:leader="none" w:pos="5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second, that authorities </w:t>
      </w:r>
      <w:r>
        <w:rPr>
          <w:rFonts w:ascii="Times New Roman" w:cs="Times New Roman" w:eastAsia="Times New Roman" w:hAnsi="Times New Roman"/>
          <w:sz w:val="16"/>
          <w:szCs w:val="16"/>
          <w:u w:val="single" w:color="auto"/>
          <w:color w:val="auto"/>
        </w:rPr>
        <w:t>must ensure that committing the infraction is not more advantageous for the infringer than complying with or accepting the sanction</w:t>
      </w:r>
      <w:r>
        <w:rPr>
          <w:rFonts w:ascii="Times New Roman" w:cs="Times New Roman" w:eastAsia="Times New Roman" w:hAnsi="Times New Roman"/>
          <w:sz w:val="16"/>
          <w:szCs w:val="16"/>
          <w:color w:val="auto"/>
        </w:rPr>
        <w:t>; and</w:t>
      </w:r>
    </w:p>
    <w:p>
      <w:pPr>
        <w:spacing w:after="0" w:line="204" w:lineRule="exact"/>
        <w:rPr>
          <w:rFonts w:ascii="Times New Roman" w:cs="Times New Roman" w:eastAsia="Times New Roman" w:hAnsi="Times New Roman"/>
          <w:sz w:val="16"/>
          <w:szCs w:val="16"/>
          <w:color w:val="auto"/>
        </w:rPr>
      </w:pPr>
    </w:p>
    <w:p>
      <w:pPr>
        <w:ind w:left="580" w:hanging="292"/>
        <w:spacing w:after="0"/>
        <w:tabs>
          <w:tab w:leader="none" w:pos="5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sanctions must be proportional to the conduct classified as an infraction.</w:t>
      </w:r>
    </w:p>
    <w:p>
      <w:pPr>
        <w:spacing w:after="0" w:line="204"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6"/>
          <w:szCs w:val="16"/>
          <w:color w:val="auto"/>
        </w:rPr>
        <w:t>The purpose of citing both protective norms for administered parties is to demonstrate, first, that the sanctioning proceedings initiated against the Issuer, BCP, PACÍFICO and MIBANCO comply with the authority granted to the SMV (typification); and second, that the purpose of these administrative sanctioning proceedings is the protection of transparency in the securities market—a legally protected interest. As corresponds in each case, the circumstances of each issuer’s conduct will be evaluated so that the sanction proposed is proportional to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committed by each.</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Therefore, by initiating sanctioning proceedings against the Issuer, BCP, PACÍFICO and MIBANCO, the Principle of Reasonableness has not been violated, since each issuer must respond for having failed to disclose relevant information to the market: the agreement by which the Issuer decided that its subsidiaries would contribute to the political party PERUANOS POR EL KAMBIO, and the subsidiaries for failing to disclose the contribution each made in favor of the same political party.</w:t>
      </w:r>
    </w:p>
    <w:p>
      <w:pPr>
        <w:spacing w:after="0" w:line="156"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6"/>
          <w:szCs w:val="16"/>
          <w:color w:val="auto"/>
        </w:rPr>
        <w:t>Finally, the intention to sanction the Issuer, BCP, PACÍFICO and MIBANCO responds strictly to what is necessary and maintains proportionality between the facts attributed to each and the corresponding sanction that may be imposed. This seeks to uphold the public purpose of the LMV: ensuring that all participants in the securities market comply with their obligation to disclose information in the manner required by law. Accordingly, any sanction imposed will not create confusion among investors regarding the information disclosed, but rather will strengthen investor confidence in the securities market, since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has consequences and is sanctioned as appropriate.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 THE 2016 AGREEMENT WAS NOT MATERIAL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8.2.1. REGARDING THE ALLEGED LACK OF MATERIALITY OF THE 2016 AGREEMENT</w:t>
      </w:r>
    </w:p>
    <w:p>
      <w:pPr>
        <w:spacing w:after="0" w:line="2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It should first be noted that, in the section analyzing the first charge against the Issuer, the development of the concept of materiality of a material event was extensively discussed, along with the rationale involved in assessing materiality to determine whether disclosure as a material event is required.</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Accordingly, the arguments already stated are reiterated: although the former Regulation on Material Events and the current Regulation do not expressly use the term “</w:t>
      </w:r>
      <w:r>
        <w:rPr>
          <w:rFonts w:ascii="Times New Roman" w:cs="Times New Roman" w:eastAsia="Times New Roman" w:hAnsi="Times New Roman"/>
          <w:sz w:val="16"/>
          <w:szCs w:val="16"/>
          <w:b w:val="1"/>
          <w:bCs w:val="1"/>
          <w:u w:val="single" w:color="auto"/>
          <w:color w:val="auto"/>
        </w:rPr>
        <w:t>materiality</w:t>
      </w:r>
      <w:r>
        <w:rPr>
          <w:rFonts w:ascii="Times New Roman" w:cs="Times New Roman" w:eastAsia="Times New Roman" w:hAnsi="Times New Roman"/>
          <w:sz w:val="16"/>
          <w:szCs w:val="16"/>
          <w:color w:val="auto"/>
        </w:rPr>
        <w:t>,” the development of this concept is contained in these provisions. The purpose of the regulation is that issuers disclose relevant information as material events, understanding materiality in both its quantitative and qualitative dimensions.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Thus, although the Issuer’s </w:t>
      </w:r>
      <w:r>
        <w:rPr>
          <w:rFonts w:ascii="Times New Roman" w:cs="Times New Roman" w:eastAsia="Times New Roman" w:hAnsi="Times New Roman"/>
          <w:sz w:val="16"/>
          <w:szCs w:val="16"/>
          <w:b w:val="1"/>
          <w:bCs w:val="1"/>
          <w:color w:val="auto"/>
        </w:rPr>
        <w:t>2016 AGREEMENT</w:t>
      </w:r>
      <w:r>
        <w:rPr>
          <w:rFonts w:ascii="Times New Roman" w:cs="Times New Roman" w:eastAsia="Times New Roman" w:hAnsi="Times New Roman"/>
          <w:sz w:val="16"/>
          <w:szCs w:val="16"/>
          <w:color w:val="auto"/>
        </w:rPr>
        <w:t xml:space="preserve"> to support the political party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xml:space="preserve"> through its subsidiaries BCP, PACÍFICO and MIBANCO was not expressly included in the Annex of the repealed or current Regulation on Material Events,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did constitute a relevant fact for investors so that they could form an opinion about the implicit risks of the company in supporting a political party. Again, support by one of the largest financial conglomerates operating in the country is relevant and should have been disclosed to the securities market.</w:t>
      </w:r>
    </w:p>
    <w:p>
      <w:pPr>
        <w:spacing w:after="0" w:line="1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It must be noted that the determination of materiality is not restricted solely to quantitative aspects, but also to qualitative ones. Thus, the materiality analysis must consider those components that a reasonable investor would take into account in making an investment decision—often qualitative aspects are the most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193675</wp:posOffset>
            </wp:positionV>
            <wp:extent cx="714629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7" w:name="page108"/>
    <w:bookmarkEnd w:id="107"/>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In the section evaluating the first charge—as well as the Issuer’s defenses—the different application between securities market regulation and electoral regulation was analyzed. As concluded, the application of electoral regulation does not replace or exempt the issuer from complying with its disclosure obligations under securities market regulation.</w:t>
      </w:r>
    </w:p>
    <w:p>
      <w:pPr>
        <w:spacing w:after="0" w:line="15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Regarding the Issuer’s argument that contributions to the political party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xml:space="preserve"> were not material and that the agreement was adopted in compliance with its Contributions Policy and executed with full transparency and legality, these arguments are analyzed later in this section.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8.2.2. REGARDING THE MATERIALITY REQUIREMENT</w:t>
      </w:r>
    </w:p>
    <w:p>
      <w:pPr>
        <w:spacing w:after="0" w:line="20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As previously analyzed, political contributions such as those in this case did carry materiality, particularly due to qualitative considerations. Even from the review of U.S. case law, SEC rules, and NYSE standards, it was concluded that the determination of materiality is not limited to quantitative aspects; qualitative factors often become the most relevant for the assessment of a reasonable investor.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 is reiterated—as noted regarding the first charge—that electoral regulation does not replace or exempt the Issuer from its obligations to the securities market.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8.2.3. REGARDING THE ALLEGED ZERO FINANCIAL IMPACT OF THE 2016 AGREEMENT</w:t>
      </w:r>
    </w:p>
    <w:p>
      <w:pPr>
        <w:spacing w:after="0" w:line="2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For both charges, the Issuer argues that the agreement to support the political party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xml:space="preserve"> had no financial impact, using the same reasoning presented in response to the first charge: namely, that materiality should be assessed solely based on quantitative indicators. The Issuer argues that an event is material only if quantitatively significant relative to assets, income or expenses—suggesting this should be the sole factor reviewed.</w:t>
      </w:r>
    </w:p>
    <w:p>
      <w:pPr>
        <w:spacing w:after="0" w:line="1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As previously established, the determination of materiality is not limited to quantitative aspects. Often, qualitative aspects are the most relevant. The materiality analysis must include those elements a reasonable investor would consider in making an investment decision.</w:t>
      </w:r>
    </w:p>
    <w:p>
      <w:pPr>
        <w:spacing w:after="0" w:line="14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Therefore, as previously held, a company’s </w:t>
      </w:r>
      <w:r>
        <w:rPr>
          <w:rFonts w:ascii="Times New Roman" w:cs="Times New Roman" w:eastAsia="Times New Roman" w:hAnsi="Times New Roman"/>
          <w:sz w:val="16"/>
          <w:szCs w:val="16"/>
          <w:b w:val="1"/>
          <w:bCs w:val="1"/>
          <w:u w:val="single" w:color="auto"/>
          <w:color w:val="auto"/>
        </w:rPr>
        <w:t>support or political stance</w:t>
      </w:r>
      <w:r>
        <w:rPr>
          <w:rFonts w:ascii="Times New Roman" w:cs="Times New Roman" w:eastAsia="Times New Roman" w:hAnsi="Times New Roman"/>
          <w:sz w:val="16"/>
          <w:szCs w:val="16"/>
          <w:color w:val="auto"/>
        </w:rPr>
        <w:t xml:space="preserve"> is relevant information for a reasonable investor and must be disclosed. Accordingly, the Issuer’s argument that materiality must be measured solely in quantitative terms lacks foundation.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8.2.4. REGARDING THE PROPER ACCOUNTING RECORDING OF THE 2016 CONTRIBUTIONS</w:t>
      </w:r>
    </w:p>
    <w:p>
      <w:pPr>
        <w:spacing w:after="0" w:line="204" w:lineRule="exact"/>
        <w:rPr>
          <w:sz w:val="20"/>
          <w:szCs w:val="20"/>
          <w:color w:val="auto"/>
        </w:rPr>
      </w:pPr>
    </w:p>
    <w:p>
      <w:pPr>
        <w:jc w:val="both"/>
        <w:ind w:right="20"/>
        <w:spacing w:after="0" w:line="199" w:lineRule="exact"/>
        <w:rPr>
          <w:sz w:val="20"/>
          <w:szCs w:val="20"/>
          <w:color w:val="auto"/>
        </w:rPr>
      </w:pPr>
      <w:r>
        <w:rPr>
          <w:rFonts w:ascii="Times New Roman" w:cs="Times New Roman" w:eastAsia="Times New Roman" w:hAnsi="Times New Roman"/>
          <w:sz w:val="16"/>
          <w:szCs w:val="16"/>
          <w:color w:val="auto"/>
        </w:rPr>
        <w:t xml:space="preserve">Although the Issuer was not required to record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in its own accounting books—since the disbursements were made by its three subsidiaries—it is relevant to note that a review of Annex 5.2.4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A (Report by the Accountants of BCP, MIBANCO and PACÍFICO) shows that although the contributions were recorded in a “donations” account, the beneficiary is not identified—that is, the political party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Even if optional, this was relevant information involving political contributions.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 xml:space="preserve">Thus, the accounting records of BCP, MIBANCO and PACÍFICO do not allow an investor reviewing the financial statements to identify that contributions were made to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since the accounting entries do not explicitly state that such donations correspond to campaign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193675</wp:posOffset>
            </wp:positionV>
            <wp:extent cx="7146290"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8" w:name="page109"/>
    <w:bookmarkEnd w:id="108"/>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It must be stressed that the charge concerns the Issuer’s concealment of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under which it, as parent company, decided that its subsidiaries would make contributions to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Therefore, the fact that the subsidiaries recorded the contributions simply as “Donations” does not change the nature of the charge.</w:t>
      </w:r>
    </w:p>
    <w:p>
      <w:pPr>
        <w:spacing w:after="0" w:line="120" w:lineRule="exact"/>
        <w:rPr>
          <w:sz w:val="20"/>
          <w:szCs w:val="20"/>
          <w:color w:val="auto"/>
        </w:rPr>
      </w:pPr>
    </w:p>
    <w:p>
      <w:pPr>
        <w:jc w:val="both"/>
        <w:ind w:right="20"/>
        <w:spacing w:after="0" w:line="221" w:lineRule="exact"/>
        <w:rPr>
          <w:sz w:val="20"/>
          <w:szCs w:val="20"/>
          <w:color w:val="auto"/>
        </w:rPr>
      </w:pPr>
      <w:r>
        <w:rPr>
          <w:rFonts w:ascii="Times New Roman" w:cs="Times New Roman" w:eastAsia="Times New Roman" w:hAnsi="Times New Roman"/>
          <w:sz w:val="16"/>
          <w:szCs w:val="16"/>
          <w:color w:val="auto"/>
        </w:rPr>
        <w:t>Regarding the reference to the materiality of such accounting entries contained in the subsidiaries’ accountant reports (Annex 5.2.4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 we refer back to the prior analysis on materiality.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8.2.5. REGARDING COMPLIANCE WITH THE ISSUER’S POLICIES AND ELECTORAL LEGISLATION</w:t>
      </w:r>
    </w:p>
    <w:p>
      <w:pPr>
        <w:spacing w:after="0" w:line="171" w:lineRule="exact"/>
        <w:rPr>
          <w:sz w:val="20"/>
          <w:szCs w:val="20"/>
          <w:color w:val="auto"/>
        </w:rPr>
      </w:pPr>
    </w:p>
    <w:p>
      <w:pPr>
        <w:jc w:val="both"/>
        <w:ind w:right="20"/>
        <w:spacing w:after="0" w:line="221" w:lineRule="exact"/>
        <w:rPr>
          <w:sz w:val="20"/>
          <w:szCs w:val="20"/>
          <w:color w:val="auto"/>
        </w:rPr>
      </w:pPr>
      <w:r>
        <w:rPr>
          <w:rFonts w:ascii="Times New Roman" w:cs="Times New Roman" w:eastAsia="Times New Roman" w:hAnsi="Times New Roman"/>
          <w:sz w:val="16"/>
          <w:szCs w:val="16"/>
          <w:color w:val="auto"/>
        </w:rPr>
        <w:t>It must be noted that the Charges Letter does not include any allegation of a possible infraction related to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with the Issuer’s Contributions Policy or its Corporate Policy on the Prevention of Corruption and Bribery regarding political contributions.</w:t>
      </w:r>
    </w:p>
    <w:p>
      <w:pPr>
        <w:spacing w:after="0" w:line="179" w:lineRule="exact"/>
        <w:rPr>
          <w:sz w:val="20"/>
          <w:szCs w:val="20"/>
          <w:color w:val="auto"/>
        </w:rPr>
      </w:pPr>
    </w:p>
    <w:p>
      <w:pPr>
        <w:jc w:val="both"/>
        <w:ind w:right="20"/>
        <w:spacing w:after="0" w:line="200" w:lineRule="exact"/>
        <w:rPr>
          <w:sz w:val="20"/>
          <w:szCs w:val="20"/>
          <w:color w:val="auto"/>
        </w:rPr>
      </w:pPr>
      <w:r>
        <w:rPr>
          <w:rFonts w:ascii="Times New Roman" w:cs="Times New Roman" w:eastAsia="Times New Roman" w:hAnsi="Times New Roman"/>
          <w:sz w:val="16"/>
          <w:szCs w:val="16"/>
          <w:color w:val="auto"/>
        </w:rPr>
        <w:t>The infraction attributed to the Issuer concerns a conduct of concealing information from the market for more than three (3) years—information that was significant enough to influence investment decisions. This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corresponds to a specific legal infraction type, unrelated to any possible breach of internal policies on political contributions.</w:t>
      </w:r>
    </w:p>
    <w:p>
      <w:pPr>
        <w:spacing w:after="0" w:line="17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Likewise, regarding compliance with electoral regulations, it must be reiterated—as previously stated—that the purpose of this sanctioning proceeding is not to determine whether the Issuer complied with electoral laws, since electoral regulation and securities market regulation are independent systems.</w:t>
      </w:r>
    </w:p>
    <w:p>
      <w:pPr>
        <w:spacing w:after="0" w:line="14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Therefore, it is reiterated that the Issuer failed to disclose, at the time, the material event consisting of the </w:t>
      </w:r>
      <w:r>
        <w:rPr>
          <w:rFonts w:ascii="Times New Roman" w:cs="Times New Roman" w:eastAsia="Times New Roman" w:hAnsi="Times New Roman"/>
          <w:sz w:val="16"/>
          <w:szCs w:val="16"/>
          <w:b w:val="1"/>
          <w:bCs w:val="1"/>
          <w:color w:val="auto"/>
        </w:rPr>
        <w:t>2016 AGREEMENT</w:t>
      </w:r>
      <w:r>
        <w:rPr>
          <w:rFonts w:ascii="Times New Roman" w:cs="Times New Roman" w:eastAsia="Times New Roman" w:hAnsi="Times New Roman"/>
          <w:sz w:val="16"/>
          <w:szCs w:val="16"/>
          <w:color w:val="auto"/>
        </w:rPr>
        <w:t xml:space="preserve"> (whereby the Issuer decided that the subsidiaries BCP, MIBANCO and PACÍFICO would make contributions to the political party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This omission constitutes concealment that affected market transparency.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8.2.6. REGARDING THE PUBLICITY OF THE 2016 CONTRIBUTIONS</w:t>
      </w:r>
    </w:p>
    <w:p>
      <w:pPr>
        <w:spacing w:after="0" w:line="20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It bears noting that, as stated previously, this sanctioning proceeding is not intended to determine whether the Issuer complied with electoral law, since electoral rules and securities market rules are different and may impose distinct obligations on similar events.</w:t>
      </w:r>
    </w:p>
    <w:p>
      <w:pPr>
        <w:spacing w:after="0" w:line="14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 xml:space="preserve">Thus, regardless of the fact that the political party PERUANOS POR EL KAMBIO submitted information about the contributions made by BCP, PACÍFICO and MIBANCO to the electoral authority for publication, </w:t>
      </w:r>
      <w:r>
        <w:rPr>
          <w:rFonts w:ascii="Times New Roman" w:cs="Times New Roman" w:eastAsia="Times New Roman" w:hAnsi="Times New Roman"/>
          <w:sz w:val="16"/>
          <w:szCs w:val="16"/>
          <w:b w:val="1"/>
          <w:bCs w:val="1"/>
          <w:color w:val="auto"/>
        </w:rPr>
        <w:t>both the agreement and the contributions</w:t>
      </w:r>
      <w:r>
        <w:rPr>
          <w:rFonts w:ascii="Times New Roman" w:cs="Times New Roman" w:eastAsia="Times New Roman" w:hAnsi="Times New Roman"/>
          <w:sz w:val="16"/>
          <w:szCs w:val="16"/>
          <w:color w:val="auto"/>
        </w:rPr>
        <w:t xml:space="preserve"> should have been disclosed as material events under Article 28 of the LMV when they occurred. This did not happen, and the information remained concealed from the market for more than three (3) years.</w:t>
      </w:r>
    </w:p>
    <w:p>
      <w:pPr>
        <w:spacing w:after="0" w:line="1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Therefore, it is duly established that the Issuer failed to comply with its obligation to disclose, as a material event,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(whereby BCP, MIBANCO and PACÍFICO were instructed to make contributions to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The Issuer only disclosed this information on November 21, 2019, at the request of the SMV. This constitutes concealment of information that affected market transparency—a legal interest protected under securities market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201930</wp:posOffset>
            </wp:positionV>
            <wp:extent cx="7146290"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9" w:name="page110"/>
    <w:bookmarkEnd w:id="109"/>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This conclusion is independent of any media coverage about the contributions made by the subsidiaries to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because the charge concerns the Issuer’s agreement—which does not appear in ONPE’s publications nor in press reports (e.g., Diario Gestión, June 17, 2016).</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8.2.7. REGARDING THE ALLEGED LACK OF LEGAL IMPACT ON THE ISSUER OR ITS SUBSIDIARIES</w:t>
      </w:r>
    </w:p>
    <w:p>
      <w:pPr>
        <w:spacing w:after="0" w:line="2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Regarding the Issuer’s argument that Mr. Romero’s testimony before the Public Prosecutor had no legal impact on the Issuer or its subsidiaries, such assertion is irrelevant for this sanctioning proceeding, since Mr. Romero is not a party to this proceeding. However, as already noted, trading in the Issuer’s BAP shares did show an impact following Mr. Romero’s statement to the Public Prosecutor, as the share price declined that day.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Moreover, it is important to consider Mr. Romero’s own statements in the Issuer’s 2019 Annual Report (see </w:t>
      </w:r>
      <w:r>
        <w:rPr>
          <w:rFonts w:ascii="Times New Roman" w:cs="Times New Roman" w:eastAsia="Times New Roman" w:hAnsi="Times New Roman"/>
          <w:sz w:val="16"/>
          <w:szCs w:val="16"/>
          <w:b w:val="1"/>
          <w:bCs w:val="1"/>
          <w:color w:val="auto"/>
        </w:rPr>
        <w:t>ANNEX 1</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8.2.8. REGARDING THE ARGUMENT THAT THE SUBSIDIARY</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RELATED AGREEMENT DOES NOT IMPLY MATERIALITY</w:t>
      </w:r>
    </w:p>
    <w:p>
      <w:pPr>
        <w:spacing w:after="0" w:line="24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Issuer argues that materiality must be defined based on the impact of the Issuer’s agreement on its own operations or securities, and that a materiality analysis should not apply when the agreement is adopted by the parent company or by subsidiaries. It adds that in this case, its Contributions Policy was followed lawfully, and applying this policy does not convert intrinsically immaterial contribution agreements into material ones.</w:t>
      </w:r>
    </w:p>
    <w:p>
      <w:pPr>
        <w:spacing w:after="0" w:line="1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In response, it must be noted that decisions made by a parent company are particularly relevant for an issuer that forms part of an economic group, because the control relationship implies that decisions of the parent company must be complied with by its subsidiaries.</w:t>
      </w:r>
    </w:p>
    <w:p>
      <w:pPr>
        <w:spacing w:after="0" w:line="143"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6"/>
          <w:szCs w:val="16"/>
          <w:color w:val="auto"/>
        </w:rPr>
        <w:t>Accordingly, certain decisions of a parent company may have special relevance for subsidiaries—for example, being subjected to a regional control structure, decisions on corporate reorganizations, decisions on sale or spin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offs of assets, granting of loans, guarantees, and corporate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level financial commitments, among others.</w:t>
      </w:r>
    </w:p>
    <w:p>
      <w:pPr>
        <w:spacing w:after="0" w:line="15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In the present case, consistent with the logic described above, the Issuer made a decision as parent company instructing its subsidiaries to make contributions to a political party during a presidential campaign. As previously discussed, the materiality analysis includes both quantitative and qualitative aspects; and the qualitative aspect of materiality discussed under the first charge applies equally here.</w:t>
      </w:r>
    </w:p>
    <w:p>
      <w:pPr>
        <w:spacing w:after="0" w:line="1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Thus, as previously stated, the position taken by an issuer in a presidential or congressional election constitutes significant information for the assessment and investment decisions of a reasonable investor.</w:t>
      </w:r>
    </w:p>
    <w:p>
      <w:pPr>
        <w:spacing w:after="0" w:line="107" w:lineRule="exact"/>
        <w:rPr>
          <w:sz w:val="20"/>
          <w:szCs w:val="20"/>
          <w:color w:val="auto"/>
        </w:rPr>
      </w:pPr>
    </w:p>
    <w:p>
      <w:pPr>
        <w:jc w:val="both"/>
        <w:ind w:right="20"/>
        <w:spacing w:after="0" w:line="207" w:lineRule="exact"/>
        <w:rPr>
          <w:sz w:val="20"/>
          <w:szCs w:val="20"/>
          <w:color w:val="auto"/>
        </w:rPr>
      </w:pPr>
      <w:r>
        <w:rPr>
          <w:rFonts w:ascii="Times New Roman" w:cs="Times New Roman" w:eastAsia="Times New Roman" w:hAnsi="Times New Roman"/>
          <w:sz w:val="16"/>
          <w:szCs w:val="16"/>
          <w:color w:val="auto"/>
        </w:rPr>
        <w:t>Moreover, as acknowledged by the Issuer itself, this was a corporate group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level decision to make political campaign contributions—specifically to </w:t>
      </w:r>
      <w:r>
        <w:rPr>
          <w:rFonts w:ascii="Times New Roman" w:cs="Times New Roman" w:eastAsia="Times New Roman" w:hAnsi="Times New Roman"/>
          <w:sz w:val="16"/>
          <w:szCs w:val="16"/>
          <w:b w:val="1"/>
          <w:bCs w:val="1"/>
          <w:color w:val="auto"/>
        </w:rPr>
        <w:t>PERUANOS POR EL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KAMBIO</w:t>
      </w:r>
      <w:r>
        <w:rPr>
          <w:rFonts w:ascii="Times New Roman" w:cs="Times New Roman" w:eastAsia="Times New Roman" w:hAnsi="Times New Roman"/>
          <w:sz w:val="16"/>
          <w:szCs w:val="16"/>
          <w:color w:val="auto"/>
        </w:rPr>
        <w:t>. This decision affected one of the largest banking entities in the country (BCP), a major insurance entity (PACÍFICO), and a microfinance bank (MIBANCO).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Although the decision was made at the parent company level, its implementation involved local issuers subject to local securities regulation. These subsidiaries, being issuers themselves, are also subject to sanctioning proceedings related to the second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7146290"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color w:val="auto"/>
        </w:rPr>
        <w:t xml:space="preserve">Therefore,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is indeed relevant information and should have been disclosed as a material event, rather than being concealed.</w:t>
      </w:r>
    </w:p>
    <w:p>
      <w:pPr>
        <w:spacing w:after="0" w:line="17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8.3. REGARDING THE ALLEGED NON</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EXISTENCE OF AN INFORMATION CONCEALMENT CONDUCT</w:t>
      </w:r>
    </w:p>
    <w:p>
      <w:pPr>
        <w:spacing w:after="0" w:line="24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From the analysis of the Issuer’s defenses, it is clear that the arguments remain the same: the information is not material, the accounting record was proper, and the alleged intent does not change the conduct.</w:t>
      </w:r>
    </w:p>
    <w:p>
      <w:pPr>
        <w:spacing w:after="0" w:line="107" w:lineRule="exact"/>
        <w:rPr>
          <w:sz w:val="20"/>
          <w:szCs w:val="20"/>
          <w:color w:val="auto"/>
        </w:rPr>
      </w:pPr>
    </w:p>
    <w:p>
      <w:pPr>
        <w:ind w:right="20"/>
        <w:spacing w:after="0" w:line="221" w:lineRule="exact"/>
        <w:rPr>
          <w:sz w:val="20"/>
          <w:szCs w:val="20"/>
          <w:color w:val="auto"/>
        </w:rPr>
      </w:pPr>
      <w:r>
        <w:rPr>
          <w:rFonts w:ascii="Times New Roman" w:cs="Times New Roman" w:eastAsia="Times New Roman" w:hAnsi="Times New Roman"/>
          <w:sz w:val="16"/>
          <w:szCs w:val="16"/>
          <w:color w:val="auto"/>
        </w:rPr>
        <w:t>Regarding the Issuer’s claim of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existence of concealment,” it is appropriate to first describe the facts to properly assess what led to the initiation of this sanctioning proceeding:</w:t>
      </w:r>
    </w:p>
    <w:p>
      <w:pPr>
        <w:spacing w:after="0" w:line="179" w:lineRule="exact"/>
        <w:rPr>
          <w:sz w:val="20"/>
          <w:szCs w:val="20"/>
          <w:color w:val="auto"/>
        </w:rPr>
      </w:pPr>
    </w:p>
    <w:p>
      <w:pPr>
        <w:jc w:val="both"/>
        <w:ind w:left="580" w:hanging="292"/>
        <w:spacing w:after="0" w:line="270" w:lineRule="auto"/>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Between November 18 and 21, 2019, the Issuer publicly disclosed </w:t>
      </w:r>
      <w:r>
        <w:rPr>
          <w:rFonts w:ascii="Times New Roman" w:cs="Times New Roman" w:eastAsia="Times New Roman" w:hAnsi="Times New Roman"/>
          <w:sz w:val="16"/>
          <w:szCs w:val="16"/>
          <w:u w:val="single" w:color="auto"/>
          <w:color w:val="auto"/>
        </w:rPr>
        <w:t>for the first time</w:t>
      </w:r>
      <w:r>
        <w:rPr>
          <w:rFonts w:ascii="Times New Roman" w:cs="Times New Roman" w:eastAsia="Times New Roman" w:hAnsi="Times New Roman"/>
          <w:sz w:val="16"/>
          <w:szCs w:val="16"/>
          <w:color w:val="auto"/>
        </w:rPr>
        <w:t xml:space="preserve"> that its Executive Committee had agreed in 2016 to make contributions totaling 180 UIT to the political party PERUANOS POR EL KAMBIO, and that these were channeled through BCP, MIBANCO, and PACÍFICO, each contributing 60 UIT. </w:t>
      </w:r>
      <w:r>
        <w:rPr>
          <w:rFonts w:ascii="Times New Roman" w:cs="Times New Roman" w:eastAsia="Times New Roman" w:hAnsi="Times New Roman"/>
          <w:sz w:val="16"/>
          <w:szCs w:val="16"/>
          <w:b w:val="1"/>
          <w:bCs w:val="1"/>
          <w:color w:val="auto"/>
        </w:rPr>
        <w:t xml:space="preserve">THE 2016 AGREEMENT </w:t>
      </w:r>
      <w:r>
        <w:rPr>
          <w:rFonts w:ascii="Times New Roman" w:cs="Times New Roman" w:eastAsia="Times New Roman" w:hAnsi="Times New Roman"/>
          <w:sz w:val="16"/>
          <w:szCs w:val="16"/>
          <w:color w:val="auto"/>
        </w:rPr>
        <w:t>was adopted on March 2, 2016.</w:t>
      </w:r>
    </w:p>
    <w:p>
      <w:pPr>
        <w:spacing w:after="0" w:line="154" w:lineRule="exact"/>
        <w:rPr>
          <w:rFonts w:ascii="Times New Roman" w:cs="Times New Roman" w:eastAsia="Times New Roman" w:hAnsi="Times New Roman"/>
          <w:sz w:val="16"/>
          <w:szCs w:val="16"/>
          <w:color w:val="auto"/>
        </w:rPr>
      </w:pPr>
    </w:p>
    <w:p>
      <w:pPr>
        <w:ind w:left="580" w:right="20" w:hanging="292"/>
        <w:spacing w:after="0" w:line="290" w:lineRule="auto"/>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Issuer disclosed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only because its Chairman of the Board was summoned to testify as a witness in a criminal investigation. As disclosed by the Issuer, the Chairman appeared before the Public Prosecutor on November 18, 2019.</w:t>
      </w:r>
    </w:p>
    <w:p>
      <w:pPr>
        <w:spacing w:after="0" w:line="140" w:lineRule="exact"/>
        <w:rPr>
          <w:rFonts w:ascii="Times New Roman" w:cs="Times New Roman" w:eastAsia="Times New Roman" w:hAnsi="Times New Roman"/>
          <w:sz w:val="16"/>
          <w:szCs w:val="16"/>
          <w:color w:val="auto"/>
        </w:rPr>
      </w:pPr>
    </w:p>
    <w:p>
      <w:pPr>
        <w:ind w:left="580" w:right="20" w:hanging="292"/>
        <w:spacing w:after="0" w:line="287" w:lineRule="auto"/>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What was stated to the Public Prosecutor was confirmed the same day via a communication issued by Mr. Romero, Chairman of the Board, to Issuer employees, reporting the contributions made by the subsidiaries. This communication was posted on the official Twitter account (@CredicorpGroup).</w:t>
      </w:r>
    </w:p>
    <w:p>
      <w:pPr>
        <w:spacing w:after="0" w:line="140" w:lineRule="exact"/>
        <w:rPr>
          <w:rFonts w:ascii="Times New Roman" w:cs="Times New Roman" w:eastAsia="Times New Roman" w:hAnsi="Times New Roman"/>
          <w:sz w:val="16"/>
          <w:szCs w:val="16"/>
          <w:color w:val="auto"/>
        </w:rPr>
      </w:pPr>
    </w:p>
    <w:p>
      <w:pPr>
        <w:jc w:val="both"/>
        <w:ind w:left="580" w:right="20" w:hanging="292"/>
        <w:spacing w:after="0" w:line="271" w:lineRule="auto"/>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statement before the Prosecutor was also reported by </w:t>
      </w:r>
      <w:r>
        <w:rPr>
          <w:rFonts w:ascii="Times New Roman" w:cs="Times New Roman" w:eastAsia="Times New Roman" w:hAnsi="Times New Roman"/>
          <w:sz w:val="16"/>
          <w:szCs w:val="16"/>
          <w:i w:val="1"/>
          <w:iCs w:val="1"/>
          <w:color w:val="auto"/>
        </w:rPr>
        <w:t>El Comercio</w:t>
      </w:r>
      <w:r>
        <w:rPr>
          <w:rFonts w:ascii="Times New Roman" w:cs="Times New Roman" w:eastAsia="Times New Roman" w:hAnsi="Times New Roman"/>
          <w:sz w:val="16"/>
          <w:szCs w:val="16"/>
          <w:color w:val="auto"/>
        </w:rPr>
        <w:t xml:space="preserve"> in its November 19, 2019 edition. Links: </w:t>
      </w:r>
      <w:r>
        <w:rPr>
          <w:rFonts w:ascii="Times New Roman" w:cs="Times New Roman" w:eastAsia="Times New Roman" w:hAnsi="Times New Roman"/>
          <w:sz w:val="16"/>
          <w:szCs w:val="16"/>
          <w:u w:val="single" w:color="auto"/>
          <w:color w:val="auto"/>
        </w:rPr>
        <w:t>https://elcomercio.pe/politica/justicia/lea-el-testimonio-completo-de-dionisio-romero-paoletti-sobre-aportes-a-keiko-fujimori-noticia/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https://es.scribd.com/document/435717148/Declaracion-de-Dionisio-Romero-Paoletti#download&amp;from_embed</w:t>
      </w:r>
    </w:p>
    <w:p>
      <w:pPr>
        <w:spacing w:after="0" w:line="153" w:lineRule="exact"/>
        <w:rPr>
          <w:rFonts w:ascii="Times New Roman" w:cs="Times New Roman" w:eastAsia="Times New Roman" w:hAnsi="Times New Roman"/>
          <w:sz w:val="16"/>
          <w:szCs w:val="16"/>
          <w:color w:val="auto"/>
        </w:rPr>
      </w:pPr>
    </w:p>
    <w:p>
      <w:pPr>
        <w:jc w:val="both"/>
        <w:ind w:left="580" w:right="20" w:hanging="292"/>
        <w:spacing w:after="0" w:line="271" w:lineRule="auto"/>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Additionally, in an interview published by </w:t>
      </w:r>
      <w:r>
        <w:rPr>
          <w:rFonts w:ascii="Times New Roman" w:cs="Times New Roman" w:eastAsia="Times New Roman" w:hAnsi="Times New Roman"/>
          <w:sz w:val="16"/>
          <w:szCs w:val="16"/>
          <w:i w:val="1"/>
          <w:iCs w:val="1"/>
          <w:color w:val="auto"/>
        </w:rPr>
        <w:t>El Comercio</w:t>
      </w:r>
      <w:r>
        <w:rPr>
          <w:rFonts w:ascii="Times New Roman" w:cs="Times New Roman" w:eastAsia="Times New Roman" w:hAnsi="Times New Roman"/>
          <w:sz w:val="16"/>
          <w:szCs w:val="16"/>
          <w:color w:val="auto"/>
        </w:rPr>
        <w:t xml:space="preserve"> on November 19, 2019, Mr. Romero reconfirmed the contributions made to the PERUANOS POR EL KAMBIO campaign by the Issuer’s subsidiaries. Link: </w:t>
      </w:r>
      <w:r>
        <w:rPr>
          <w:rFonts w:ascii="Times New Roman" w:cs="Times New Roman" w:eastAsia="Times New Roman" w:hAnsi="Times New Roman"/>
          <w:sz w:val="16"/>
          <w:szCs w:val="16"/>
          <w:u w:val="single" w:color="auto"/>
          <w:color w:val="auto"/>
        </w:rPr>
        <w:t>https://elcomercio.pe/politica/justicia/dionisio-romero-paoletti-que-el-chavismo-no-tomara-el-control-del-pais-era-suficiente-para-nosotros-noticia/</w:t>
      </w:r>
    </w:p>
    <w:p>
      <w:pPr>
        <w:spacing w:after="0" w:line="153" w:lineRule="exact"/>
        <w:rPr>
          <w:rFonts w:ascii="Times New Roman" w:cs="Times New Roman" w:eastAsia="Times New Roman" w:hAnsi="Times New Roman"/>
          <w:sz w:val="16"/>
          <w:szCs w:val="16"/>
          <w:color w:val="auto"/>
        </w:rPr>
      </w:pPr>
    </w:p>
    <w:p>
      <w:pPr>
        <w:ind w:left="580" w:right="20" w:hanging="292"/>
        <w:spacing w:after="0" w:line="290" w:lineRule="auto"/>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Issuer disclosed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only as a result of the testimony before the Public Prosecutor—i.e., during an interrogation to which Mr. Romero was summoned—implicating the Issuer and making evident the nondisclosure or concealment of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w:t>
      </w:r>
    </w:p>
    <w:p>
      <w:pPr>
        <w:spacing w:after="0" w:line="138" w:lineRule="exact"/>
        <w:rPr>
          <w:rFonts w:ascii="Times New Roman" w:cs="Times New Roman" w:eastAsia="Times New Roman" w:hAnsi="Times New Roman"/>
          <w:sz w:val="16"/>
          <w:szCs w:val="16"/>
          <w:color w:val="auto"/>
        </w:rPr>
      </w:pPr>
    </w:p>
    <w:p>
      <w:pPr>
        <w:ind w:left="580" w:right="20" w:hanging="292"/>
        <w:spacing w:after="0" w:line="290" w:lineRule="auto"/>
        <w:tabs>
          <w:tab w:leader="none" w:pos="5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by its nature, had the capacity to significantly influence investor decisions in the Issuer’s securities and its subsidiaries’ securities,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therefore should have been disclosed as it could have impacted the market for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191770</wp:posOffset>
            </wp:positionV>
            <wp:extent cx="7146290"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1" w:name="page112"/>
    <w:bookmarkEnd w:id="111"/>
    <w:p>
      <w:pPr>
        <w:ind w:left="300" w:hanging="292"/>
        <w:spacing w:after="0" w:line="290" w:lineRule="auto"/>
        <w:tabs>
          <w:tab w:leader="none" w:pos="3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THE 2016 AGREEMENT </w:t>
      </w:r>
      <w:r>
        <w:rPr>
          <w:rFonts w:ascii="Times New Roman" w:cs="Times New Roman" w:eastAsia="Times New Roman" w:hAnsi="Times New Roman"/>
          <w:sz w:val="16"/>
          <w:szCs w:val="16"/>
          <w:color w:val="auto"/>
        </w:rPr>
        <w:t>constituted relevant information that should have been disclosed to the market, particularly since it involved a parent company decision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affecting subsidiaries obligated—due to control structure—to make political contributions.</w:t>
      </w:r>
    </w:p>
    <w:p>
      <w:pPr>
        <w:spacing w:after="0" w:line="138" w:lineRule="exact"/>
        <w:rPr>
          <w:rFonts w:ascii="Times New Roman" w:cs="Times New Roman" w:eastAsia="Times New Roman" w:hAnsi="Times New Roman"/>
          <w:sz w:val="16"/>
          <w:szCs w:val="16"/>
          <w:color w:val="auto"/>
        </w:rPr>
      </w:pPr>
    </w:p>
    <w:p>
      <w:pPr>
        <w:ind w:left="300" w:hanging="292"/>
        <w:spacing w:after="0" w:line="290" w:lineRule="auto"/>
        <w:tabs>
          <w:tab w:leader="none" w:pos="3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failure to disclose was made evident when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was revealed after Mr. Romero, Chairman of the Issuer’s Board, appeared before the Public Prosecutor to testify in the criminal investigation.</w:t>
      </w:r>
    </w:p>
    <w:p>
      <w:pPr>
        <w:spacing w:after="0" w:line="1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Thus, it has been demonstrated that there was a manifest intention not to disclose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to the securities market, and that such conduct only ceased with the communication of the material event on November 21, 2019, upon regulatory request. Consequently, this constitutes a permanent infraction involving the concealment of relevant information, thereby affecting the transparency of the securities market—a legally protected interest under securities market regulations.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respect to the remaining arguments presented by the Issuer in this section of its defense, the prior analysis and conclusions set out in this Resolution are reiterated.</w:t>
      </w:r>
    </w:p>
    <w:p>
      <w:pPr>
        <w:spacing w:after="0" w:line="202" w:lineRule="exact"/>
        <w:rPr>
          <w:sz w:val="20"/>
          <w:szCs w:val="20"/>
          <w:color w:val="auto"/>
        </w:rPr>
      </w:pPr>
    </w:p>
    <w:p>
      <w:pPr>
        <w:jc w:val="both"/>
        <w:spacing w:after="0" w:line="199" w:lineRule="exact"/>
        <w:rPr>
          <w:sz w:val="20"/>
          <w:szCs w:val="20"/>
          <w:color w:val="auto"/>
        </w:rPr>
      </w:pPr>
      <w:r>
        <w:rPr>
          <w:rFonts w:ascii="Times New Roman" w:cs="Times New Roman" w:eastAsia="Times New Roman" w:hAnsi="Times New Roman"/>
          <w:sz w:val="16"/>
          <w:szCs w:val="16"/>
          <w:color w:val="auto"/>
        </w:rPr>
        <w:t xml:space="preserve">Regarding the Issuer’s assertion that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is not material, it has already been established that although the former Regulation on Material Events and the current Regulation on Material Events and Confidential Information (SMV Resolution No. 005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SMV/01) do not expressly include the term </w:t>
      </w:r>
      <w:r>
        <w:rPr>
          <w:rFonts w:ascii="Times New Roman" w:cs="Times New Roman" w:eastAsia="Times New Roman" w:hAnsi="Times New Roman"/>
          <w:sz w:val="16"/>
          <w:szCs w:val="16"/>
          <w:b w:val="1"/>
          <w:bCs w:val="1"/>
          <w:u w:val="single" w:color="auto"/>
          <w:color w:val="auto"/>
        </w:rPr>
        <w:t>materiality</w:t>
      </w:r>
      <w:r>
        <w:rPr>
          <w:rFonts w:ascii="Times New Roman" w:cs="Times New Roman" w:eastAsia="Times New Roman" w:hAnsi="Times New Roman"/>
          <w:sz w:val="16"/>
          <w:szCs w:val="16"/>
          <w:color w:val="auto"/>
        </w:rPr>
        <w:t>, the development of this concept—understood as significant or relevant—is indeed contained in these regulations. Their purpose is to ensure the transparency of information, requiring issuers to disclose relevant information as material events.</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Accordingly, although the type of information referred to in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is not expressly listed in the Annex of the repealed or current Regulation on Material Events</w:t>
      </w:r>
      <w:r>
        <w:rPr>
          <w:rFonts w:ascii="Times New Roman" w:cs="Times New Roman" w:eastAsia="Times New Roman" w:hAnsi="Times New Roman"/>
          <w:sz w:val="16"/>
          <w:szCs w:val="16"/>
          <w:b w:val="1"/>
          <w:bCs w:val="1"/>
          <w:color w:val="auto"/>
        </w:rPr>
        <w:t>, THE 2016 AGREEMENT</w:t>
      </w:r>
      <w:r>
        <w:rPr>
          <w:rFonts w:ascii="Times New Roman" w:cs="Times New Roman" w:eastAsia="Times New Roman" w:hAnsi="Times New Roman"/>
          <w:sz w:val="16"/>
          <w:szCs w:val="16"/>
          <w:color w:val="auto"/>
        </w:rPr>
        <w:t xml:space="preserve"> constitutes information that, by its nature, is indeed relevant to the Issuer’s shareholders and potential investors. This is because such information allows them to understand the implicit risks arising from the Issuer’s decision to support a political party and, among other aspects, that one of the largest financial conglomerates operating in the country had adopted a political position and supported a particular candidate and political platform.</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Regarding the Issuer’s defense that the expenses represented by the </w:t>
      </w:r>
      <w:r>
        <w:rPr>
          <w:rFonts w:ascii="Times New Roman" w:cs="Times New Roman" w:eastAsia="Times New Roman" w:hAnsi="Times New Roman"/>
          <w:sz w:val="16"/>
          <w:szCs w:val="16"/>
          <w:b w:val="1"/>
          <w:bCs w:val="1"/>
          <w:color w:val="auto"/>
        </w:rPr>
        <w:t>2016 CONTRIBUTIONS</w:t>
      </w:r>
      <w:r>
        <w:rPr>
          <w:rFonts w:ascii="Times New Roman" w:cs="Times New Roman" w:eastAsia="Times New Roman" w:hAnsi="Times New Roman"/>
          <w:sz w:val="16"/>
          <w:szCs w:val="16"/>
          <w:color w:val="auto"/>
        </w:rPr>
        <w:t xml:space="preserve"> were properly recorded in each subsidiary’s accounting books, it must be clarified that a review of the report from the General Accounting Departments of the subsidiaries shows that although the accounting entries of BCP, MIBANCO, and PACÍFICO recorded the contributions under a donations account—as expected—the beneficiary was not identified, meaning the political party </w:t>
      </w:r>
      <w:r>
        <w:rPr>
          <w:rFonts w:ascii="Times New Roman" w:cs="Times New Roman" w:eastAsia="Times New Roman" w:hAnsi="Times New Roman"/>
          <w:sz w:val="16"/>
          <w:szCs w:val="16"/>
          <w:b w:val="1"/>
          <w:bCs w:val="1"/>
          <w:color w:val="auto"/>
        </w:rPr>
        <w:t>PERUANOS POR EL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KAMBIO </w:t>
      </w:r>
      <w:r>
        <w:rPr>
          <w:rFonts w:ascii="Times New Roman" w:cs="Times New Roman" w:eastAsia="Times New Roman" w:hAnsi="Times New Roman"/>
          <w:sz w:val="16"/>
          <w:szCs w:val="16"/>
          <w:color w:val="auto"/>
        </w:rPr>
        <w:t>was not named. Moreover, an accounting entry does not equate to, nor does it substitute for, disclosure of a material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205105</wp:posOffset>
            </wp:positionV>
            <wp:extent cx="7146290"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60"/>
          </w:cols>
          <w:pgMar w:left="600" w:top="121" w:right="339" w:bottom="1440" w:gutter="0" w:footer="0" w:header="0"/>
        </w:sectPr>
      </w:pPr>
    </w:p>
    <w:bookmarkStart w:id="112" w:name="page113"/>
    <w:bookmarkEnd w:id="112"/>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Under this line of reasoning, the Issuer’s argument would erroneously suggest that it is unnecessary to disclose material events as required by regulation, because all relevant information is allegedly captured in accounting records. If this were true, then material event disclosure would be unnecessary, as financial statements would be deemed sufficient to communicate all relevant information. However, companies carry out thousands of transactions—of varying relevance—that are recorded in their accounts, and not all such transactions qualify as material events. Additionally, the sheer number of entries may prevent identification of the specific information that does qualify as a material event. Furthermore, not all relevant information is recorded in an issuer’s accounting books—for example, agreements, negotiations, and certain corporate decisions, many of which are expressly referenced in the annexes listing types of material events. Nevertheless, such information still qualifies as material, as in the case of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which due to its nature and significance should have been disclosed to the market.</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Thus, the accounting records referenced by the Issuer do not allow identification of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and no investor could have determined from the Issuer’s financial statements that contributions had been made to the political party PERUANOS POR EL KAMBIO. The accounting records did not expressly state that the contributions were political campaign contributions, nor were such details included in the explanatory notes of those financial statements.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Additionally, it should be emphasized that this charge concerns the Issuer’s concealment of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whereby the Issuer, as the parent company of BCP, MIBANCO and PACÍFICO, decided that these subsidiaries would make contributions to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Therefore, the fact that the subsidiaries recorded the contributions only as “Donations” does not replace the Issuer’s obligation to disclose the information as a material event, as required by applicable regulations.</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Regarding the Issuer’s argument that the political party PERUANOS POR EL KAMBIO complied with electoral rules and that the information relating to the 2016 contributions was disclosed in accordance with such rules and reported in the press, it must be noted that electoral regulation and securities market regulation are independent of one another. Regardless of the political party’s compliance with electoral rules, the Issuer was obligated to disclose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as a material event. This did not occur, and the information remained concealed for more than three (3) years. This conclusion is independent of any media coverage concerning the contributions made by the subsidiaries, since the charge relates specifically to the parent company’s agreement, which is not reflected in ONPE’s publications or in press coverage.</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Finally, regarding the Issuer’s defense that intentionality does not change the nature of the infraction, it must be reiterated that the conduct attributed to the Issuer is the concealment of information relevant to the market—an infraction in which </w:t>
      </w:r>
      <w:r>
        <w:rPr>
          <w:rFonts w:ascii="Times New Roman" w:cs="Times New Roman" w:eastAsia="Times New Roman" w:hAnsi="Times New Roman"/>
          <w:sz w:val="16"/>
          <w:szCs w:val="16"/>
          <w:u w:val="single" w:color="auto"/>
          <w:color w:val="auto"/>
        </w:rPr>
        <w:t>intentionality forms part of the infraction type</w:t>
      </w:r>
      <w:r>
        <w:rPr>
          <w:rFonts w:ascii="Times New Roman" w:cs="Times New Roman" w:eastAsia="Times New Roman" w:hAnsi="Times New Roman"/>
          <w:sz w:val="16"/>
          <w:szCs w:val="16"/>
          <w:color w:val="auto"/>
        </w:rPr>
        <w:t xml:space="preserve"> (the subjective element). Therefore, in this case, intentionality is an additional element that has been demonstrated through the facts and is inherent in the charge and the corresponding infraction type. It is thus unfounded to assert that intent does not change the infraction of failing to disclose information that is inherently significant.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8.3.1. REGARDING COMPLIANCE WITH GOOD CORPORATE GOVERNANCE</w:t>
      </w:r>
    </w:p>
    <w:p>
      <w:pPr>
        <w:spacing w:after="0" w:line="171"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6"/>
          <w:szCs w:val="16"/>
          <w:color w:val="auto"/>
        </w:rPr>
        <w:t>It should be noted that the Charges Letter does not include any allegation of possible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with corporate governance practices or annual corporate governance reports.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The infraction attributed to the Issuer concerns the concealment of information relevant to the market, including from its shareholders and potential investors, which should have been disclosed as a material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193675</wp:posOffset>
            </wp:positionV>
            <wp:extent cx="714629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60"/>
          </w:cols>
          <w:pgMar w:left="600" w:top="123" w:right="339" w:bottom="1440" w:gutter="0" w:footer="0" w:header="0"/>
        </w:sectPr>
      </w:pPr>
    </w:p>
    <w:bookmarkStart w:id="113" w:name="page114"/>
    <w:bookmarkEnd w:id="113"/>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Charges Letter references that the facts constituting the charges and corresponding infractions reveal how the Issuer’s corporate governance practices were actually observed in practice. As is known, such practices include commitments relating to: information transparency, regulatory compliance, risk management, the Code of Ethics, governance, and communication with shareholders.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 this context, regarding the </w:t>
      </w:r>
      <w:r>
        <w:rPr>
          <w:rFonts w:ascii="Times New Roman" w:cs="Times New Roman" w:eastAsia="Times New Roman" w:hAnsi="Times New Roman"/>
          <w:sz w:val="16"/>
          <w:szCs w:val="16"/>
          <w:b w:val="1"/>
          <w:bCs w:val="1"/>
          <w:color w:val="auto"/>
        </w:rPr>
        <w:t>2016 AGREEMENT</w:t>
      </w:r>
      <w:r>
        <w:rPr>
          <w:rFonts w:ascii="Times New Roman" w:cs="Times New Roman" w:eastAsia="Times New Roman" w:hAnsi="Times New Roman"/>
          <w:sz w:val="16"/>
          <w:szCs w:val="16"/>
          <w:color w:val="auto"/>
        </w:rPr>
        <w:t xml:space="preserve"> and the Issuer’s corporate governance practices, the following has been evidenced:</w:t>
      </w:r>
    </w:p>
    <w:p>
      <w:pPr>
        <w:spacing w:after="0" w:line="204" w:lineRule="exact"/>
        <w:rPr>
          <w:sz w:val="20"/>
          <w:szCs w:val="20"/>
          <w:color w:val="auto"/>
        </w:rPr>
      </w:pPr>
    </w:p>
    <w:p>
      <w:pPr>
        <w:ind w:left="300" w:right="20" w:hanging="292"/>
        <w:spacing w:after="0" w:line="290" w:lineRule="auto"/>
        <w:tabs>
          <w:tab w:leader="none" w:pos="3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b w:val="1"/>
          <w:bCs w:val="1"/>
          <w:color w:val="auto"/>
        </w:rPr>
        <w:t>contribution agreement with the political party</w:t>
      </w:r>
      <w:r>
        <w:rPr>
          <w:rFonts w:ascii="Times New Roman" w:cs="Times New Roman" w:eastAsia="Times New Roman" w:hAnsi="Times New Roman"/>
          <w:sz w:val="16"/>
          <w:szCs w:val="16"/>
          <w:color w:val="auto"/>
        </w:rPr>
        <w:t xml:space="preserve"> PERUANOS POR EL KAMBIO and the execution of such contributions were not disclosed to the securities market as material events.</w:t>
      </w:r>
    </w:p>
    <w:p>
      <w:pPr>
        <w:spacing w:after="0" w:line="140"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General Shareholders’ Meeting was not informed of the contribution agreement.</w:t>
      </w:r>
    </w:p>
    <w:p>
      <w:pPr>
        <w:spacing w:after="0" w:line="204" w:lineRule="exact"/>
        <w:rPr>
          <w:rFonts w:ascii="Times New Roman" w:cs="Times New Roman" w:eastAsia="Times New Roman" w:hAnsi="Times New Roman"/>
          <w:sz w:val="16"/>
          <w:szCs w:val="16"/>
          <w:color w:val="auto"/>
        </w:rPr>
      </w:pPr>
    </w:p>
    <w:p>
      <w:pPr>
        <w:ind w:left="300" w:hanging="292"/>
        <w:spacing w:after="0" w:line="287" w:lineRule="auto"/>
        <w:tabs>
          <w:tab w:leader="none" w:pos="3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internal audit system was not informed of the 2016 contributions. The Internal Auditor became aware only on November 15, 2019, days before Mr. Romero’s testimony before the Public Prosecutor’s Office.</w:t>
      </w:r>
    </w:p>
    <w:p>
      <w:pPr>
        <w:spacing w:after="0" w:line="142"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risk management system was not informed of the 2016 contributions.</w:t>
      </w:r>
    </w:p>
    <w:p>
      <w:pPr>
        <w:spacing w:after="0" w:line="169" w:lineRule="exact"/>
        <w:rPr>
          <w:sz w:val="20"/>
          <w:szCs w:val="20"/>
          <w:color w:val="auto"/>
        </w:rPr>
      </w:pPr>
    </w:p>
    <w:p>
      <w:pPr>
        <w:jc w:val="both"/>
        <w:ind w:right="20"/>
        <w:spacing w:after="0" w:line="211" w:lineRule="exact"/>
        <w:rPr>
          <w:sz w:val="20"/>
          <w:szCs w:val="20"/>
          <w:color w:val="auto"/>
        </w:rPr>
      </w:pPr>
      <w:r>
        <w:rPr>
          <w:rFonts w:ascii="Times New Roman" w:cs="Times New Roman" w:eastAsia="Times New Roman" w:hAnsi="Times New Roman"/>
          <w:sz w:val="16"/>
          <w:szCs w:val="16"/>
          <w:color w:val="auto"/>
        </w:rPr>
        <w:t>Thus, the facts described, the Issuer’s responses to the information request in Official Letter No. 5714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and the remaining documents and information gathered, show that the Issuer’s corporate governance practices were insufficient to prevent the commission of the infractions relating to information transparency at issue in this proceeding.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8.3.2. REGARDING THE 2014 CODE OF ETHICS</w:t>
      </w:r>
    </w:p>
    <w:p>
      <w:pPr>
        <w:spacing w:after="0" w:line="2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As with the 2011 Code of Ethics, the 2014 Code also sets behavioral and conduct rules, and was designed and established so that the Issuer’s employees and </w:t>
      </w:r>
      <w:r>
        <w:rPr>
          <w:rFonts w:ascii="Times New Roman" w:cs="Times New Roman" w:eastAsia="Times New Roman" w:hAnsi="Times New Roman"/>
          <w:sz w:val="16"/>
          <w:szCs w:val="16"/>
          <w:b w:val="1"/>
          <w:bCs w:val="1"/>
          <w:color w:val="auto"/>
        </w:rPr>
        <w:t>directors</w:t>
      </w:r>
      <w:r>
        <w:rPr>
          <w:rFonts w:ascii="Times New Roman" w:cs="Times New Roman" w:eastAsia="Times New Roman" w:hAnsi="Times New Roman"/>
          <w:sz w:val="16"/>
          <w:szCs w:val="16"/>
          <w:color w:val="auto"/>
        </w:rPr>
        <w:t xml:space="preserve"> commit themselves to acting within the limits established by laws, regulations, bylaws, etc. Thus, the primary characteristic of this regulation is that its compliance depends on the behavior of each of its officers.</w:t>
      </w:r>
    </w:p>
    <w:p>
      <w:pPr>
        <w:spacing w:after="0" w:line="1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Accordingly, it is once again demonstrated that the Issuer has internal rules that are mandatory for officers and directors, and any deviation from or violation of these rules is relevant both within the organization and for investors and securities market regulators.</w:t>
      </w:r>
    </w:p>
    <w:p>
      <w:pPr>
        <w:spacing w:after="0" w:line="143"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Additionally, as the Issuer states, it is important that all its members respect the appropriate use of the organization’s tangible and intangible assets and are responsible for using them efficiently.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8.4. REGARDING THE ALLEGED ABSENCE OF HARM TO INVESTORS</w:t>
      </w:r>
    </w:p>
    <w:p>
      <w:pPr>
        <w:spacing w:after="0" w:line="20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With respect to this defense, it must be noted that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remained concealed from the market for more than three (3) years, and that such concealment ceased only when the information became public under circumstances that are also publicly known and previously described.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Accordingly, since this information was concealed for several years, it is now impossible to reliably measure any harm that may have resulted from such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233045</wp:posOffset>
            </wp:positionV>
            <wp:extent cx="7146290"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3" w:right="319" w:bottom="1440" w:gutter="0" w:footer="0" w:header="0"/>
        </w:sectPr>
      </w:pPr>
    </w:p>
    <w:bookmarkStart w:id="114" w:name="page115"/>
    <w:bookmarkEnd w:id="114"/>
    <w:p>
      <w:pPr>
        <w:jc w:val="both"/>
        <w:spacing w:after="0" w:line="270" w:lineRule="auto"/>
        <w:rPr>
          <w:sz w:val="20"/>
          <w:szCs w:val="20"/>
          <w:color w:val="auto"/>
        </w:rPr>
      </w:pPr>
      <w:r>
        <w:rPr>
          <w:rFonts w:ascii="Times New Roman" w:cs="Times New Roman" w:eastAsia="Times New Roman" w:hAnsi="Times New Roman"/>
          <w:sz w:val="16"/>
          <w:szCs w:val="16"/>
          <w:color w:val="auto"/>
        </w:rPr>
        <w:t>Therefore, the Issuer’s argument that “no harm occurred” is not accurate, as the Issuer has not demonstrated such assertion, nor will it be possible to calculate the harm caused to the market. As is known, there is no generally accepted mathematical model that allows a reliable estimation of the effect (a valuation impact) on a share price due to information that was deliberately concealed.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 By means of a written submission dated January 27, 2021, the Issuer presented its arguments, which are summarized below:</w:t>
      </w:r>
    </w:p>
    <w:p>
      <w:pPr>
        <w:spacing w:after="0" w:line="204" w:lineRule="exact"/>
        <w:rPr>
          <w:sz w:val="20"/>
          <w:szCs w:val="20"/>
          <w:color w:val="auto"/>
        </w:rPr>
      </w:pPr>
    </w:p>
    <w:p>
      <w:pPr>
        <w:jc w:val="both"/>
        <w:ind w:firstLine="8"/>
        <w:spacing w:after="0" w:line="261" w:lineRule="auto"/>
        <w:tabs>
          <w:tab w:leader="none" w:pos="191"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argues that the following principles were allegedly violated: the principle of legality, asserting that the instructing authority exceeded its powers by imputing an infraction that does not correspond to the Issuer’s conduct; the principle of typicity; the principle of specialty, claiming that the most specific infraction type for the alleged conduct is that set forth in subsection 2.14 of the Sanctions Regulation; the principle of due procedure, arguing that its right of defense was infringed by being assigned an infraction type that does not reflect reality; and finally, the principle of predictability, stating that in similar cases the authority applied subsection 2.14 —classified as a serious infraction—rather than subsection 1.6, applied to very serious infractions.</w:t>
      </w:r>
    </w:p>
    <w:p>
      <w:pPr>
        <w:spacing w:after="0" w:line="165" w:lineRule="exact"/>
        <w:rPr>
          <w:rFonts w:ascii="Times New Roman" w:cs="Times New Roman" w:eastAsia="Times New Roman" w:hAnsi="Times New Roman"/>
          <w:sz w:val="16"/>
          <w:szCs w:val="16"/>
          <w:color w:val="auto"/>
        </w:rPr>
      </w:pPr>
    </w:p>
    <w:p>
      <w:pPr>
        <w:jc w:val="both"/>
        <w:ind w:firstLine="8"/>
        <w:spacing w:after="0" w:line="264" w:lineRule="auto"/>
        <w:tabs>
          <w:tab w:leader="none" w:pos="188"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reiterates that the specific infraction type applicable to the alleged conduct is that contained in numeral 2.14 of Annex I of the Sanctions Regulation in force in 2011 and in 2016. This is because both the Charges Letter and the Instruction Report clearly state that the conduct—the facts—imputed by the IGCC consists of failing to disclose as a material event the 2011 Contributions or the adoption of the 2016 Agreement. According to the Issuer, such conduct corresponds to the specific type of “</w:t>
      </w:r>
      <w:r>
        <w:rPr>
          <w:rFonts w:ascii="Times New Roman" w:cs="Times New Roman" w:eastAsia="Times New Roman" w:hAnsi="Times New Roman"/>
          <w:sz w:val="16"/>
          <w:szCs w:val="16"/>
          <w:i w:val="1"/>
          <w:iCs w:val="1"/>
          <w:color w:val="auto"/>
        </w:rPr>
        <w:t>failure to disclose material events that have significant repercussions on the market</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firstLine="8"/>
        <w:spacing w:after="0" w:line="258" w:lineRule="auto"/>
        <w:tabs>
          <w:tab w:leader="none" w:pos="182"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further asserts that the Instruction Report, disregarding the principles of legality, typicity, and specialty, erroneously imputes the commission of a very serious infraction described as “</w:t>
      </w:r>
      <w:r>
        <w:rPr>
          <w:rFonts w:ascii="Times New Roman" w:cs="Times New Roman" w:eastAsia="Times New Roman" w:hAnsi="Times New Roman"/>
          <w:sz w:val="16"/>
          <w:szCs w:val="16"/>
          <w:i w:val="1"/>
          <w:iCs w:val="1"/>
          <w:color w:val="auto"/>
        </w:rPr>
        <w:t>carrying out any act, omission, practice, or conduct that undermines the integrity or transparency of the market</w:t>
      </w:r>
      <w:r>
        <w:rPr>
          <w:rFonts w:ascii="Times New Roman" w:cs="Times New Roman" w:eastAsia="Times New Roman" w:hAnsi="Times New Roman"/>
          <w:sz w:val="16"/>
          <w:szCs w:val="16"/>
          <w:color w:val="auto"/>
        </w:rPr>
        <w:t>.” To support this claim, it argues that the Report attempts to sustain that the Issuer violated Article 10 of the LMV. However, the Issuer states that Article 10 does not contain any mandate regarding the obligation to disclose specific information. It merely establishes that when there is an obligation to disclose information “as required by this law,” such disclosure must be truthful, sufficient, and timely. The legal provision that establishes the obligation of issuers to disclose relevant information to the market is Article 28 of the LMV, which explicitly requires the disclosure of material events. The Issuer argues that violations of Article 28 were specifically typified in the Sanctions Regulation in force in 2011 and 2016 under numerals 2.14 and 3.1 of Annex I. Thus, according to the Issuer, the only validly typified infraction applicable to its alleged conduct is that contained in numeral 2.14 of the Sanctions Regulation in both 2011 and 2016.</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As a result, the Issuer argues that the distinction between the infraction types lies not in the legal interest protected but in the specific conduct imputed. The infraction type “</w:t>
      </w:r>
      <w:r>
        <w:rPr>
          <w:rFonts w:ascii="Times New Roman" w:cs="Times New Roman" w:eastAsia="Times New Roman" w:hAnsi="Times New Roman"/>
          <w:sz w:val="16"/>
          <w:szCs w:val="16"/>
          <w:i w:val="1"/>
          <w:iCs w:val="1"/>
          <w:color w:val="auto"/>
        </w:rPr>
        <w:t>failure to disclose material events that have significant repercussions on the market</w:t>
      </w:r>
      <w:r>
        <w:rPr>
          <w:rFonts w:ascii="Times New Roman" w:cs="Times New Roman" w:eastAsia="Times New Roman" w:hAnsi="Times New Roman"/>
          <w:sz w:val="16"/>
          <w:szCs w:val="16"/>
          <w:color w:val="auto"/>
        </w:rPr>
        <w:t>” completely encompasses the conduct attributed, whereas the infraction type “</w:t>
      </w:r>
      <w:r>
        <w:rPr>
          <w:rFonts w:ascii="Times New Roman" w:cs="Times New Roman" w:eastAsia="Times New Roman" w:hAnsi="Times New Roman"/>
          <w:sz w:val="16"/>
          <w:szCs w:val="16"/>
          <w:i w:val="1"/>
          <w:iCs w:val="1"/>
          <w:color w:val="auto"/>
        </w:rPr>
        <w:t>carrying out any act, omission, practice or conduct that undermines the integrity or transparency of the market</w:t>
      </w:r>
      <w:r>
        <w:rPr>
          <w:rFonts w:ascii="Times New Roman" w:cs="Times New Roman" w:eastAsia="Times New Roman" w:hAnsi="Times New Roman"/>
          <w:sz w:val="16"/>
          <w:szCs w:val="16"/>
          <w:color w:val="auto"/>
        </w:rPr>
        <w:t>” is a generic type. Since numeral 2.14 constitutes a special provision that precisely describes the conduct in question, the Issuer claims that this is the infraction that should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205740</wp:posOffset>
            </wp:positionV>
            <wp:extent cx="7146290"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60"/>
          </w:cols>
          <w:pgMar w:left="600" w:top="12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color w:val="auto"/>
        </w:rPr>
        <w:t>d) The Issuer refers to the elements identified by the IGCC as differentiating a very serious infraction, stating the following:</w:t>
      </w:r>
    </w:p>
    <w:p>
      <w:pPr>
        <w:spacing w:after="0" w:line="204" w:lineRule="exact"/>
        <w:rPr>
          <w:sz w:val="20"/>
          <w:szCs w:val="20"/>
          <w:color w:val="auto"/>
        </w:rPr>
      </w:pPr>
    </w:p>
    <w:p>
      <w:pPr>
        <w:jc w:val="both"/>
        <w:ind w:left="300" w:hanging="292"/>
        <w:spacing w:after="0" w:line="270" w:lineRule="auto"/>
        <w:tabs>
          <w:tab w:leader="none" w:pos="30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element concerning the “time between the undisclosed event and the date it was disclosed as a material event” is not contemplated in the Sanctions Regulation. Rather, the passage of time has only been considered by the SMV as a criterion for determining the severity of the sanction, not as a parameter for altering the applicable infraction type.</w:t>
      </w:r>
    </w:p>
    <w:p>
      <w:pPr>
        <w:spacing w:after="0" w:line="156" w:lineRule="exact"/>
        <w:rPr>
          <w:rFonts w:ascii="Times New Roman" w:cs="Times New Roman" w:eastAsia="Times New Roman" w:hAnsi="Times New Roman"/>
          <w:sz w:val="16"/>
          <w:szCs w:val="16"/>
          <w:color w:val="auto"/>
        </w:rPr>
      </w:pPr>
    </w:p>
    <w:p>
      <w:pPr>
        <w:jc w:val="both"/>
        <w:ind w:left="300" w:hanging="292"/>
        <w:spacing w:after="0" w:line="270" w:lineRule="auto"/>
        <w:tabs>
          <w:tab w:leader="none" w:pos="30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regulations contain no reference to the amount of time that must pass between the occurrence of a fact and the date it is disclosed as a material event in order to classify the conduct under a different infraction type from “</w:t>
      </w:r>
      <w:r>
        <w:rPr>
          <w:rFonts w:ascii="Times New Roman" w:cs="Times New Roman" w:eastAsia="Times New Roman" w:hAnsi="Times New Roman"/>
          <w:sz w:val="16"/>
          <w:szCs w:val="16"/>
          <w:i w:val="1"/>
          <w:iCs w:val="1"/>
          <w:color w:val="auto"/>
        </w:rPr>
        <w:t>failure to disclose material events that have significant repercussions on the market</w:t>
      </w:r>
      <w:r>
        <w:rPr>
          <w:rFonts w:ascii="Times New Roman" w:cs="Times New Roman" w:eastAsia="Times New Roman" w:hAnsi="Times New Roman"/>
          <w:sz w:val="16"/>
          <w:szCs w:val="16"/>
          <w:color w:val="auto"/>
        </w:rPr>
        <w:t>.” Nor does the Instruction Report mention such a parameter.</w:t>
      </w:r>
    </w:p>
    <w:p>
      <w:pPr>
        <w:spacing w:after="0" w:line="156" w:lineRule="exact"/>
        <w:rPr>
          <w:rFonts w:ascii="Times New Roman" w:cs="Times New Roman" w:eastAsia="Times New Roman" w:hAnsi="Times New Roman"/>
          <w:sz w:val="16"/>
          <w:szCs w:val="16"/>
          <w:color w:val="auto"/>
        </w:rPr>
      </w:pPr>
    </w:p>
    <w:p>
      <w:pPr>
        <w:jc w:val="both"/>
        <w:ind w:left="300" w:hanging="292"/>
        <w:spacing w:after="0" w:line="264" w:lineRule="auto"/>
        <w:tabs>
          <w:tab w:leader="none" w:pos="30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What the Sanctions Regulation and other administrative rules do address is that the time elapsed since the event occurred is relevant for calculating the statute of limitations. In this regard, the administration may not disregard the rules of prescription by distorting the infraction type, assigning to the regulated party an infraction type that does not correspond to the conduct and invoking criteria not regulated by the applicable norms, which constitutes a clear violation of the Principle of Legality.</w:t>
      </w:r>
    </w:p>
    <w:p>
      <w:pPr>
        <w:spacing w:after="0" w:line="159" w:lineRule="exact"/>
        <w:rPr>
          <w:rFonts w:ascii="Times New Roman" w:cs="Times New Roman" w:eastAsia="Times New Roman" w:hAnsi="Times New Roman"/>
          <w:sz w:val="16"/>
          <w:szCs w:val="16"/>
          <w:color w:val="auto"/>
        </w:rPr>
      </w:pPr>
    </w:p>
    <w:p>
      <w:pPr>
        <w:ind w:left="300" w:hanging="292"/>
        <w:spacing w:after="0" w:line="290" w:lineRule="auto"/>
        <w:tabs>
          <w:tab w:leader="none" w:pos="30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duration of a conduct is likewise not an element of the infraction type “</w:t>
      </w:r>
      <w:r>
        <w:rPr>
          <w:rFonts w:ascii="Times New Roman" w:cs="Times New Roman" w:eastAsia="Times New Roman" w:hAnsi="Times New Roman"/>
          <w:sz w:val="16"/>
          <w:szCs w:val="16"/>
          <w:i w:val="1"/>
          <w:iCs w:val="1"/>
          <w:color w:val="auto"/>
        </w:rPr>
        <w:t>carrying out any act, omission, practice or conduct that undermines the integrity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transparency of the market</w:t>
      </w:r>
      <w:r>
        <w:rPr>
          <w:rFonts w:ascii="Times New Roman" w:cs="Times New Roman" w:eastAsia="Times New Roman" w:hAnsi="Times New Roman"/>
          <w:sz w:val="16"/>
          <w:szCs w:val="16"/>
          <w:color w:val="auto"/>
        </w:rPr>
        <w:t>.” Consequently, the alleged distinction between the two infraction types, as argued in the Instruction Report, lacks any normative basis.</w:t>
      </w:r>
    </w:p>
    <w:p>
      <w:pPr>
        <w:spacing w:after="0" w:line="140" w:lineRule="exact"/>
        <w:rPr>
          <w:sz w:val="20"/>
          <w:szCs w:val="20"/>
          <w:color w:val="auto"/>
        </w:rPr>
      </w:pPr>
    </w:p>
    <w:p>
      <w:pPr>
        <w:ind w:firstLine="8"/>
        <w:spacing w:after="0" w:line="287" w:lineRule="auto"/>
        <w:tabs>
          <w:tab w:leader="none" w:pos="168"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further argues that an intentional nondisclosure of relevant facts continues to constitute the same infraction of “failure to disclose material events,” and that intent does not create a distinct infraction but is merely a factor relevant for determining the severity of the sanction.</w:t>
      </w:r>
    </w:p>
    <w:p>
      <w:pPr>
        <w:spacing w:after="0" w:line="143"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6"/>
          <w:szCs w:val="16"/>
          <w:u w:val="single" w:color="auto"/>
          <w:color w:val="auto"/>
        </w:rPr>
        <w:t>An infraction type may contain elements relating to intent or negligence of the regulated party</w:t>
      </w:r>
      <w:r>
        <w:rPr>
          <w:rFonts w:ascii="Times New Roman" w:cs="Times New Roman" w:eastAsia="Times New Roman" w:hAnsi="Times New Roman"/>
          <w:sz w:val="16"/>
          <w:szCs w:val="16"/>
          <w:color w:val="auto"/>
        </w:rPr>
        <w:t>. However, under the Principle of Specificity, such elements must be explicitly defined in the infraction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creating regulation.</w:t>
      </w:r>
    </w:p>
    <w:p>
      <w:pPr>
        <w:spacing w:after="0" w:line="1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According to the Issuer, the infraction type of “</w:t>
      </w:r>
      <w:r>
        <w:rPr>
          <w:rFonts w:ascii="Times New Roman" w:cs="Times New Roman" w:eastAsia="Times New Roman" w:hAnsi="Times New Roman"/>
          <w:sz w:val="16"/>
          <w:szCs w:val="16"/>
          <w:i w:val="1"/>
          <w:iCs w:val="1"/>
          <w:color w:val="auto"/>
        </w:rPr>
        <w:t>failure to disclose material events that have significant repercussions on the market</w:t>
      </w:r>
      <w:r>
        <w:rPr>
          <w:rFonts w:ascii="Times New Roman" w:cs="Times New Roman" w:eastAsia="Times New Roman" w:hAnsi="Times New Roman"/>
          <w:sz w:val="16"/>
          <w:szCs w:val="16"/>
          <w:color w:val="auto"/>
        </w:rPr>
        <w:t>” is treated by the SMV as an infraction in which intent is irrelevant for determining whether the infraction occurred. Thus, whether the nondisclosure was intentional or negligent, the SMV has consistently applied this infraction type to penalize issuers who failed to disclose relevant information. The analysis of negligence or intent is only relevant to determine the severity of the sanction—not to create a separate infraction.</w:t>
      </w:r>
    </w:p>
    <w:p>
      <w:pPr>
        <w:spacing w:after="0" w:line="1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Accordingly, the Issuer argues that there is no normative basis for the Instruction Report’s claim that the presence of “intent” creates a distinct infraction type separate from failure to disclose material events.</w:t>
      </w:r>
    </w:p>
    <w:p>
      <w:pPr>
        <w:spacing w:after="0" w:line="143" w:lineRule="exact"/>
        <w:rPr>
          <w:sz w:val="20"/>
          <w:szCs w:val="20"/>
          <w:color w:val="auto"/>
        </w:rPr>
      </w:pPr>
    </w:p>
    <w:p>
      <w:pPr>
        <w:ind w:firstLine="8"/>
        <w:spacing w:after="0" w:line="287" w:lineRule="auto"/>
        <w:tabs>
          <w:tab w:leader="none" w:pos="153"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also argues that the degree of relevance of information does not convert the conduct of failing to disclose such information into a different infraction type, contrary to what the Instruction Report asserts.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193675</wp:posOffset>
            </wp:positionV>
            <wp:extent cx="7146290"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60"/>
          </w:cols>
          <w:pgMar w:left="600" w:top="123" w:right="339" w:bottom="1440" w:gutter="0" w:footer="0" w:header="0"/>
        </w:sectPr>
      </w:pPr>
    </w:p>
    <w:bookmarkStart w:id="116" w:name="page117"/>
    <w:bookmarkEnd w:id="116"/>
    <w:p>
      <w:pPr>
        <w:jc w:val="both"/>
        <w:ind w:right="20" w:firstLine="8"/>
        <w:spacing w:after="0" w:line="270" w:lineRule="auto"/>
        <w:tabs>
          <w:tab w:leader="none" w:pos="19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further claims that information regarding the 2016 Contributions was public—because it had been published on the ONPE website and reported in the press (Diario Gestión, June 17, 2016). Thus, according to the Issuer, the information was already known by the market, and the SMV did not require disclosure as a material event at that time, which in its view demonstrates that the SMV did not consider it relevant.</w:t>
      </w:r>
    </w:p>
    <w:p>
      <w:pPr>
        <w:spacing w:after="0" w:line="156" w:lineRule="exact"/>
        <w:rPr>
          <w:rFonts w:ascii="Times New Roman" w:cs="Times New Roman" w:eastAsia="Times New Roman" w:hAnsi="Times New Roman"/>
          <w:sz w:val="16"/>
          <w:szCs w:val="16"/>
          <w:color w:val="auto"/>
        </w:rPr>
      </w:pPr>
    </w:p>
    <w:p>
      <w:pPr>
        <w:jc w:val="both"/>
        <w:ind w:right="20" w:firstLine="8"/>
        <w:spacing w:after="0" w:line="261" w:lineRule="auto"/>
        <w:tabs>
          <w:tab w:leader="none" w:pos="18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legal provision establishing a prohibition against keeping information confidential or making the failure to disclose material information an unlawful act. The mandate contained in Article 28 of the LMV states that disclosure must be made “as soon as the event occurs or the issuer becomes aware of it, as the case may be.” In this regard, when an issuer fails to disclose a material event, it breaches its duty to disclose information in a timely manner, which constitutes an instantaneous infraction. Keeping information confidential that does not constitute a material event has no unlawful content. All issuers do this every day. In fact, the duty to maintain the confidentiality of corporate information is mandated by the General Corporations Law.</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a consequence, even in the hypothetical and denied scenario in which the Issuer had committed a breach, such breach would relate to its duty to disclose material events—</w:t>
      </w:r>
      <w:r>
        <w:rPr>
          <w:rFonts w:ascii="Times New Roman" w:cs="Times New Roman" w:eastAsia="Times New Roman" w:hAnsi="Times New Roman"/>
          <w:sz w:val="16"/>
          <w:szCs w:val="16"/>
          <w:u w:val="single" w:color="auto"/>
          <w:color w:val="auto"/>
        </w:rPr>
        <w:t>an infraction of instantaneous nature</w:t>
      </w:r>
      <w:r>
        <w:rPr>
          <w:rFonts w:ascii="Times New Roman" w:cs="Times New Roman" w:eastAsia="Times New Roman" w:hAnsi="Times New Roman"/>
          <w:sz w:val="16"/>
          <w:szCs w:val="16"/>
          <w:color w:val="auto"/>
        </w:rPr>
        <w:t xml:space="preserve">. The “instantaneous infraction” may have permanent or prolonged effects, but that </w:t>
      </w:r>
      <w:r>
        <w:rPr>
          <w:rFonts w:ascii="Times New Roman" w:cs="Times New Roman" w:eastAsia="Times New Roman" w:hAnsi="Times New Roman"/>
          <w:sz w:val="16"/>
          <w:szCs w:val="16"/>
          <w:u w:val="single" w:color="auto"/>
          <w:color w:val="auto"/>
        </w:rPr>
        <w:t>does not convert it into a “permanent”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or “continuous” infraction</w:t>
      </w:r>
      <w:r>
        <w:rPr>
          <w:rFonts w:ascii="Times New Roman" w:cs="Times New Roman" w:eastAsia="Times New Roman" w:hAnsi="Times New Roman"/>
          <w:sz w:val="16"/>
          <w:szCs w:val="16"/>
          <w:color w:val="auto"/>
        </w:rPr>
        <w:t xml:space="preserve">. The only sanctioning type applicable to the conduct attributed to the Issuer is the failure to disclose a material event—an instantaneous infraction that, in the case of the 2011 Information, </w:t>
      </w:r>
      <w:r>
        <w:rPr>
          <w:rFonts w:ascii="Times New Roman" w:cs="Times New Roman" w:eastAsia="Times New Roman" w:hAnsi="Times New Roman"/>
          <w:sz w:val="16"/>
          <w:szCs w:val="16"/>
          <w:u w:val="single" w:color="auto"/>
          <w:color w:val="auto"/>
        </w:rPr>
        <w:t>has already prescribed</w:t>
      </w:r>
      <w:r>
        <w:rPr>
          <w:rFonts w:ascii="Times New Roman" w:cs="Times New Roman" w:eastAsia="Times New Roman" w:hAnsi="Times New Roman"/>
          <w:sz w:val="16"/>
          <w:szCs w:val="16"/>
          <w:color w:val="auto"/>
        </w:rPr>
        <w:t>. Therefore, even assuming that such information should have been disclosed as a material event, the alleged breach would have occurred on May 24, 2011, meaning that the corresponding infraction would have prescribed in May 2015.</w:t>
      </w:r>
    </w:p>
    <w:p>
      <w:pPr>
        <w:spacing w:after="0" w:line="163" w:lineRule="exact"/>
        <w:rPr>
          <w:sz w:val="20"/>
          <w:szCs w:val="20"/>
          <w:color w:val="auto"/>
        </w:rPr>
      </w:pPr>
    </w:p>
    <w:p>
      <w:pPr>
        <w:jc w:val="both"/>
        <w:ind w:right="20" w:firstLine="8"/>
        <w:spacing w:after="0" w:line="265" w:lineRule="auto"/>
        <w:tabs>
          <w:tab w:leader="none" w:pos="149"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Issuer reiterates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was not material and therefore there was no obligation to disclose it to the market, neither at the time of the 2011 Contributions nor at any later date. The Issuer argues that the 2011 Information was not material, not only in quantitative terms but also in qualitative terms. It states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did not have a significant impact on the liquidity or price of the securities when it was revealed—that is, it did not have the capacity to significantly influence investor decisions.</w:t>
      </w:r>
    </w:p>
    <w:p>
      <w:pPr>
        <w:spacing w:after="0" w:line="161" w:lineRule="exact"/>
        <w:rPr>
          <w:sz w:val="20"/>
          <w:szCs w:val="20"/>
          <w:color w:val="auto"/>
        </w:rPr>
      </w:pPr>
    </w:p>
    <w:p>
      <w:pPr>
        <w:jc w:val="both"/>
        <w:ind w:right="20"/>
        <w:spacing w:after="0" w:line="200" w:lineRule="exact"/>
        <w:rPr>
          <w:sz w:val="20"/>
          <w:szCs w:val="20"/>
          <w:color w:val="auto"/>
        </w:rPr>
      </w:pPr>
      <w:r>
        <w:rPr>
          <w:rFonts w:ascii="Times New Roman" w:cs="Times New Roman" w:eastAsia="Times New Roman" w:hAnsi="Times New Roman"/>
          <w:sz w:val="16"/>
          <w:szCs w:val="16"/>
          <w:color w:val="auto"/>
        </w:rPr>
        <w:t>As stated in its Initial Defenses, the Issuer asserts that the movements in its share price during the period following the disclosure of the 2011 Information were not atypical nor determined by such information, but rather corresponded to normal supply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and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demand movements, at a time when international markets and major financial stocks from Peru, Chile, and Colombia listed in the U.S. markets were trading lower.</w:t>
      </w:r>
    </w:p>
    <w:p>
      <w:pPr>
        <w:spacing w:after="0" w:line="177" w:lineRule="exact"/>
        <w:rPr>
          <w:sz w:val="20"/>
          <w:szCs w:val="20"/>
          <w:color w:val="auto"/>
        </w:rPr>
      </w:pPr>
    </w:p>
    <w:p>
      <w:pPr>
        <w:jc w:val="both"/>
        <w:ind w:right="20" w:firstLine="8"/>
        <w:spacing w:after="0" w:line="265" w:lineRule="auto"/>
        <w:tabs>
          <w:tab w:leader="none" w:pos="153"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Issuer further reiterates that it had no intention of concealing any information; rather,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allegedly lacked materiality in all respects and were therefore not subject to mandatory disclosure as material events. It also states that the accounting record of the 2011 Contributions and the 2016 Contributions was performed strictly in accordance with International Financial Reporting Standards (IFRS), issued by the International Accounting Standards Board (IASB).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205105</wp:posOffset>
            </wp:positionV>
            <wp:extent cx="7146290"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3" w:right="319" w:bottom="1440" w:gutter="0" w:footer="0" w:header="0"/>
        </w:sectPr>
      </w:pPr>
    </w:p>
    <w:bookmarkStart w:id="117" w:name="page118"/>
    <w:bookmarkEnd w:id="117"/>
    <w:p>
      <w:pPr>
        <w:jc w:val="both"/>
        <w:ind w:right="20" w:firstLine="8"/>
        <w:spacing w:after="0" w:line="204" w:lineRule="exact"/>
        <w:tabs>
          <w:tab w:leader="none" w:pos="183"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also asserts that the 2011 Contributions did not imply a violation or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with its internal policies. It reiterates that it did not violate the 2009 Code of Ethics, arguing that Article 4.5 seeks to prohibit payments to public officials, political parties, or political candidates “for the purpose of attracting business to the Corporation.” According to the Issuer, the purpose of this provision is—expressly—to prohibit payments made with the intent of receiving or attracting business in return. Thus, the Issuer argues that the second paragraph of Article 4.5 clarifies that payments “of this kind” cannot be made to public officials, political parties, or candidates; meaning that the Code does not proscribe political contributions in general, but only contributions made with the intention of attracting business.</w:t>
      </w:r>
    </w:p>
    <w:p>
      <w:pPr>
        <w:spacing w:after="0" w:line="181" w:lineRule="exact"/>
        <w:rPr>
          <w:rFonts w:ascii="Times New Roman" w:cs="Times New Roman" w:eastAsia="Times New Roman" w:hAnsi="Times New Roman"/>
          <w:sz w:val="16"/>
          <w:szCs w:val="16"/>
          <w:color w:val="auto"/>
        </w:rPr>
      </w:pPr>
    </w:p>
    <w:p>
      <w:pPr>
        <w:jc w:val="both"/>
        <w:ind w:firstLine="8"/>
        <w:spacing w:after="0" w:line="264" w:lineRule="auto"/>
        <w:tabs>
          <w:tab w:leader="none" w:pos="142"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Issuer also argues that there is no contradiction with its corporate governance reports, since the 2011 Contributions did not involve any falsehood or breach of the statements contained therein. It argues that the 2011 Contributions were not made in the context of a conflict of interest nor did they constitute fraudulent use of the Issuer’s assets. </w:t>
      </w:r>
      <w:r>
        <w:rPr>
          <w:rFonts w:ascii="Times New Roman" w:cs="Times New Roman" w:eastAsia="Times New Roman" w:hAnsi="Times New Roman"/>
          <w:sz w:val="16"/>
          <w:szCs w:val="16"/>
          <w:u w:val="single" w:color="auto"/>
          <w:color w:val="auto"/>
        </w:rPr>
        <w:t>Therefore, the corporate governance declaration should not be considered false, nor should it be understood that the Board failed in supervising such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conduct.</w:t>
      </w:r>
    </w:p>
    <w:p>
      <w:pPr>
        <w:spacing w:after="0" w:line="161" w:lineRule="exact"/>
        <w:rPr>
          <w:rFonts w:ascii="Times New Roman" w:cs="Times New Roman" w:eastAsia="Times New Roman" w:hAnsi="Times New Roman"/>
          <w:sz w:val="16"/>
          <w:szCs w:val="16"/>
          <w:color w:val="auto"/>
        </w:rPr>
      </w:pPr>
    </w:p>
    <w:p>
      <w:pPr>
        <w:jc w:val="both"/>
        <w:ind w:right="20" w:firstLine="8"/>
        <w:spacing w:after="0" w:line="261" w:lineRule="auto"/>
        <w:tabs>
          <w:tab w:leader="none" w:pos="224"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the Issuer, if the authority’s intention was to ensure that investors have the information needed to make investment decisions, then such purpose would be reasonably satisfied with a single disclosure of the material event. It considers it unreasonable to require the three (3) subsidiaries to submit the same disclosure to the SMV; instead, the SMV should have initiated a single sanctioning proceeding against only one company, and then included the subsidiaries as jointly liable parties if applicable, pursuant to numeral 2 of Article 251 of the LPAG, which establishes that when fulfilling the obligations of a legal provision corresponds jointly to several persons, they shall “be jointly liable” for the alleged infractions.</w:t>
      </w:r>
    </w:p>
    <w:p>
      <w:pPr>
        <w:spacing w:after="0" w:line="165" w:lineRule="exact"/>
        <w:rPr>
          <w:rFonts w:ascii="Times New Roman" w:cs="Times New Roman" w:eastAsia="Times New Roman" w:hAnsi="Times New Roman"/>
          <w:sz w:val="16"/>
          <w:szCs w:val="16"/>
          <w:color w:val="auto"/>
        </w:rPr>
      </w:pPr>
    </w:p>
    <w:p>
      <w:pPr>
        <w:jc w:val="both"/>
        <w:ind w:right="20" w:firstLine="8"/>
        <w:spacing w:after="0" w:line="270" w:lineRule="auto"/>
        <w:tabs>
          <w:tab w:leader="none" w:pos="177"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reiterates that it had no intention of concealing the contributions made to Peruanos Por el Kambio by three of its subsidiaries; that these contributions were executed pursuant to the Issuer’s formal internal policies; and that they were all reported to the competent authority for disclosure: ONPE. Therefore, the Issuer argues that the 2016 Contributions were public knowledge.</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 xml:space="preserve">It reiterates that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did not have materiality—neither quantitative nor qualitative—and therefore the Issuer was not obligated to disclose such information to the market. It also argues that there was no concealment because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was adopted by the Issuer’s Executive Committee in accordance with its “Policy on Contributions to the Democratic Process,” approved by the Corporate Governance Committee on November 18, 2015. Additionally, in compliance with the Contributions Policy, the execution of the 2016 Contributions was reported to the Boards of Directors of the Issuer and its subsidiaries.</w:t>
      </w:r>
    </w:p>
    <w:p>
      <w:pPr>
        <w:spacing w:after="0" w:line="161" w:lineRule="exact"/>
        <w:rPr>
          <w:sz w:val="20"/>
          <w:szCs w:val="20"/>
          <w:color w:val="auto"/>
        </w:rPr>
      </w:pPr>
    </w:p>
    <w:p>
      <w:pPr>
        <w:jc w:val="both"/>
        <w:ind w:right="20" w:firstLine="8"/>
        <w:spacing w:after="0" w:line="264" w:lineRule="auto"/>
        <w:tabs>
          <w:tab w:leader="none" w:pos="182"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further notes that on the ONPE website, there are other companies—whose securities are registered in the RPMV—that also made political contributions during the 2016 campaign, in the exercise of their constitutional right to participate in the political life of the Nation and in accordance with the electoral legislation in force at that time. The Issuer states that it has not identified material event disclosures related to such contributions, and therefore assumes that—consistent with its position—those contributions were not considered material events requiring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205740</wp:posOffset>
            </wp:positionV>
            <wp:extent cx="7146290"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88" w:right="319" w:bottom="1440" w:gutter="0" w:footer="0" w:header="0"/>
        </w:sectPr>
      </w:pPr>
    </w:p>
    <w:bookmarkStart w:id="118" w:name="page119"/>
    <w:bookmarkEnd w:id="118"/>
    <w:p>
      <w:pPr>
        <w:ind w:left="260" w:hanging="252"/>
        <w:spacing w:after="0"/>
        <w:tabs>
          <w:tab w:leader="none" w:pos="260" w:val="left"/>
        </w:tabs>
        <w:numPr>
          <w:ilvl w:val="0"/>
          <w:numId w:val="1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Notwithstanding that all arguments raised by the Issuer have been evaluated and addressed in the analysis of its defenses, the following points may be reiterated:</w:t>
      </w:r>
    </w:p>
    <w:p>
      <w:pPr>
        <w:spacing w:after="0" w:line="204" w:lineRule="exact"/>
        <w:rPr>
          <w:sz w:val="20"/>
          <w:szCs w:val="20"/>
          <w:color w:val="auto"/>
        </w:rPr>
      </w:pPr>
    </w:p>
    <w:p>
      <w:pPr>
        <w:jc w:val="both"/>
        <w:ind w:right="20" w:firstLine="8"/>
        <w:spacing w:after="0" w:line="198" w:lineRule="exact"/>
        <w:tabs>
          <w:tab w:leader="none" w:pos="193"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Regarding the assertion that the principles of legality, typicity, due procedure, and specialty were allegedly violated by imputing a very serious infraction, the following must be noted: Article 10 of the LMV is part of the chapter on Market Transparency; therefore, it is correct that the identified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corresponds to the infraction type established in subsection 1.6 of the Sanctions Regulation, which specifies the following: “</w:t>
      </w:r>
      <w:r>
        <w:rPr>
          <w:rFonts w:ascii="Times New Roman" w:cs="Times New Roman" w:eastAsia="Times New Roman" w:hAnsi="Times New Roman"/>
          <w:sz w:val="16"/>
          <w:szCs w:val="16"/>
          <w:i w:val="1"/>
          <w:iCs w:val="1"/>
          <w:color w:val="auto"/>
        </w:rPr>
        <w:t>to carry out any act, omission, practice, or conduct that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undermines the integrity or transparency of the market</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In this regard, the Issuer’s position is incorrect when it asserts that the applicable infraction type should be a serious one. This administrative sanctioning proceeding was initiated due to concealment of information, not merely for failing to file a material event, as has already been extensively analyzed in the assessment of the defenses.</w:t>
      </w:r>
    </w:p>
    <w:p>
      <w:pPr>
        <w:spacing w:after="0" w:line="14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 xml:space="preserve">Therefore, it is also incorrect for the Issuer to claim that both infraction types (1.6 and 2.14 of the Sanctions Regulation) protect the same legal interest—market transparency—and that this reasoning could be extended to any infraction of securities market regulations. Subsection 1.6 of the Sanctions Regulation expressly seeks to sanction conduct that undermines the </w:t>
      </w:r>
      <w:r>
        <w:rPr>
          <w:rFonts w:ascii="Times New Roman" w:cs="Times New Roman" w:eastAsia="Times New Roman" w:hAnsi="Times New Roman"/>
          <w:sz w:val="16"/>
          <w:szCs w:val="16"/>
          <w:i w:val="1"/>
          <w:iCs w:val="1"/>
          <w:color w:val="auto"/>
        </w:rPr>
        <w:t>i</w:t>
      </w:r>
      <w:r>
        <w:rPr>
          <w:rFonts w:ascii="Times New Roman" w:cs="Times New Roman" w:eastAsia="Times New Roman" w:hAnsi="Times New Roman"/>
          <w:sz w:val="16"/>
          <w:szCs w:val="16"/>
          <w:color w:val="auto"/>
        </w:rPr>
        <w:t>ntegrity or transparency of the market. In contrast, subsection 2.14—cited by the Issuer—concerns cases in which the omission to disclose information “</w:t>
      </w:r>
      <w:r>
        <w:rPr>
          <w:rFonts w:ascii="Times New Roman" w:cs="Times New Roman" w:eastAsia="Times New Roman" w:hAnsi="Times New Roman"/>
          <w:sz w:val="16"/>
          <w:szCs w:val="16"/>
          <w:i w:val="1"/>
          <w:iCs w:val="1"/>
          <w:color w:val="auto"/>
        </w:rPr>
        <w:t>has significant repercussions on the market</w:t>
      </w:r>
      <w:r>
        <w:rPr>
          <w:rFonts w:ascii="Times New Roman" w:cs="Times New Roman" w:eastAsia="Times New Roman" w:hAnsi="Times New Roman"/>
          <w:sz w:val="16"/>
          <w:szCs w:val="16"/>
          <w:color w:val="auto"/>
        </w:rPr>
        <w:t>,” which is distinct from subsection 1.6, and therefore sanctioned as a serious infraction.</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Likewise, it must be reiterated that this administrative proceeding has respected all guarantees and principles set forth in the TUO of the LPAG concerning the Issuer’s right of defense. None of the principles invoked by the Issuer—legality, typicity, due procedure or specialty—have been infringed. As detailed in this Resolution, the Issuer’s conduct constitutes a very serious infraction because concealing relevant information regarding the Issuer’s cash contributions to the political party FUERZA 2011 during the 2011 presidential campaign, as well as concealing the Issuer’s agreement for its subsidiaries to make contributions to PERUANOS POR EL KAMBIO during the 2016 presidential campaign, are actions that undermine the integrity or transparency of the securities market.</w:t>
      </w:r>
    </w:p>
    <w:p>
      <w:pPr>
        <w:spacing w:after="0" w:line="165" w:lineRule="exact"/>
        <w:rPr>
          <w:sz w:val="20"/>
          <w:szCs w:val="20"/>
          <w:color w:val="auto"/>
        </w:rPr>
      </w:pPr>
    </w:p>
    <w:p>
      <w:pPr>
        <w:jc w:val="both"/>
        <w:ind w:firstLine="8"/>
        <w:spacing w:after="0" w:line="264" w:lineRule="auto"/>
        <w:tabs>
          <w:tab w:leader="none" w:pos="183"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Regarding the argument that the principle of predictability was violated, this matter has already been analyzed both in the Instruction Report and in this Resolution. The Issuer’s assertion is incorrect. As previously explained, each of the cases cited by the Issuer was evaluated according to the specific sanctioning criteria applicable to each one, taking into account their particular circumstances. Therefore, the Issuer cannot reasonably claim that the authority had a fixed criterion that should be applied identically in all proceedings involving similar facts. Furthermore, this proceeding has unique characteristics that distinguish it from the cases cited by the Issuer.</w:t>
      </w:r>
    </w:p>
    <w:p>
      <w:pPr>
        <w:spacing w:after="0" w:line="161" w:lineRule="exact"/>
        <w:rPr>
          <w:rFonts w:ascii="Times New Roman" w:cs="Times New Roman" w:eastAsia="Times New Roman" w:hAnsi="Times New Roman"/>
          <w:sz w:val="16"/>
          <w:szCs w:val="16"/>
          <w:color w:val="auto"/>
        </w:rPr>
      </w:pPr>
    </w:p>
    <w:p>
      <w:pPr>
        <w:jc w:val="both"/>
        <w:ind w:right="20" w:firstLine="8"/>
        <w:spacing w:after="0" w:line="260" w:lineRule="auto"/>
        <w:tabs>
          <w:tab w:leader="none" w:pos="187"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Regarding the Issuer’s analysis of the elements differentiating the infraction type, it must be clarified that the authority did not take into account—as the Issuer incorrectly argues—the passage of time between the event and the disclosure of the material event. Rather, as clearly stated in the Instruction Report and in this Resolution, the decisive factor in imputing a very serious infraction was the intentional concealment of information. This is evidenced by the fact that the Issuer only disclosed the events when Mr. Romero was summoned by the Public Prosecutor. The Issuer is correct in stating that the regulation does not mention that the lapse of time modifies the infraction type. However, this proceeding focuses on the breach of market transparency; therefore, the IGCC correctly applied subsection 1.6 of the Sanctions Regulation, rather than subsection 2.14, which applies to cases where the Issuer simply fails to disclose relevant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207010</wp:posOffset>
            </wp:positionV>
            <wp:extent cx="7146290"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3" w:right="319" w:bottom="1440" w:gutter="0" w:footer="0" w:header="0"/>
        </w:sectPr>
      </w:pPr>
    </w:p>
    <w:bookmarkStart w:id="119" w:name="page120"/>
    <w:bookmarkEnd w:id="119"/>
    <w:p>
      <w:pPr>
        <w:jc w:val="both"/>
        <w:ind w:firstLine="8"/>
        <w:spacing w:after="0" w:line="264" w:lineRule="auto"/>
        <w:tabs>
          <w:tab w:leader="none" w:pos="183"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also argues that intentional nondisclosure continues to be the infraction of “failing to disclose material events,” and that intent does not create a different infraction. We disagree. Subsection 2.14 of the Sanctions Regulation refers to cases in which the Issuer fails to disclose information “</w:t>
      </w:r>
      <w:r>
        <w:rPr>
          <w:rFonts w:ascii="Times New Roman" w:cs="Times New Roman" w:eastAsia="Times New Roman" w:hAnsi="Times New Roman"/>
          <w:sz w:val="16"/>
          <w:szCs w:val="16"/>
          <w:i w:val="1"/>
          <w:iCs w:val="1"/>
          <w:color w:val="auto"/>
        </w:rPr>
        <w:t>that has significant repercussions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on the market</w:t>
      </w:r>
      <w:r>
        <w:rPr>
          <w:rFonts w:ascii="Times New Roman" w:cs="Times New Roman" w:eastAsia="Times New Roman" w:hAnsi="Times New Roman"/>
          <w:sz w:val="16"/>
          <w:szCs w:val="16"/>
          <w:color w:val="auto"/>
        </w:rPr>
        <w:t>.” By contrast, subsection 1.6 concerns conduct that undermines “</w:t>
      </w:r>
      <w:r>
        <w:rPr>
          <w:rFonts w:ascii="Times New Roman" w:cs="Times New Roman" w:eastAsia="Times New Roman" w:hAnsi="Times New Roman"/>
          <w:sz w:val="16"/>
          <w:szCs w:val="16"/>
          <w:i w:val="1"/>
          <w:iCs w:val="1"/>
          <w:color w:val="auto"/>
        </w:rPr>
        <w:t>the integrity or transparency of the market.</w:t>
      </w:r>
      <w:r>
        <w:rPr>
          <w:rFonts w:ascii="Times New Roman" w:cs="Times New Roman" w:eastAsia="Times New Roman" w:hAnsi="Times New Roman"/>
          <w:sz w:val="16"/>
          <w:szCs w:val="16"/>
          <w:color w:val="auto"/>
        </w:rPr>
        <w:t>” These are clearly different infraction types,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each with a distinct legal scope and sanction. The first is sanctioned as a serious infraction; the second as a very serious one.</w:t>
      </w:r>
    </w:p>
    <w:p>
      <w:pPr>
        <w:spacing w:after="0" w:line="161" w:lineRule="exact"/>
        <w:rPr>
          <w:rFonts w:ascii="Times New Roman" w:cs="Times New Roman" w:eastAsia="Times New Roman" w:hAnsi="Times New Roman"/>
          <w:sz w:val="16"/>
          <w:szCs w:val="16"/>
          <w:color w:val="auto"/>
        </w:rPr>
      </w:pPr>
    </w:p>
    <w:p>
      <w:pPr>
        <w:jc w:val="both"/>
        <w:ind w:right="20" w:firstLine="8"/>
        <w:spacing w:after="0" w:line="260" w:lineRule="auto"/>
        <w:tabs>
          <w:tab w:leader="none" w:pos="177"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is correct in stating that no rule prohibits maintaining information under reserve. However, when the information constitutes a material event, the Issuer must disclose it to the market under the Regulation on Material Events, as soon as the event occurs. As previously stated in the Instruction Report and in this Resolution, the Issuer’s conduct did not consist merely of failing to disclose a material event due to negligence or operational error; rather, in this case, there was an intentional concealment of the contributions made in 2011 and 2016. Consequently, contrary to the Issuer’s claim, the infraction is not instantaneous, but permanent, ceasing only in 2019 when Mr. Romero testified before the Public Prosecutor. The Issuer’s assertion that the infraction has prescribed is therefore incorrect, as prescription begins only once the infraction ceases—that is, November 2019, when the contributions were disclosed and communicated as a material event.</w:t>
      </w:r>
    </w:p>
    <w:p>
      <w:pPr>
        <w:spacing w:after="0" w:line="163" w:lineRule="exact"/>
        <w:rPr>
          <w:rFonts w:ascii="Times New Roman" w:cs="Times New Roman" w:eastAsia="Times New Roman" w:hAnsi="Times New Roman"/>
          <w:sz w:val="16"/>
          <w:szCs w:val="16"/>
          <w:color w:val="auto"/>
        </w:rPr>
      </w:pPr>
    </w:p>
    <w:p>
      <w:pPr>
        <w:jc w:val="both"/>
        <w:ind w:firstLine="8"/>
        <w:spacing w:after="0" w:line="270" w:lineRule="auto"/>
        <w:tabs>
          <w:tab w:leader="none" w:pos="157"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Concerning the Issuer’s assertion that the 2011 information lacked materiality and therefore did not need to be disclosed, this is unfounded. As already explained in the Instruction Report and in this Resolution, the information underlying the charges had, at the time, the potential to significantly influence investors. Its late disclosure occurred only due to an SMV request and public dissemination of Mr. Romero’s testimony.</w:t>
      </w:r>
    </w:p>
    <w:p>
      <w:pPr>
        <w:spacing w:after="0" w:line="154"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 xml:space="preserve">It is also noteworthy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are currently disclosed as material events, following communication by the Issuer itself. Numerous elements demonstrate that both items qualify as material events, including Mr. Romero’s own statements in the Issuer’s 2019 Annual Report.</w:t>
      </w:r>
    </w:p>
    <w:p>
      <w:pPr>
        <w:spacing w:after="0" w:line="140" w:lineRule="exact"/>
        <w:rPr>
          <w:sz w:val="20"/>
          <w:szCs w:val="20"/>
          <w:color w:val="auto"/>
        </w:rPr>
      </w:pPr>
    </w:p>
    <w:p>
      <w:pPr>
        <w:jc w:val="both"/>
        <w:ind w:right="20" w:firstLine="8"/>
        <w:spacing w:after="0" w:line="270" w:lineRule="auto"/>
        <w:tabs>
          <w:tab w:leader="none" w:pos="1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Regarding the argument that there was no concealment of information, it must be stated—as already analyzed—that the Issuer’s claim is incorrect. There was a clear intention to conceal the information, evidenced by the fact that it was not disclosed until Mr. Romero was compelled to testify before the Public Prosecutor. Only at that moment was the market informed that the Issuer had made contributions to political groups in 2011 and 2016.</w:t>
      </w:r>
    </w:p>
    <w:p>
      <w:pPr>
        <w:spacing w:after="0" w:line="156" w:lineRule="exact"/>
        <w:rPr>
          <w:rFonts w:ascii="Times New Roman" w:cs="Times New Roman" w:eastAsia="Times New Roman" w:hAnsi="Times New Roman"/>
          <w:sz w:val="16"/>
          <w:szCs w:val="16"/>
          <w:color w:val="auto"/>
        </w:rPr>
      </w:pPr>
    </w:p>
    <w:p>
      <w:pPr>
        <w:ind w:right="20" w:firstLine="8"/>
        <w:spacing w:after="0" w:line="287" w:lineRule="auto"/>
        <w:tabs>
          <w:tab w:leader="none" w:pos="178"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Regarding the argument that the Issuer did not breach its internal policies, this point has already been fully addressed in the Instruction Report and in this Resolution. As previously indicated, any breaches of internal corporate policies are not determinative in this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193675</wp:posOffset>
            </wp:positionV>
            <wp:extent cx="7146290"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3" w:right="319" w:bottom="1440" w:gutter="0" w:footer="0" w:header="0"/>
        </w:sectPr>
      </w:pPr>
    </w:p>
    <w:bookmarkStart w:id="120" w:name="page121"/>
    <w:bookmarkEnd w:id="120"/>
    <w:p>
      <w:pPr>
        <w:jc w:val="both"/>
        <w:ind w:right="20" w:firstLine="8"/>
        <w:spacing w:after="0" w:line="264" w:lineRule="auto"/>
        <w:tabs>
          <w:tab w:leader="none" w:pos="174"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for the argument that initiating four administrative sanctioning proceedings was neither reasonable nor proportional, this has already been explained: the proceedings initiated against the Issuer are distinct from those initiated against BCP, PACÍFICO and MIBANCO. Although all are classified under the same infraction type, this does not imply disproportionality. In fact, there are four distinct acts, carried out individually by each issuer, and each issuer was obligated to disclose the relevant information in a timely manner. The concealment by each issuer resulted in their failure to disclose truthful, sufficient, and timely information.</w:t>
      </w:r>
    </w:p>
    <w:p>
      <w:pPr>
        <w:spacing w:after="0" w:line="16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Furthermore, joint liability does not apply because the Issuer and BCP, PACÍFICO, and MIBANCO are separate legal entities, each with independent obligations under securities market regulations. Therefore, initiating separate sanctioning proceedings does not violate the Principle of Reasonableness.</w:t>
      </w:r>
    </w:p>
    <w:p>
      <w:pPr>
        <w:spacing w:after="0" w:line="143" w:lineRule="exact"/>
        <w:rPr>
          <w:sz w:val="20"/>
          <w:szCs w:val="20"/>
          <w:color w:val="auto"/>
        </w:rPr>
      </w:pPr>
    </w:p>
    <w:p>
      <w:pPr>
        <w:jc w:val="both"/>
        <w:ind w:right="20" w:firstLine="8"/>
        <w:spacing w:after="0" w:line="264" w:lineRule="auto"/>
        <w:tabs>
          <w:tab w:leader="none" w:pos="179"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Regarding publicity of the 2016 contributions, it must again be emphasized that electoral regulation and securities market regulation are independent legal frameworks. Regardless of whether the political party PERUANOS POR EL KAMBIO submitted the contribution information to ONPE for publication, the Issuer was required to disclose, at the appropriate time, both the agreement and the contributions as material events under Article 28 of the LMV. This did not occur, and the information remained concealed for more than three (3) years.</w:t>
      </w:r>
    </w:p>
    <w:p>
      <w:pPr>
        <w:spacing w:after="0" w:line="162" w:lineRule="exact"/>
        <w:rPr>
          <w:sz w:val="20"/>
          <w:szCs w:val="20"/>
          <w:color w:val="auto"/>
        </w:rPr>
      </w:pPr>
    </w:p>
    <w:p>
      <w:pPr>
        <w:jc w:val="both"/>
        <w:ind w:right="20" w:firstLine="8"/>
        <w:spacing w:after="0" w:line="270" w:lineRule="auto"/>
        <w:tabs>
          <w:tab w:leader="none" w:pos="258" w:val="left"/>
        </w:tabs>
        <w:numPr>
          <w:ilvl w:val="0"/>
          <w:numId w:val="1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By means of a written submission dated February 4, 2021, the Issuer presented the materials used during the oral report of February 3, 2021, making additional clarifications regarding the instantaneous nature of the infraction of failing to disclose material events and the effect this nature would have on prescription. The Issuer states the following:</w:t>
      </w:r>
    </w:p>
    <w:p>
      <w:pPr>
        <w:spacing w:after="0" w:line="156" w:lineRule="exact"/>
        <w:rPr>
          <w:sz w:val="20"/>
          <w:szCs w:val="20"/>
          <w:color w:val="auto"/>
        </w:rPr>
      </w:pPr>
    </w:p>
    <w:p>
      <w:pPr>
        <w:jc w:val="both"/>
        <w:ind w:firstLine="8"/>
        <w:spacing w:after="0" w:line="205" w:lineRule="exact"/>
        <w:tabs>
          <w:tab w:leader="none" w:pos="193"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The Issuer states that the alleged infraction in which it would have incurred is an instantaneous, not a permanent, infraction</w:t>
      </w:r>
      <w:r>
        <w:rPr>
          <w:rFonts w:ascii="Times New Roman" w:cs="Times New Roman" w:eastAsia="Times New Roman" w:hAnsi="Times New Roman"/>
          <w:sz w:val="16"/>
          <w:szCs w:val="16"/>
          <w:color w:val="auto"/>
        </w:rPr>
        <w:t>. Likewise, it argues that the instantaneous nature of the infraction of failing to disclose material events with significant market impact has been determined by the SMV in the “Criteria applicable to the administrative sanctioning procedure for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with the rules governing the submission of periodic or event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information,” approved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w:t>
      </w:r>
    </w:p>
    <w:p>
      <w:pPr>
        <w:spacing w:after="0" w:line="150" w:lineRule="exact"/>
        <w:rPr>
          <w:rFonts w:ascii="Times New Roman" w:cs="Times New Roman" w:eastAsia="Times New Roman" w:hAnsi="Times New Roman"/>
          <w:sz w:val="16"/>
          <w:szCs w:val="16"/>
          <w:color w:val="auto"/>
        </w:rPr>
      </w:pPr>
    </w:p>
    <w:p>
      <w:pPr>
        <w:jc w:val="both"/>
        <w:ind w:right="20" w:firstLine="8"/>
        <w:spacing w:after="0" w:line="271" w:lineRule="auto"/>
        <w:tabs>
          <w:tab w:leader="none" w:pos="242"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above, the conduct imputed to the Issuer aligns with the instantaneous infraction consisting of “</w:t>
      </w:r>
      <w:r>
        <w:rPr>
          <w:rFonts w:ascii="Times New Roman" w:cs="Times New Roman" w:eastAsia="Times New Roman" w:hAnsi="Times New Roman"/>
          <w:sz w:val="16"/>
          <w:szCs w:val="16"/>
          <w:i w:val="1"/>
          <w:iCs w:val="1"/>
          <w:color w:val="auto"/>
        </w:rPr>
        <w:t>failure to disclose material events that have significant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repercussions on the market</w:t>
      </w:r>
      <w:r>
        <w:rPr>
          <w:rFonts w:ascii="Times New Roman" w:cs="Times New Roman" w:eastAsia="Times New Roman" w:hAnsi="Times New Roman"/>
          <w:sz w:val="16"/>
          <w:szCs w:val="16"/>
          <w:color w:val="auto"/>
        </w:rPr>
        <w:t>”, classified as a serious infraction under numeral 2.14 of Annex I of the Sanctions Regulation in force in 2011, and in numeral 2.14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Annex I of the Sanctions Regulation in force in 2016.</w:t>
      </w:r>
    </w:p>
    <w:p>
      <w:pPr>
        <w:spacing w:after="0" w:line="155" w:lineRule="exact"/>
        <w:rPr>
          <w:rFonts w:ascii="Times New Roman" w:cs="Times New Roman" w:eastAsia="Times New Roman" w:hAnsi="Times New Roman"/>
          <w:sz w:val="16"/>
          <w:szCs w:val="16"/>
          <w:color w:val="auto"/>
        </w:rPr>
      </w:pPr>
    </w:p>
    <w:p>
      <w:pPr>
        <w:jc w:val="both"/>
        <w:ind w:right="20" w:firstLine="8"/>
        <w:spacing w:after="0" w:line="264" w:lineRule="auto"/>
        <w:tabs>
          <w:tab w:leader="none" w:pos="28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Likewise, the Issuer argues that the infraction referred to in the First Charge contained in the Charges Letter of December 27, 2019—namely, that the Issuer engaged in conduct that allegedly affected the transparency of the securities market by failing to disclose relevant information regarding its cash contributions to the political party FUERZA 2011 during the 2011 presidential campaign (“the First Charge”)—</w:t>
      </w:r>
      <w:r>
        <w:rPr>
          <w:rFonts w:ascii="Times New Roman" w:cs="Times New Roman" w:eastAsia="Times New Roman" w:hAnsi="Times New Roman"/>
          <w:sz w:val="16"/>
          <w:szCs w:val="16"/>
          <w:u w:val="single" w:color="auto"/>
          <w:color w:val="auto"/>
        </w:rPr>
        <w:t>would have prescribed, as stated in its defense brief submitted on January 20, 2020,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and in its written response to the Instruction Report dated January 27, 2021</w:t>
      </w:r>
      <w:r>
        <w:rPr>
          <w:rFonts w:ascii="Times New Roman" w:cs="Times New Roman" w:eastAsia="Times New Roman" w:hAnsi="Times New Roman"/>
          <w:sz w:val="16"/>
          <w:szCs w:val="16"/>
          <w:color w:val="auto"/>
        </w:rPr>
        <w:t>.</w:t>
      </w:r>
    </w:p>
    <w:p>
      <w:pPr>
        <w:spacing w:after="0" w:line="126" w:lineRule="exact"/>
        <w:rPr>
          <w:sz w:val="20"/>
          <w:szCs w:val="20"/>
          <w:color w:val="auto"/>
        </w:rPr>
      </w:pPr>
    </w:p>
    <w:p>
      <w:pPr>
        <w:jc w:val="both"/>
        <w:ind w:right="20" w:firstLine="8"/>
        <w:spacing w:after="0" w:line="221" w:lineRule="exact"/>
        <w:tabs>
          <w:tab w:leader="none" w:pos="243" w:val="left"/>
        </w:tabs>
        <w:numPr>
          <w:ilvl w:val="0"/>
          <w:numId w:val="1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Regarding this submission, the conclusions already analyzed and reached in this Resolution concerning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prescription of the conduct and the fact that we are dealing with permanent infractions—as thoroughly examined in the assessment of defenses—must be reiterated. Notwithstanding this, the following should be clarified: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216535</wp:posOffset>
            </wp:positionV>
            <wp:extent cx="7146290"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3" w:right="319" w:bottom="1440" w:gutter="0" w:footer="0" w:header="0"/>
        </w:sectPr>
      </w:pPr>
    </w:p>
    <w:bookmarkStart w:id="121" w:name="page122"/>
    <w:bookmarkEnd w:id="121"/>
    <w:p>
      <w:pPr>
        <w:jc w:val="both"/>
        <w:ind w:firstLine="8"/>
        <w:spacing w:after="0" w:line="264" w:lineRule="auto"/>
        <w:tabs>
          <w:tab w:leader="none" w:pos="195" w:val="left"/>
        </w:tabs>
        <w:numPr>
          <w:ilvl w:val="0"/>
          <w:numId w:val="1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It must again be noted that the infraction addressed in this administrative sanctioning proceeding is permanent, not instantaneous. What is imputed to the Issuer is the concealment of the information underlying the charges. The authority has not imputed the conduct of failing to disclose a material event within the statutory deadline. Consequently, given that we are dealing with a permanent infraction, the statute of limitations has not yet expired, and the authority’s power to determine the infraction remains in effect.</w:t>
      </w:r>
    </w:p>
    <w:p>
      <w:pPr>
        <w:spacing w:after="0" w:line="161" w:lineRule="exact"/>
        <w:rPr>
          <w:rFonts w:ascii="Times New Roman" w:cs="Times New Roman" w:eastAsia="Times New Roman" w:hAnsi="Times New Roman"/>
          <w:sz w:val="16"/>
          <w:szCs w:val="16"/>
          <w:b w:val="1"/>
          <w:bCs w:val="1"/>
          <w:color w:val="auto"/>
        </w:rPr>
      </w:pPr>
    </w:p>
    <w:p>
      <w:pPr>
        <w:jc w:val="both"/>
        <w:ind w:right="20" w:firstLine="8"/>
        <w:spacing w:after="0" w:line="264" w:lineRule="auto"/>
        <w:tabs>
          <w:tab w:leader="none" w:pos="248" w:val="left"/>
        </w:tabs>
        <w:numPr>
          <w:ilvl w:val="0"/>
          <w:numId w:val="1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What characterizes the infractions committed by the Issuer is the concealment of the information underlying the charges; and this is evidenced by the fact that the information was only disclosed to the market when Mr. Romero testified before the Public Prosecutor in 2019. As a result, since the information remained concealed from investors throughout that entire period until Mr. Romero’s testimony, it can be stated with full certainty that the infraction is permanent, and was only remedied by the aforementioned statements.</w:t>
      </w:r>
    </w:p>
    <w:p>
      <w:pPr>
        <w:spacing w:after="0" w:line="161" w:lineRule="exact"/>
        <w:rPr>
          <w:rFonts w:ascii="Times New Roman" w:cs="Times New Roman" w:eastAsia="Times New Roman" w:hAnsi="Times New Roman"/>
          <w:sz w:val="16"/>
          <w:szCs w:val="16"/>
          <w:b w:val="1"/>
          <w:bCs w:val="1"/>
          <w:color w:val="auto"/>
        </w:rPr>
      </w:pPr>
    </w:p>
    <w:p>
      <w:pPr>
        <w:ind w:right="20" w:firstLine="8"/>
        <w:spacing w:after="0" w:line="287" w:lineRule="auto"/>
        <w:tabs>
          <w:tab w:leader="none" w:pos="298" w:val="left"/>
        </w:tabs>
        <w:numPr>
          <w:ilvl w:val="0"/>
          <w:numId w:val="1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While it is true that the Issuer did comply with electoral rules, it did not comply with securities market regulation, as it failed to disclose such information as a material event.</w:t>
      </w:r>
    </w:p>
    <w:p>
      <w:pPr>
        <w:spacing w:after="0" w:line="143" w:lineRule="exact"/>
        <w:rPr>
          <w:sz w:val="20"/>
          <w:szCs w:val="20"/>
          <w:color w:val="auto"/>
        </w:rPr>
      </w:pPr>
    </w:p>
    <w:p>
      <w:pPr>
        <w:ind w:right="20" w:firstLine="8"/>
        <w:spacing w:after="0" w:line="287" w:lineRule="auto"/>
        <w:tabs>
          <w:tab w:leader="none" w:pos="255" w:val="left"/>
        </w:tabs>
        <w:numPr>
          <w:ilvl w:val="0"/>
          <w:numId w:val="1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By means of a written submission dated February 19, 2021, the Issuer presented additional arguments so that this Deputy Superintendency may have additional elements to rule upon, and so that prescription may be declared with respect to the charges concerning the 2011 Information. In this regard, the Issuer states:</w:t>
      </w:r>
    </w:p>
    <w:p>
      <w:pPr>
        <w:spacing w:after="0" w:line="143" w:lineRule="exact"/>
        <w:rPr>
          <w:sz w:val="20"/>
          <w:szCs w:val="20"/>
          <w:color w:val="auto"/>
        </w:rPr>
      </w:pPr>
    </w:p>
    <w:p>
      <w:pPr>
        <w:ind w:right="20" w:firstLine="8"/>
        <w:spacing w:after="0" w:line="287" w:lineRule="auto"/>
        <w:tabs>
          <w:tab w:leader="none" w:pos="196" w:val="left"/>
        </w:tabs>
        <w:numPr>
          <w:ilvl w:val="0"/>
          <w:numId w:val="1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It indicates that in both its defense brief of January 22, 2020 and its written arguments submitted against the Instruction Report, it requested that the SMV’s authority to determine the existence of an infraction concerning the first charge—failure to disclose the 2011 Information—be declared prescribed.</w:t>
      </w:r>
    </w:p>
    <w:p>
      <w:pPr>
        <w:spacing w:after="0" w:line="107" w:lineRule="exact"/>
        <w:rPr>
          <w:sz w:val="20"/>
          <w:szCs w:val="20"/>
          <w:color w:val="auto"/>
        </w:rPr>
      </w:pPr>
    </w:p>
    <w:p>
      <w:pPr>
        <w:jc w:val="both"/>
        <w:ind w:right="20"/>
        <w:spacing w:after="0" w:line="211" w:lineRule="exact"/>
        <w:rPr>
          <w:sz w:val="20"/>
          <w:szCs w:val="20"/>
          <w:color w:val="auto"/>
        </w:rPr>
      </w:pPr>
      <w:r>
        <w:rPr>
          <w:rFonts w:ascii="Times New Roman" w:cs="Times New Roman" w:eastAsia="Times New Roman" w:hAnsi="Times New Roman"/>
          <w:sz w:val="16"/>
          <w:szCs w:val="16"/>
          <w:color w:val="auto"/>
        </w:rPr>
        <w:t>The Issuer further states that, for the purpose of clarifying the matter, it refers to SMV Deputy Superintendency Resolution No. 169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through which the SASCM lawfully declared the prescription of the SMV’s power to sanction Empresa Agraria Azucarera Andahuasi S.A.A. (“</w:t>
      </w:r>
      <w:r>
        <w:rPr>
          <w:rFonts w:ascii="Times New Roman" w:cs="Times New Roman" w:eastAsia="Times New Roman" w:hAnsi="Times New Roman"/>
          <w:sz w:val="16"/>
          <w:szCs w:val="16"/>
          <w:u w:val="single" w:color="auto"/>
          <w:color w:val="auto"/>
        </w:rPr>
        <w:t>Andahuasi</w:t>
      </w:r>
      <w:r>
        <w:rPr>
          <w:rFonts w:ascii="Times New Roman" w:cs="Times New Roman" w:eastAsia="Times New Roman" w:hAnsi="Times New Roman"/>
          <w:sz w:val="16"/>
          <w:szCs w:val="16"/>
          <w:color w:val="auto"/>
        </w:rPr>
        <w:t>”) for failing to disclose, as a material event, information regarding events that occurred six years prior to the issuance of charges.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Issuer argues that, as expressed in its arguments against the Instruction Report, the Report created a sanctioning type not recognized in any regulation, by adding elements (such as the time elapsed, intent to conceal, seriousness of the event) that are not contained in any legal provision, in order to claim that the conduct imputed corresponds to a different infraction type from that of failure to disclose material events with significant market impact, thereby violating the Principle of Legality. It further states that this contradicts the criterion applied by the SMV in dozens of previous resolutions, violating the Principle of Predictability.</w:t>
      </w:r>
    </w:p>
    <w:p>
      <w:pPr>
        <w:spacing w:after="0" w:line="162" w:lineRule="exact"/>
        <w:rPr>
          <w:sz w:val="20"/>
          <w:szCs w:val="20"/>
          <w:color w:val="auto"/>
        </w:rPr>
      </w:pPr>
    </w:p>
    <w:p>
      <w:pPr>
        <w:ind w:left="280" w:hanging="272"/>
        <w:spacing w:after="0"/>
        <w:tabs>
          <w:tab w:leader="none" w:pos="280" w:val="left"/>
        </w:tabs>
        <w:numPr>
          <w:ilvl w:val="0"/>
          <w:numId w:val="1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examples, the Issuer cites the following resolutions issued by the Deputy Superintendency in similar cases: (a) Deputy Superintendency Resolution No.</w:t>
      </w:r>
    </w:p>
    <w:p>
      <w:pPr>
        <w:spacing w:after="0" w:line="26" w:lineRule="exact"/>
        <w:rPr>
          <w:rFonts w:ascii="Times New Roman" w:cs="Times New Roman" w:eastAsia="Times New Roman" w:hAnsi="Times New Roman"/>
          <w:sz w:val="16"/>
          <w:szCs w:val="16"/>
          <w:b w:val="1"/>
          <w:bCs w:val="1"/>
          <w:color w:val="auto"/>
        </w:rPr>
      </w:pPr>
    </w:p>
    <w:p>
      <w:pPr>
        <w:ind w:right="20"/>
        <w:spacing w:after="0" w:line="207" w:lineRule="exact"/>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169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of 23/09/2015, (b) Deputy Superintendency Resolution No. 033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of 12/03/2019, and (c) Deputy Superintendency Resolution No. 064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of 12/09/2017.</w:t>
      </w:r>
    </w:p>
    <w:p>
      <w:pPr>
        <w:spacing w:after="0" w:line="116" w:lineRule="exact"/>
        <w:rPr>
          <w:rFonts w:ascii="Times New Roman" w:cs="Times New Roman" w:eastAsia="Times New Roman" w:hAnsi="Times New Roman"/>
          <w:sz w:val="16"/>
          <w:szCs w:val="16"/>
          <w:b w:val="1"/>
          <w:bCs w:val="1"/>
          <w:color w:val="auto"/>
        </w:rPr>
      </w:pPr>
    </w:p>
    <w:p>
      <w:pPr>
        <w:ind w:left="300" w:hanging="292"/>
        <w:spacing w:after="0" w:line="184" w:lineRule="exact"/>
        <w:tabs>
          <w:tab w:leader="none" w:pos="300" w:val="left"/>
        </w:tabs>
        <w:numPr>
          <w:ilvl w:val="0"/>
          <w:numId w:val="1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Regarding Deputy Superintendency Resolution No. 169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the Issuer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255905</wp:posOffset>
            </wp:positionV>
            <wp:extent cx="7146290"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3" w:right="319" w:bottom="1440" w:gutter="0" w:footer="0" w:header="0"/>
        </w:sectPr>
      </w:pPr>
    </w:p>
    <w:bookmarkStart w:id="122" w:name="page123"/>
    <w:bookmarkEnd w:id="122"/>
    <w:p>
      <w:pPr>
        <w:jc w:val="both"/>
        <w:spacing w:after="0" w:line="211" w:lineRule="exact"/>
        <w:rPr>
          <w:sz w:val="20"/>
          <w:szCs w:val="20"/>
          <w:color w:val="auto"/>
        </w:rPr>
      </w:pPr>
      <w:r>
        <w:rPr>
          <w:rFonts w:ascii="Times New Roman" w:cs="Times New Roman" w:eastAsia="Times New Roman" w:hAnsi="Times New Roman"/>
          <w:sz w:val="16"/>
          <w:szCs w:val="16"/>
          <w:b w:val="1"/>
          <w:bCs w:val="1"/>
          <w:color w:val="auto"/>
        </w:rPr>
        <w:t xml:space="preserve">a. </w:t>
      </w:r>
      <w:r>
        <w:rPr>
          <w:rFonts w:ascii="Times New Roman" w:cs="Times New Roman" w:eastAsia="Times New Roman" w:hAnsi="Times New Roman"/>
          <w:sz w:val="16"/>
          <w:szCs w:val="16"/>
          <w:color w:val="auto"/>
        </w:rPr>
        <w:t>The SASCM resolved the administrative sanctioning procedure initiated through Official Letter No. 1063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2015 against Andahuasi for, among other things, failing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disclose as material events the agreements adopted at the Andahuasi Board meeting of April 20, 2009, and the sugarcane sale contract entered into with Paramonga in 2009.</w:t>
      </w:r>
    </w:p>
    <w:p>
      <w:pPr>
        <w:spacing w:after="0" w:line="178" w:lineRule="exact"/>
        <w:rPr>
          <w:sz w:val="20"/>
          <w:szCs w:val="20"/>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b w:val="1"/>
          <w:bCs w:val="1"/>
          <w:color w:val="auto"/>
        </w:rPr>
        <w:t xml:space="preserve">b. </w:t>
      </w:r>
      <w:r>
        <w:rPr>
          <w:rFonts w:ascii="Times New Roman" w:cs="Times New Roman" w:eastAsia="Times New Roman" w:hAnsi="Times New Roman"/>
          <w:sz w:val="16"/>
          <w:szCs w:val="16"/>
          <w:color w:val="auto"/>
        </w:rPr>
        <w:t>The IGCC charged Andahuasi with the infraction typified in subsection 2.14, numeral 2 of Annex I of the Sanctions Regulation in force at the time—i.e.,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infraction of “failing to disclose material events that have significant repercussions on the market”—for failing to disclose events that occurred in 2009 (six years prior). It was not considered that the six</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year lapse created a different infraction type, as this would have violated the Principles of Legality and Typicity.</w:t>
      </w:r>
    </w:p>
    <w:p>
      <w:pPr>
        <w:spacing w:after="0" w:line="1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c. </w:t>
      </w:r>
      <w:r>
        <w:rPr>
          <w:rFonts w:ascii="Times New Roman" w:cs="Times New Roman" w:eastAsia="Times New Roman" w:hAnsi="Times New Roman"/>
          <w:sz w:val="16"/>
          <w:szCs w:val="16"/>
          <w:color w:val="auto"/>
        </w:rPr>
        <w:t>The passage of time, however, was considered by the SMV solely to declare the prescription of the administration’s authority to determine the existence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infraction. Thus, after this period elapsed, Andahuasi, in its defense, requested that the SMV declare prescribed the authority to determine an infraction related to the failure to disclose the April 20, 2009 Board agreements and the 2009 cane sale contract with Paramonga.</w:t>
      </w:r>
    </w:p>
    <w:p>
      <w:pPr>
        <w:spacing w:after="0" w:line="120" w:lineRule="exact"/>
        <w:rPr>
          <w:sz w:val="20"/>
          <w:szCs w:val="20"/>
          <w:color w:val="auto"/>
        </w:rPr>
      </w:pPr>
    </w:p>
    <w:p>
      <w:pPr>
        <w:jc w:val="both"/>
        <w:ind w:right="20"/>
        <w:spacing w:after="0" w:line="221" w:lineRule="exact"/>
        <w:rPr>
          <w:sz w:val="20"/>
          <w:szCs w:val="20"/>
          <w:color w:val="auto"/>
        </w:rPr>
      </w:pPr>
      <w:r>
        <w:rPr>
          <w:rFonts w:ascii="Times New Roman" w:cs="Times New Roman" w:eastAsia="Times New Roman" w:hAnsi="Times New Roman"/>
          <w:sz w:val="16"/>
          <w:szCs w:val="16"/>
          <w:b w:val="1"/>
          <w:bCs w:val="1"/>
          <w:color w:val="auto"/>
        </w:rPr>
        <w:t xml:space="preserve">d. </w:t>
      </w:r>
      <w:r>
        <w:rPr>
          <w:rFonts w:ascii="Times New Roman" w:cs="Times New Roman" w:eastAsia="Times New Roman" w:hAnsi="Times New Roman"/>
          <w:sz w:val="16"/>
          <w:szCs w:val="16"/>
          <w:color w:val="auto"/>
        </w:rPr>
        <w:t>According to the Issuer, Resolution No. 169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confirms that the SASCM declared prescribed the authority to determine the existence of the infractions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relating to failure to disclose those events, and therefore ordered the dismissal of the administrative sanctioning proceeding in those aspects.</w:t>
      </w:r>
    </w:p>
    <w:p>
      <w:pPr>
        <w:spacing w:after="0" w:line="1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e. </w:t>
      </w:r>
      <w:r>
        <w:rPr>
          <w:rFonts w:ascii="Times New Roman" w:cs="Times New Roman" w:eastAsia="Times New Roman" w:hAnsi="Times New Roman"/>
          <w:sz w:val="16"/>
          <w:szCs w:val="16"/>
          <w:color w:val="auto"/>
        </w:rPr>
        <w:t>The Issuer argues that this demonstrates that the SASCM acted strictly in accordance with legality, applying the correct sanctioning type and not any other, regardless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time elapsed, and also applying the prescription rules correctly, declaring the administration’s sanctioning authority prescribed once the statutory period had expired.</w:t>
      </w:r>
    </w:p>
    <w:p>
      <w:pPr>
        <w:spacing w:after="0" w:line="345"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f. </w:t>
      </w:r>
      <w:r>
        <w:rPr>
          <w:rFonts w:ascii="Times New Roman" w:cs="Times New Roman" w:eastAsia="Times New Roman" w:hAnsi="Times New Roman"/>
          <w:sz w:val="16"/>
          <w:szCs w:val="16"/>
          <w:color w:val="auto"/>
        </w:rPr>
        <w:t>The Issuer further notes that, regarding the charge relating to failure to disclose the judgment convicting Andahuasi’s general manager for the crime of fraud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administration of legal entities, the Deputy Superintendency found:</w:t>
      </w:r>
    </w:p>
    <w:p>
      <w:pPr>
        <w:spacing w:after="0" w:line="140" w:lineRule="exact"/>
        <w:rPr>
          <w:sz w:val="20"/>
          <w:szCs w:val="20"/>
          <w:color w:val="auto"/>
        </w:rPr>
      </w:pPr>
    </w:p>
    <w:p>
      <w:pPr>
        <w:jc w:val="both"/>
        <w:ind w:right="20"/>
        <w:spacing w:after="0" w:line="198" w:lineRule="exact"/>
        <w:rPr>
          <w:sz w:val="20"/>
          <w:szCs w:val="20"/>
          <w:color w:val="auto"/>
        </w:rPr>
      </w:pPr>
      <w:r>
        <w:rPr>
          <w:rFonts w:ascii="Times New Roman" w:cs="Times New Roman" w:eastAsia="Times New Roman" w:hAnsi="Times New Roman"/>
          <w:sz w:val="16"/>
          <w:szCs w:val="16"/>
          <w:color w:val="auto"/>
        </w:rPr>
        <w:t>– That although Andahuasi had knowledge of the conviction—as the IGSC sent it a copy on December 2, 2014—it did not disclose it as a material event, requiring the SMV to publish it. Resolution 169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2015 stated: “</w:t>
      </w:r>
      <w:r>
        <w:rPr>
          <w:rFonts w:ascii="Times New Roman" w:cs="Times New Roman" w:eastAsia="Times New Roman" w:hAnsi="Times New Roman"/>
          <w:sz w:val="16"/>
          <w:szCs w:val="16"/>
          <w:i w:val="1"/>
          <w:iCs w:val="1"/>
          <w:color w:val="auto"/>
        </w:rPr>
        <w:t>It is important to note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that Andahuasi indeed had knowledge of the material event</w:t>
      </w:r>
      <w:r>
        <w:rPr>
          <w:rFonts w:ascii="Times New Roman" w:cs="Times New Roman" w:eastAsia="Times New Roman" w:hAnsi="Times New Roman"/>
          <w:sz w:val="16"/>
          <w:szCs w:val="16"/>
          <w:i w:val="1"/>
          <w:iCs w:val="1"/>
          <w:color w:val="auto"/>
        </w:rPr>
        <w:t>, and even on December 2, 2014,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General Supervision of Conducts Office sent Andahuasi a copy of the judgment convicting Mr. Carlos Rivas Urteaga; nevertheless, it did not disclose said information, and therefore the SMV proceeded with its publication on December 17, 2014</w:t>
      </w:r>
      <w:r>
        <w:rPr>
          <w:rFonts w:ascii="Times New Roman" w:cs="Times New Roman" w:eastAsia="Times New Roman" w:hAnsi="Times New Roman"/>
          <w:sz w:val="16"/>
          <w:szCs w:val="16"/>
          <w:color w:val="auto"/>
        </w:rPr>
        <w:t>.” The Issuer argues that Andahuasi intentionally failed to disclose a material event;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however, such intent did not modify the applicable infraction type.</w:t>
      </w:r>
    </w:p>
    <w:p>
      <w:pPr>
        <w:spacing w:after="0" w:line="180" w:lineRule="exact"/>
        <w:rPr>
          <w:sz w:val="20"/>
          <w:szCs w:val="20"/>
          <w:color w:val="auto"/>
        </w:rPr>
      </w:pPr>
    </w:p>
    <w:p>
      <w:pPr>
        <w:jc w:val="both"/>
        <w:ind w:right="20"/>
        <w:spacing w:after="0" w:line="198" w:lineRule="exact"/>
        <w:rPr>
          <w:sz w:val="20"/>
          <w:szCs w:val="20"/>
          <w:color w:val="auto"/>
        </w:rPr>
      </w:pPr>
      <w:r>
        <w:rPr>
          <w:rFonts w:ascii="Times New Roman" w:cs="Times New Roman" w:eastAsia="Times New Roman" w:hAnsi="Times New Roman"/>
          <w:sz w:val="16"/>
          <w:szCs w:val="16"/>
          <w:color w:val="auto"/>
        </w:rPr>
        <w:t>– Regarding Andahuasi’s argument that the event lacked “significant market impact” and that typicity was violated, the SMV held that the conviction was information that could affect the issuer’s business and activities, and therefore had “</w:t>
      </w:r>
      <w:r>
        <w:rPr>
          <w:rFonts w:ascii="Times New Roman" w:cs="Times New Roman" w:eastAsia="Times New Roman" w:hAnsi="Times New Roman"/>
          <w:sz w:val="16"/>
          <w:szCs w:val="16"/>
          <w:i w:val="1"/>
          <w:iCs w:val="1"/>
          <w:color w:val="auto"/>
        </w:rPr>
        <w:t>significant repercussions on the market</w:t>
      </w:r>
      <w:r>
        <w:rPr>
          <w:rFonts w:ascii="Times New Roman" w:cs="Times New Roman" w:eastAsia="Times New Roman" w:hAnsi="Times New Roman"/>
          <w:sz w:val="16"/>
          <w:szCs w:val="16"/>
          <w:color w:val="auto"/>
        </w:rPr>
        <w:t>.” Resolution 169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2015 held: “</w:t>
      </w:r>
      <w:r>
        <w:rPr>
          <w:rFonts w:ascii="Times New Roman" w:cs="Times New Roman" w:eastAsia="Times New Roman" w:hAnsi="Times New Roman"/>
          <w:sz w:val="16"/>
          <w:szCs w:val="16"/>
          <w:i w:val="1"/>
          <w:iCs w:val="1"/>
          <w:color w:val="auto"/>
        </w:rPr>
        <w:t>This material event 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considered to have significant repercussions on the market, because the fact that Mr. Carlos Rivas Urteaga was convicted of the crime of fraud in the administration of legal entities affects the business and activities of the issuer and its subsidiary, given that this individual is responsible for managing such companies, with powers to enter into and execute acts and contracts.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217805</wp:posOffset>
            </wp:positionV>
            <wp:extent cx="7146290"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88" w:right="319" w:bottom="1440" w:gutter="0" w:footer="0" w:header="0"/>
        </w:sectPr>
      </w:pPr>
    </w:p>
    <w:bookmarkStart w:id="123" w:name="page124"/>
    <w:bookmarkEnd w:id="123"/>
    <w:p>
      <w:pPr>
        <w:jc w:val="both"/>
        <w:spacing w:after="0" w:line="261" w:lineRule="auto"/>
        <w:rPr>
          <w:sz w:val="20"/>
          <w:szCs w:val="20"/>
          <w:color w:val="auto"/>
        </w:rPr>
      </w:pPr>
      <w:r>
        <w:rPr>
          <w:rFonts w:ascii="Times New Roman" w:cs="Times New Roman" w:eastAsia="Times New Roman" w:hAnsi="Times New Roman"/>
          <w:sz w:val="16"/>
          <w:szCs w:val="16"/>
          <w:color w:val="auto"/>
        </w:rPr>
        <w:t>– Finally, the Issuer states that the SASCM considered that “given that Mr. Carlos Rivas Urteaga was sentenced to four years of suspended imprisonment, such information constitutes a material event with significant repercussions on the market,” and therefore sanctioned Andahuasi—as stated in Article 1 of the referenced resolution—</w:t>
      </w:r>
      <w:r>
        <w:rPr>
          <w:rFonts w:ascii="Times New Roman" w:cs="Times New Roman" w:eastAsia="Times New Roman" w:hAnsi="Times New Roman"/>
          <w:sz w:val="16"/>
          <w:szCs w:val="16"/>
          <w:u w:val="single" w:color="auto"/>
          <w:color w:val="auto"/>
        </w:rPr>
        <w:t>for failing to disclose a material event with significant repercussions on the market</w:t>
      </w:r>
      <w:r>
        <w:rPr>
          <w:rFonts w:ascii="Times New Roman" w:cs="Times New Roman" w:eastAsia="Times New Roman" w:hAnsi="Times New Roman"/>
          <w:sz w:val="16"/>
          <w:szCs w:val="16"/>
          <w:color w:val="auto"/>
        </w:rPr>
        <w:t>. The “severity” of the event did not modify the infraction type; rather, it served precisely as the basis for the SMV to determine that this was an event of “significant repercussion on the market” and, therefore, its nondisclosure fell within the infraction type set forth in numeral 2.14 of Annex I of the Sanctions Regulation in force at the time the events occurred.</w:t>
      </w:r>
    </w:p>
    <w:p>
      <w:pPr>
        <w:spacing w:after="0" w:line="129" w:lineRule="exact"/>
        <w:rPr>
          <w:sz w:val="20"/>
          <w:szCs w:val="20"/>
          <w:color w:val="auto"/>
        </w:rPr>
      </w:pPr>
    </w:p>
    <w:p>
      <w:pPr>
        <w:ind w:left="280" w:hanging="272"/>
        <w:spacing w:after="0" w:line="184" w:lineRule="exact"/>
        <w:tabs>
          <w:tab w:leader="none" w:pos="280" w:val="left"/>
        </w:tabs>
        <w:numPr>
          <w:ilvl w:val="0"/>
          <w:numId w:val="1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Regarding Deputy Superintendency Resolution SMV No. 033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of March 12, 2019, the Issuer stated the following:</w:t>
      </w:r>
    </w:p>
    <w:p>
      <w:pPr>
        <w:spacing w:after="0" w:line="204" w:lineRule="exact"/>
        <w:rPr>
          <w:sz w:val="20"/>
          <w:szCs w:val="20"/>
          <w:color w:val="auto"/>
        </w:rPr>
      </w:pPr>
    </w:p>
    <w:p>
      <w:pPr>
        <w:ind w:right="20"/>
        <w:spacing w:after="0" w:line="221" w:lineRule="exact"/>
        <w:rPr>
          <w:sz w:val="20"/>
          <w:szCs w:val="20"/>
          <w:color w:val="auto"/>
        </w:rPr>
      </w:pPr>
      <w:r>
        <w:rPr>
          <w:rFonts w:ascii="Times New Roman" w:cs="Times New Roman" w:eastAsia="Times New Roman" w:hAnsi="Times New Roman"/>
          <w:sz w:val="16"/>
          <w:szCs w:val="16"/>
          <w:b w:val="1"/>
          <w:bCs w:val="1"/>
          <w:color w:val="auto"/>
        </w:rPr>
        <w:t xml:space="preserve">a. </w:t>
      </w:r>
      <w:r>
        <w:rPr>
          <w:rFonts w:ascii="Times New Roman" w:cs="Times New Roman" w:eastAsia="Times New Roman" w:hAnsi="Times New Roman"/>
          <w:sz w:val="16"/>
          <w:szCs w:val="16"/>
          <w:color w:val="auto"/>
        </w:rPr>
        <w:t>In this resolution, through Official Letter No. 6547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SMV/11.2, charges were brought against Industria Textil Piura S.A. (“Textil Piura”) for failing to disclose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material event with significant repercussions on the market and for failing to comply with SMV orders.</w:t>
      </w:r>
    </w:p>
    <w:p>
      <w:pPr>
        <w:spacing w:after="0" w:line="14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The Issuer notes that, according to Resolution 033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 the following charges were imputed to Textil Piura: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The charges brought were:</w:t>
      </w:r>
    </w:p>
    <w:p>
      <w:pPr>
        <w:spacing w:after="0" w:line="204" w:lineRule="exact"/>
        <w:rPr>
          <w:sz w:val="20"/>
          <w:szCs w:val="20"/>
          <w:color w:val="auto"/>
        </w:rPr>
      </w:pPr>
    </w:p>
    <w:p>
      <w:pPr>
        <w:ind w:right="20" w:firstLine="8"/>
        <w:spacing w:after="0" w:line="287" w:lineRule="auto"/>
        <w:tabs>
          <w:tab w:leader="none" w:pos="198" w:val="left"/>
        </w:tabs>
        <w:numPr>
          <w:ilvl w:val="0"/>
          <w:numId w:val="151"/>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Failure to disclose the material event concerning the shutdown of its production plant since November 2016 and the commitment to sell assets in the third quarter of 2017, which should have been disclosed when those events occurred; nevertheless, to date they have not been disclosed.</w:t>
      </w:r>
    </w:p>
    <w:p>
      <w:pPr>
        <w:spacing w:after="0" w:line="106" w:lineRule="exact"/>
        <w:rPr>
          <w:rFonts w:ascii="Times New Roman" w:cs="Times New Roman" w:eastAsia="Times New Roman" w:hAnsi="Times New Roman"/>
          <w:sz w:val="16"/>
          <w:szCs w:val="16"/>
          <w:u w:val="single" w:color="auto"/>
          <w:color w:val="auto"/>
        </w:rPr>
      </w:pPr>
    </w:p>
    <w:p>
      <w:pPr>
        <w:jc w:val="both"/>
        <w:ind w:firstLine="8"/>
        <w:spacing w:after="0" w:line="211" w:lineRule="exact"/>
        <w:tabs>
          <w:tab w:leader="none" w:pos="247" w:val="left"/>
        </w:tabs>
        <w:numPr>
          <w:ilvl w:val="0"/>
          <w:numId w:val="151"/>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Failure to comply with SMV Official Letter No. 101</w:t>
      </w:r>
      <w:r>
        <w:rPr>
          <w:rFonts w:ascii="MS PGothic" w:cs="MS PGothic" w:eastAsia="MS PGothic" w:hAnsi="MS PGothic"/>
          <w:sz w:val="16"/>
          <w:szCs w:val="16"/>
          <w:u w:val="single" w:color="auto"/>
          <w:color w:val="auto"/>
        </w:rPr>
        <w:t>‑</w:t>
      </w:r>
      <w:r>
        <w:rPr>
          <w:rFonts w:ascii="Times New Roman" w:cs="Times New Roman" w:eastAsia="Times New Roman" w:hAnsi="Times New Roman"/>
          <w:sz w:val="16"/>
          <w:szCs w:val="16"/>
          <w:u w:val="single" w:color="auto"/>
          <w:color w:val="auto"/>
        </w:rPr>
        <w:t>2018</w:t>
      </w:r>
      <w:r>
        <w:rPr>
          <w:rFonts w:ascii="MS PGothic" w:cs="MS PGothic" w:eastAsia="MS PGothic" w:hAnsi="MS PGothic"/>
          <w:sz w:val="16"/>
          <w:szCs w:val="16"/>
          <w:u w:val="single" w:color="auto"/>
          <w:color w:val="auto"/>
        </w:rPr>
        <w:t>‑</w:t>
      </w:r>
      <w:r>
        <w:rPr>
          <w:rFonts w:ascii="Times New Roman" w:cs="Times New Roman" w:eastAsia="Times New Roman" w:hAnsi="Times New Roman"/>
          <w:sz w:val="16"/>
          <w:szCs w:val="16"/>
          <w:u w:val="single" w:color="auto"/>
          <w:color w:val="auto"/>
        </w:rPr>
        <w:t>SMV/11.1 of January 9, 2018, and Official Letter No. 407</w:t>
      </w:r>
      <w:r>
        <w:rPr>
          <w:rFonts w:ascii="MS PGothic" w:cs="MS PGothic" w:eastAsia="MS PGothic" w:hAnsi="MS PGothic"/>
          <w:sz w:val="16"/>
          <w:szCs w:val="16"/>
          <w:u w:val="single" w:color="auto"/>
          <w:color w:val="auto"/>
        </w:rPr>
        <w:t>‑</w:t>
      </w:r>
      <w:r>
        <w:rPr>
          <w:rFonts w:ascii="Times New Roman" w:cs="Times New Roman" w:eastAsia="Times New Roman" w:hAnsi="Times New Roman"/>
          <w:sz w:val="16"/>
          <w:szCs w:val="16"/>
          <w:u w:val="single" w:color="auto"/>
          <w:color w:val="auto"/>
        </w:rPr>
        <w:t>2018</w:t>
      </w:r>
      <w:r>
        <w:rPr>
          <w:rFonts w:ascii="MS PGothic" w:cs="MS PGothic" w:eastAsia="MS PGothic" w:hAnsi="MS PGothic"/>
          <w:sz w:val="16"/>
          <w:szCs w:val="16"/>
          <w:u w:val="single" w:color="auto"/>
          <w:color w:val="auto"/>
        </w:rPr>
        <w:t>‑</w:t>
      </w:r>
      <w:r>
        <w:rPr>
          <w:rFonts w:ascii="Times New Roman" w:cs="Times New Roman" w:eastAsia="Times New Roman" w:hAnsi="Times New Roman"/>
          <w:sz w:val="16"/>
          <w:szCs w:val="16"/>
          <w:u w:val="single" w:color="auto"/>
          <w:color w:val="auto"/>
        </w:rPr>
        <w:t>SMV/11.1 of January 24, 2018, which required the Issuer to disclose: the reasons and grounds for not disclosing as a material event the shutdown of its production plant since November 2016 and the asset sale commitment for the third quarter of 2017; the corporate body that approved the decision to suspend production activities; and whether the asset sale commitments stated in the 2016 Annual Report were carried out, including dates and supporting documents. However, to date, these requirements have not been met</w:t>
      </w:r>
      <w:r>
        <w:rPr>
          <w:rFonts w:ascii="Times New Roman" w:cs="Times New Roman" w:eastAsia="Times New Roman" w:hAnsi="Times New Roman"/>
          <w:sz w:val="16"/>
          <w:szCs w:val="16"/>
          <w:color w:val="auto"/>
        </w:rPr>
        <w:t>.” (emphasis added)</w:t>
      </w:r>
    </w:p>
    <w:p>
      <w:pPr>
        <w:spacing w:after="0" w:line="358" w:lineRule="exact"/>
        <w:rPr>
          <w:sz w:val="20"/>
          <w:szCs w:val="20"/>
          <w:color w:val="auto"/>
        </w:rPr>
      </w:pPr>
    </w:p>
    <w:p>
      <w:pPr>
        <w:jc w:val="both"/>
        <w:ind w:right="20"/>
        <w:spacing w:after="0" w:line="198" w:lineRule="exact"/>
        <w:rPr>
          <w:sz w:val="20"/>
          <w:szCs w:val="20"/>
          <w:color w:val="auto"/>
        </w:rPr>
      </w:pPr>
      <w:r>
        <w:rPr>
          <w:rFonts w:ascii="Times New Roman" w:cs="Times New Roman" w:eastAsia="Times New Roman" w:hAnsi="Times New Roman"/>
          <w:sz w:val="16"/>
          <w:szCs w:val="16"/>
          <w:color w:val="auto"/>
        </w:rPr>
        <w:t xml:space="preserve">The Issuer argues that from this it is clear that the criterion applied by the SASCM—and by the IGCC in the Instruction Report of Textil Piura’s sanctioning proceeding —was that </w:t>
      </w: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6"/>
          <w:szCs w:val="16"/>
          <w:color w:val="auto"/>
        </w:rPr>
        <w:t xml:space="preserve"> regardless of the time elapsed since the event occurred (2016 and 2017), and/or </w:t>
      </w:r>
      <w:r>
        <w:rPr>
          <w:rFonts w:ascii="Times New Roman" w:cs="Times New Roman" w:eastAsia="Times New Roman" w:hAnsi="Times New Roman"/>
          <w:sz w:val="16"/>
          <w:szCs w:val="16"/>
          <w:b w:val="1"/>
          <w:bCs w:val="1"/>
          <w:color w:val="auto"/>
        </w:rPr>
        <w:t>(ii)</w:t>
      </w:r>
      <w:r>
        <w:rPr>
          <w:rFonts w:ascii="Times New Roman" w:cs="Times New Roman" w:eastAsia="Times New Roman" w:hAnsi="Times New Roman"/>
          <w:sz w:val="16"/>
          <w:szCs w:val="16"/>
          <w:color w:val="auto"/>
        </w:rPr>
        <w:t xml:space="preserve"> regardless of Textil Piura’s intention not to disclose the material events (as evidenced by its refusal despite SMV requests), and despite having still not disclosed them at the time of Resolution 033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 the applicable infraction type remained “failure to disclose material events that have significant repercussions on the market.”</w:t>
      </w:r>
    </w:p>
    <w:p>
      <w:pPr>
        <w:spacing w:after="0" w:line="178" w:lineRule="exact"/>
        <w:rPr>
          <w:sz w:val="20"/>
          <w:szCs w:val="20"/>
          <w:color w:val="auto"/>
        </w:rPr>
      </w:pPr>
    </w:p>
    <w:p>
      <w:pPr>
        <w:jc w:val="both"/>
        <w:ind w:right="20"/>
        <w:spacing w:after="0" w:line="201" w:lineRule="exact"/>
        <w:rPr>
          <w:sz w:val="20"/>
          <w:szCs w:val="20"/>
          <w:color w:val="auto"/>
        </w:rPr>
      </w:pPr>
      <w:r>
        <w:rPr>
          <w:rFonts w:ascii="Times New Roman" w:cs="Times New Roman" w:eastAsia="Times New Roman" w:hAnsi="Times New Roman"/>
          <w:sz w:val="16"/>
          <w:szCs w:val="16"/>
          <w:b w:val="1"/>
          <w:bCs w:val="1"/>
          <w:color w:val="auto"/>
        </w:rPr>
        <w:t xml:space="preserve">b. </w:t>
      </w:r>
      <w:r>
        <w:rPr>
          <w:rFonts w:ascii="Times New Roman" w:cs="Times New Roman" w:eastAsia="Times New Roman" w:hAnsi="Times New Roman"/>
          <w:sz w:val="16"/>
          <w:szCs w:val="16"/>
          <w:color w:val="auto"/>
        </w:rPr>
        <w:t>The Issuer states that thus, neither the time elapsed nor the intention not to disclose changes the nature of the infraction or converts it into a different infraction type.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infraction remains the failure to disclose material events with significant repercussions on the market. Accordingly, Articles 1 and 3 of Resolution 033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216535</wp:posOffset>
            </wp:positionV>
            <wp:extent cx="7146290"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3" w:right="319" w:bottom="1440" w:gutter="0" w:footer="0" w:header="0"/>
        </w:sectPr>
      </w:pPr>
    </w:p>
    <w:bookmarkStart w:id="124" w:name="page125"/>
    <w:bookmarkEnd w:id="124"/>
    <w:p>
      <w:pPr>
        <w:jc w:val="both"/>
        <w:ind w:right="20"/>
        <w:spacing w:after="0" w:line="198"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Article 1</w:t>
      </w:r>
      <w:r>
        <w:rPr>
          <w:rFonts w:ascii="Times New Roman" w:cs="Times New Roman" w:eastAsia="Times New Roman" w:hAnsi="Times New Roman"/>
          <w:sz w:val="16"/>
          <w:szCs w:val="16"/>
          <w:color w:val="auto"/>
        </w:rPr>
        <w:t>.— Declare that Industria Textil Piura S.A</w:t>
      </w:r>
      <w:r>
        <w:rPr>
          <w:rFonts w:ascii="Times New Roman" w:cs="Times New Roman" w:eastAsia="Times New Roman" w:hAnsi="Times New Roman"/>
          <w:sz w:val="16"/>
          <w:szCs w:val="16"/>
          <w:u w:val="single" w:color="auto"/>
          <w:color w:val="auto"/>
        </w:rPr>
        <w:t>. has incurred a serious infraction typified in Annex I, numeral 2, subsection 2.14 of the Sanctions Regulation,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approved by CONASEV Resolution No. 055</w:t>
      </w:r>
      <w:r>
        <w:rPr>
          <w:rFonts w:ascii="MS PGothic" w:cs="MS PGothic" w:eastAsia="MS PGothic" w:hAnsi="MS PGothic"/>
          <w:sz w:val="16"/>
          <w:szCs w:val="16"/>
          <w:u w:val="single" w:color="auto"/>
          <w:color w:val="auto"/>
        </w:rPr>
        <w:t>‑</w:t>
      </w:r>
      <w:r>
        <w:rPr>
          <w:rFonts w:ascii="Times New Roman" w:cs="Times New Roman" w:eastAsia="Times New Roman" w:hAnsi="Times New Roman"/>
          <w:sz w:val="16"/>
          <w:szCs w:val="16"/>
          <w:u w:val="single" w:color="auto"/>
          <w:color w:val="auto"/>
        </w:rPr>
        <w:t>2001</w:t>
      </w:r>
      <w:r>
        <w:rPr>
          <w:rFonts w:ascii="MS PGothic" w:cs="MS PGothic" w:eastAsia="MS PGothic" w:hAnsi="MS PGothic"/>
          <w:sz w:val="16"/>
          <w:szCs w:val="16"/>
          <w:u w:val="single" w:color="auto"/>
          <w:color w:val="auto"/>
        </w:rPr>
        <w:t>‑</w:t>
      </w:r>
      <w:r>
        <w:rPr>
          <w:rFonts w:ascii="Times New Roman" w:cs="Times New Roman" w:eastAsia="Times New Roman" w:hAnsi="Times New Roman"/>
          <w:sz w:val="16"/>
          <w:szCs w:val="16"/>
          <w:u w:val="single" w:color="auto"/>
          <w:color w:val="auto"/>
        </w:rPr>
        <w:t>EF/94.10, in force at the time of occurrence of the events, for failing to disclose material events that have significant repercussions on the market, specifically concerning the shutdown of its production plant since November 2016 and the commitment to sell assets for the third quarter of 2017</w:t>
      </w:r>
      <w:r>
        <w:rPr>
          <w:rFonts w:ascii="Times New Roman" w:cs="Times New Roman" w:eastAsia="Times New Roman" w:hAnsi="Times New Roman"/>
          <w:sz w:val="16"/>
          <w:szCs w:val="16"/>
          <w:color w:val="auto"/>
        </w:rPr>
        <w:t>.” (emphasis added)</w:t>
      </w:r>
    </w:p>
    <w:p>
      <w:pPr>
        <w:spacing w:after="0" w:line="178" w:lineRule="exact"/>
        <w:rPr>
          <w:sz w:val="20"/>
          <w:szCs w:val="20"/>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Article 3.— Declare that Industria Textil Piura S.A. has incurred a serious infraction typified in Annex I, numeral 2, subsection 2.11 of the Sanctions Regulation,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for failing to comply with the SMV’s orders communicated through Official Letter No. 101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of January 9, 2018, reiterated via Official Letter No. 407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of January 24, 2018.”</w:t>
      </w:r>
    </w:p>
    <w:p>
      <w:pPr>
        <w:spacing w:after="0" w:line="117" w:lineRule="exact"/>
        <w:rPr>
          <w:sz w:val="20"/>
          <w:szCs w:val="20"/>
          <w:color w:val="auto"/>
        </w:rPr>
      </w:pPr>
    </w:p>
    <w:p>
      <w:pPr>
        <w:ind w:left="240" w:hanging="232"/>
        <w:spacing w:after="0" w:line="184" w:lineRule="exact"/>
        <w:tabs>
          <w:tab w:leader="none" w:pos="240" w:val="left"/>
        </w:tabs>
        <w:numPr>
          <w:ilvl w:val="0"/>
          <w:numId w:val="1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Regarding Deputy Superintendency Resolution SMV No. 064</w:t>
      </w:r>
      <w:r>
        <w:rPr>
          <w:rFonts w:ascii="MS PGothic" w:cs="MS PGothic" w:eastAsia="MS PGothic" w:hAnsi="MS PGothic"/>
          <w:sz w:val="16"/>
          <w:szCs w:val="16"/>
          <w:u w:val="single" w:color="auto"/>
          <w:color w:val="auto"/>
        </w:rPr>
        <w:t>‑</w:t>
      </w:r>
      <w:r>
        <w:rPr>
          <w:rFonts w:ascii="Times New Roman" w:cs="Times New Roman" w:eastAsia="Times New Roman" w:hAnsi="Times New Roman"/>
          <w:sz w:val="16"/>
          <w:szCs w:val="16"/>
          <w:u w:val="single" w:color="auto"/>
          <w:color w:val="auto"/>
        </w:rPr>
        <w:t>2017</w:t>
      </w:r>
      <w:r>
        <w:rPr>
          <w:rFonts w:ascii="MS PGothic" w:cs="MS PGothic" w:eastAsia="MS PGothic" w:hAnsi="MS PGothic"/>
          <w:sz w:val="16"/>
          <w:szCs w:val="16"/>
          <w:u w:val="single" w:color="auto"/>
          <w:color w:val="auto"/>
        </w:rPr>
        <w:t>‑</w:t>
      </w:r>
      <w:r>
        <w:rPr>
          <w:rFonts w:ascii="Times New Roman" w:cs="Times New Roman" w:eastAsia="Times New Roman" w:hAnsi="Times New Roman"/>
          <w:sz w:val="16"/>
          <w:szCs w:val="16"/>
          <w:u w:val="single" w:color="auto"/>
          <w:color w:val="auto"/>
        </w:rPr>
        <w:t>SMV/11 of September 12, 2017</w:t>
      </w:r>
      <w:r>
        <w:rPr>
          <w:rFonts w:ascii="Times New Roman" w:cs="Times New Roman" w:eastAsia="Times New Roman" w:hAnsi="Times New Roman"/>
          <w:sz w:val="16"/>
          <w:szCs w:val="16"/>
          <w:color w:val="auto"/>
        </w:rPr>
        <w:t>, the Issuer states:</w:t>
      </w:r>
    </w:p>
    <w:p>
      <w:pPr>
        <w:spacing w:after="0" w:line="204" w:lineRule="exact"/>
        <w:rPr>
          <w:sz w:val="20"/>
          <w:szCs w:val="20"/>
          <w:color w:val="auto"/>
        </w:rPr>
      </w:pPr>
    </w:p>
    <w:p>
      <w:pPr>
        <w:ind w:left="240" w:hanging="232"/>
        <w:spacing w:after="0" w:line="184" w:lineRule="exact"/>
        <w:tabs>
          <w:tab w:leader="none" w:pos="240" w:val="left"/>
        </w:tabs>
        <w:numPr>
          <w:ilvl w:val="0"/>
          <w:numId w:val="15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In Resolution 064</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2017, the charges imputed to Andahuasi were analyzed, including several for failing to disclose material events. Among these charges were: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 Failure to disclose as a material event the initiation of proceedings to challenge the call for a General Shareholders’ Meeting (JGA) of Industrial Andahuasi S.A.C.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(“Industrial”) dated October 12, 2015.</w:t>
      </w:r>
    </w:p>
    <w:p>
      <w:pPr>
        <w:spacing w:after="0" w:line="153" w:lineRule="exact"/>
        <w:rPr>
          <w:sz w:val="20"/>
          <w:szCs w:val="20"/>
          <w:color w:val="auto"/>
        </w:rPr>
      </w:pPr>
    </w:p>
    <w:p>
      <w:pPr>
        <w:ind w:right="20" w:firstLine="8"/>
        <w:spacing w:after="0" w:line="221" w:lineRule="exact"/>
        <w:tabs>
          <w:tab w:leader="none" w:pos="239" w:val="left"/>
        </w:tabs>
        <w:numPr>
          <w:ilvl w:val="0"/>
          <w:numId w:val="15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Failure to disclose as a material event the initiation of a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contentious judicial proceeding requesting a court</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ordered call for a General Shareholders’ Meeting of the Issuer, submitted by a group of shareholders.</w:t>
      </w:r>
    </w:p>
    <w:p>
      <w:pPr>
        <w:spacing w:after="0" w:line="142" w:lineRule="exact"/>
        <w:rPr>
          <w:rFonts w:ascii="Times New Roman" w:cs="Times New Roman" w:eastAsia="Times New Roman" w:hAnsi="Times New Roman"/>
          <w:sz w:val="16"/>
          <w:szCs w:val="16"/>
          <w:i w:val="1"/>
          <w:iCs w:val="1"/>
          <w:color w:val="auto"/>
        </w:rPr>
      </w:pPr>
    </w:p>
    <w:p>
      <w:pPr>
        <w:ind w:right="20" w:firstLine="8"/>
        <w:spacing w:after="0" w:line="221" w:lineRule="exact"/>
        <w:tabs>
          <w:tab w:leader="none" w:pos="294" w:val="left"/>
        </w:tabs>
        <w:numPr>
          <w:ilvl w:val="0"/>
          <w:numId w:val="15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Failure to disclose as a material event the existence of a loan between the Issuer and Río Pativilca S.A. (“Río Pativilca”), amounting to Sixty</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Four Million Five Hundred Thousand and 00/100 Nuevos Soles (S/ 64,500,000.00)</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Regarding these charges, the Issuer states that Andahuasi argued that it had not been demonstrated that such events had “significant repercussions on the market,” and therefore a serious infraction was not applicable.</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However, the SASCM determined that, due to the concrete impact on investors, these events did indeed have “significant repercussions on the market” and therefore the infraction should be classified as serious under numeral 2.14 of Annex I of the Sanctions Regulation then in force: “</w:t>
      </w:r>
      <w:r>
        <w:rPr>
          <w:rFonts w:ascii="Times New Roman" w:cs="Times New Roman" w:eastAsia="Times New Roman" w:hAnsi="Times New Roman"/>
          <w:sz w:val="16"/>
          <w:szCs w:val="16"/>
          <w:i w:val="1"/>
          <w:iCs w:val="1"/>
          <w:color w:val="auto"/>
        </w:rPr>
        <w:t>failure to disclose material events that have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significant repercussions on the market</w:t>
      </w:r>
      <w:r>
        <w:rPr>
          <w:rFonts w:ascii="Times New Roman" w:cs="Times New Roman" w:eastAsia="Times New Roman" w:hAnsi="Times New Roman"/>
          <w:sz w:val="16"/>
          <w:szCs w:val="16"/>
          <w:color w:val="auto"/>
        </w:rPr>
        <w:t>.” In other words, the severity of the information does not modify the infraction type; rather, it is precisely one of the elements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included in the infraction type: “</w:t>
      </w:r>
      <w:r>
        <w:rPr>
          <w:rFonts w:ascii="Times New Roman" w:cs="Times New Roman" w:eastAsia="Times New Roman" w:hAnsi="Times New Roman"/>
          <w:sz w:val="16"/>
          <w:szCs w:val="16"/>
          <w:i w:val="1"/>
          <w:iCs w:val="1"/>
          <w:color w:val="auto"/>
        </w:rPr>
        <w:t>failure to disclose material events that have significant repercussions on the market</w:t>
      </w:r>
      <w:r>
        <w:rPr>
          <w:rFonts w:ascii="Times New Roman" w:cs="Times New Roman" w:eastAsia="Times New Roman" w:hAnsi="Times New Roman"/>
          <w:sz w:val="16"/>
          <w:szCs w:val="16"/>
          <w:color w:val="auto"/>
        </w:rPr>
        <w:t>.”</w:t>
      </w:r>
    </w:p>
    <w:p>
      <w:pPr>
        <w:spacing w:after="0" w:line="126"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Regarding this matter, the Issuer states that the SASCM indicated in Resolution 064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2017:</w:t>
      </w:r>
    </w:p>
    <w:p>
      <w:pPr>
        <w:spacing w:after="0" w:line="23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“25. </w:t>
      </w:r>
      <w:r>
        <w:rPr>
          <w:rFonts w:ascii="Times New Roman" w:cs="Times New Roman" w:eastAsia="Times New Roman" w:hAnsi="Times New Roman"/>
          <w:sz w:val="16"/>
          <w:szCs w:val="16"/>
          <w:color w:val="auto"/>
        </w:rPr>
        <w:t>With respect to the submission dated June 8, 2017, submitted by the Issuer, in accordance with numeral 5 of Article 253 of the TUO of the LPAG, the following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must be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191770</wp:posOffset>
            </wp:positionV>
            <wp:extent cx="7146290"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3" w:right="319" w:bottom="1440" w:gutter="0" w:footer="0" w:header="0"/>
        </w:sectPr>
      </w:pPr>
    </w:p>
    <w:bookmarkStart w:id="125" w:name="page126"/>
    <w:bookmarkEnd w:id="125"/>
    <w:p>
      <w:pPr>
        <w:jc w:val="both"/>
        <w:ind w:right="20" w:firstLine="8"/>
        <w:spacing w:after="0" w:line="207" w:lineRule="exact"/>
        <w:tabs>
          <w:tab w:leader="none" w:pos="206"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compliance referring to the failure to disclose material events, it must be noted that </w:t>
      </w:r>
      <w:r>
        <w:rPr>
          <w:rFonts w:ascii="Times New Roman" w:cs="Times New Roman" w:eastAsia="Times New Roman" w:hAnsi="Times New Roman"/>
          <w:sz w:val="16"/>
          <w:szCs w:val="16"/>
          <w:i w:val="1"/>
          <w:iCs w:val="1"/>
          <w:color w:val="auto"/>
        </w:rPr>
        <w:t>the evaluation of the defenses submitted regarding such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compliance, and strictly in response to the Issuer’s argument that there is no evidence or basis supporting the ‘significant repercussion’ on the market, has already been analyzed in the Report. Likewise, it is important to clarify that in order to assess whether there was repercussion on the securities market or on the collective funds system, consideration is fundamentally given to whether it is possible to observe concrete or appreciable harm, or whether other investors have been affected</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both"/>
        <w:ind w:right="20"/>
        <w:spacing w:after="0" w:line="202" w:lineRule="exact"/>
        <w:rPr>
          <w:sz w:val="20"/>
          <w:szCs w:val="20"/>
          <w:color w:val="auto"/>
        </w:rPr>
      </w:pPr>
      <w:r>
        <w:rPr>
          <w:rFonts w:ascii="Times New Roman" w:cs="Times New Roman" w:eastAsia="Times New Roman" w:hAnsi="Times New Roman"/>
          <w:sz w:val="16"/>
          <w:szCs w:val="16"/>
          <w:color w:val="auto"/>
        </w:rPr>
        <w:t xml:space="preserve">In this regard, it has been demonstrated that </w:t>
      </w:r>
      <w:r>
        <w:rPr>
          <w:rFonts w:ascii="Times New Roman" w:cs="Times New Roman" w:eastAsia="Times New Roman" w:hAnsi="Times New Roman"/>
          <w:sz w:val="16"/>
          <w:szCs w:val="16"/>
          <w:i w:val="1"/>
          <w:iCs w:val="1"/>
          <w:color w:val="auto"/>
        </w:rPr>
        <w:t>the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compliances under evaluation in the present administrative sanctioning proceeding do have significant repercussion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on the market, especially considering the current situation of the Issuer and the circumstances under which it should have fulfilled its obligation to disclose the following as material events at the appropriate time: the initiation of the contentious proceeding to challenge the call for its General Shareholders’ Meeting since the agenda of the requested meeting concerned the election of the company’s Board—an issue of relevance; the existence of a loan with Río Pativilca, given that such loan has the capacity to affect both the Issuer and the price of its securities, and in addition, that the amount due is significant; and the judgment of November 17, 2015 issued by the Permanent Chamber of Constitutional and Social Law of the Supreme Court, given that Zabuck International Inc. is a shareholder of the company and thus holds a series of rights, such as participating and voting in General Shareholders’ Meetings.</w:t>
      </w:r>
    </w:p>
    <w:p>
      <w:pPr>
        <w:spacing w:after="0" w:line="143" w:lineRule="exact"/>
        <w:rPr>
          <w:sz w:val="20"/>
          <w:szCs w:val="20"/>
          <w:color w:val="auto"/>
        </w:rPr>
      </w:pPr>
    </w:p>
    <w:p>
      <w:pPr>
        <w:ind w:right="20" w:firstLine="8"/>
        <w:spacing w:after="0" w:line="221" w:lineRule="exact"/>
        <w:tabs>
          <w:tab w:leader="none" w:pos="267"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Based on the foregoing, </w:t>
      </w:r>
      <w:r>
        <w:rPr>
          <w:rFonts w:ascii="Times New Roman" w:cs="Times New Roman" w:eastAsia="Times New Roman" w:hAnsi="Times New Roman"/>
          <w:sz w:val="16"/>
          <w:szCs w:val="16"/>
          <w:i w:val="1"/>
          <w:iCs w:val="1"/>
          <w:color w:val="auto"/>
        </w:rPr>
        <w:t>it is not appropriate to classify the aforementioned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compliances as minor infractions under the assumption of ‘omission in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disclosure of material events,’ which, according to the Issuer, is set forth in subsection 3.1 of numeral 3 of Annex I of the Sanctions Regulation</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ind w:left="260" w:hanging="252"/>
        <w:spacing w:after="0"/>
        <w:tabs>
          <w:tab w:leader="none" w:pos="260" w:val="left"/>
        </w:tabs>
        <w:numPr>
          <w:ilvl w:val="0"/>
          <w:numId w:val="1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relation to these arguments, the following should be clarified:</w:t>
      </w:r>
    </w:p>
    <w:p>
      <w:pPr>
        <w:spacing w:after="0" w:line="204" w:lineRule="exact"/>
        <w:rPr>
          <w:sz w:val="20"/>
          <w:szCs w:val="20"/>
          <w:color w:val="auto"/>
        </w:rPr>
      </w:pPr>
    </w:p>
    <w:p>
      <w:pPr>
        <w:jc w:val="both"/>
        <w:ind w:right="20" w:firstLine="8"/>
        <w:spacing w:after="0" w:line="270" w:lineRule="auto"/>
        <w:tabs>
          <w:tab w:leader="none" w:pos="196" w:val="left"/>
        </w:tabs>
        <w:numPr>
          <w:ilvl w:val="0"/>
          <w:numId w:val="1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Regarding the argument that this Deputy Superintendency should resolve the present case similarly to the three cases cited by the Issuer—cases in which the conduct sanctioned was the failure to disclose material events with significant market repercussion (typified under numeral 2.14 of Annex I of the Sanctions Regulation)—it is necessary to state that those cases are not comparable to the first charge imputed to the Issuer.</w:t>
      </w:r>
    </w:p>
    <w:p>
      <w:pPr>
        <w:spacing w:after="0" w:line="154" w:lineRule="exact"/>
        <w:rPr>
          <w:sz w:val="20"/>
          <w:szCs w:val="20"/>
          <w:color w:val="auto"/>
        </w:rPr>
      </w:pPr>
    </w:p>
    <w:p>
      <w:pPr>
        <w:ind w:right="20"/>
        <w:spacing w:after="0" w:line="217" w:lineRule="exact"/>
        <w:rPr>
          <w:sz w:val="20"/>
          <w:szCs w:val="20"/>
          <w:color w:val="auto"/>
        </w:rPr>
      </w:pPr>
      <w:r>
        <w:rPr>
          <w:rFonts w:ascii="Times New Roman" w:cs="Times New Roman" w:eastAsia="Times New Roman" w:hAnsi="Times New Roman"/>
          <w:sz w:val="16"/>
          <w:szCs w:val="16"/>
          <w:color w:val="auto"/>
        </w:rPr>
        <w:t xml:space="preserve">Indeed, the first charge refers to the Issuer having engaged in conduct that affected the transparency of the securities market </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16"/>
          <w:szCs w:val="16"/>
          <w:color w:val="auto"/>
        </w:rPr>
        <w:t xml:space="preserve">. This conduct is typified under subsection </w:t>
      </w:r>
      <w:r>
        <w:rPr>
          <w:rFonts w:ascii="Times New Roman" w:cs="Times New Roman" w:eastAsia="Times New Roman" w:hAnsi="Times New Roman"/>
          <w:sz w:val="16"/>
          <w:szCs w:val="16"/>
          <w:b w:val="1"/>
          <w:bCs w:val="1"/>
          <w:color w:val="auto"/>
        </w:rPr>
        <w:t>1.6</w:t>
      </w:r>
      <w:r>
        <w:rPr>
          <w:rFonts w:ascii="Times New Roman" w:cs="Times New Roman" w:eastAsia="Times New Roman" w:hAnsi="Times New Roman"/>
          <w:sz w:val="16"/>
          <w:szCs w:val="16"/>
          <w:color w:val="auto"/>
        </w:rPr>
        <w:t>, numeral 1 of Annex I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which establishes as a very serious infraction: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Carrying out any act, omission, practice or conduct that undermines the integrity or transparency of the market</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As reiterated in this Resolution, the Issuer was charged with a very serious infraction under subsection 1.6; therefore, the cases cited by the Issuer are not comparable because the infraction type applied in those resolutions refers to failure to disclose material events, which is a serious infraction, not a very serious one.</w:t>
      </w:r>
    </w:p>
    <w:p>
      <w:pPr>
        <w:spacing w:after="0" w:line="143" w:lineRule="exact"/>
        <w:rPr>
          <w:sz w:val="20"/>
          <w:szCs w:val="20"/>
          <w:color w:val="auto"/>
        </w:rPr>
      </w:pPr>
    </w:p>
    <w:p>
      <w:pPr>
        <w:jc w:val="both"/>
        <w:ind w:firstLine="8"/>
        <w:spacing w:after="0" w:line="270" w:lineRule="auto"/>
        <w:tabs>
          <w:tab w:leader="none" w:pos="249" w:val="left"/>
        </w:tabs>
        <w:numPr>
          <w:ilvl w:val="0"/>
          <w:numId w:val="1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It must also be reiterated that the three cited resolutions do not constitute binding precedents that must be followed by this Deputy Superintendency, nor can their reasoning be transplanted to this case. Each unlawful and sanctionable act must be assessed individually, based on the specific circumstances applicable to each regulated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201930</wp:posOffset>
            </wp:positionV>
            <wp:extent cx="7146290"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88" w:right="319" w:bottom="1440" w:gutter="0" w:footer="0" w:header="0"/>
        </w:sectPr>
      </w:pPr>
    </w:p>
    <w:bookmarkStart w:id="126" w:name="page127"/>
    <w:bookmarkEnd w:id="126"/>
    <w:p>
      <w:pPr>
        <w:jc w:val="both"/>
        <w:ind w:right="20" w:firstLine="8"/>
        <w:spacing w:after="0" w:line="270" w:lineRule="auto"/>
        <w:tabs>
          <w:tab w:leader="none" w:pos="299" w:val="left"/>
        </w:tabs>
        <w:numPr>
          <w:ilvl w:val="0"/>
          <w:numId w:val="1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It must also be clarified that this Deputy Superintendency considers the charges brought by the IGCC against the Issuer to be correct, and that they respect the principles of typicity and legality established in the TUO of the LPAG. Therefore, there is no reason to invalidate or modify the charges already imputed in this administrative sanctioning proceeding.</w:t>
      </w:r>
    </w:p>
    <w:p>
      <w:pPr>
        <w:spacing w:after="0" w:line="156" w:lineRule="exact"/>
        <w:rPr>
          <w:rFonts w:ascii="Times New Roman" w:cs="Times New Roman" w:eastAsia="Times New Roman" w:hAnsi="Times New Roman"/>
          <w:sz w:val="16"/>
          <w:szCs w:val="16"/>
          <w:b w:val="1"/>
          <w:bCs w:val="1"/>
          <w:color w:val="auto"/>
        </w:rPr>
      </w:pPr>
    </w:p>
    <w:p>
      <w:pPr>
        <w:jc w:val="both"/>
        <w:ind w:firstLine="8"/>
        <w:spacing w:after="0" w:line="270" w:lineRule="auto"/>
        <w:tabs>
          <w:tab w:leader="none" w:pos="293" w:val="left"/>
        </w:tabs>
        <w:numPr>
          <w:ilvl w:val="0"/>
          <w:numId w:val="1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Regarding the arguments relating to the supposed prescription of the first charge, as stated in this Resolution, the first charge concerns a permanent infraction. Accordingly, the statute of limitations began on November 21, 2019, the date on which the conduct ceased as a result of Mr. Romero’s statements on November 18, 2019 before the Public Prosecutor. Thus, the SMV’s authority to determine the existence of the infraction has not prescribed.</w:t>
      </w:r>
    </w:p>
    <w:p>
      <w:pPr>
        <w:spacing w:after="0" w:line="156" w:lineRule="exact"/>
        <w:rPr>
          <w:sz w:val="20"/>
          <w:szCs w:val="20"/>
          <w:color w:val="auto"/>
        </w:rPr>
      </w:pPr>
    </w:p>
    <w:p>
      <w:pPr>
        <w:ind w:right="20" w:firstLine="8"/>
        <w:spacing w:after="0" w:line="287" w:lineRule="auto"/>
        <w:tabs>
          <w:tab w:leader="none" w:pos="255" w:val="left"/>
        </w:tabs>
        <w:numPr>
          <w:ilvl w:val="0"/>
          <w:numId w:val="1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Without prejudice to the fact that the analysis of the charges, defenses and arguments has already been conducted—together with the respective evaluations and conclusions—and taking into account the relevance of the Issuer and of the specific case, it is appropriate to present the following summary:</w:t>
      </w:r>
    </w:p>
    <w:p>
      <w:pPr>
        <w:spacing w:after="0" w:line="141" w:lineRule="exact"/>
        <w:rPr>
          <w:sz w:val="20"/>
          <w:szCs w:val="20"/>
          <w:color w:val="auto"/>
        </w:rPr>
      </w:pPr>
    </w:p>
    <w:p>
      <w:pPr>
        <w:ind w:right="8840" w:firstLine="8"/>
        <w:spacing w:after="0" w:line="508" w:lineRule="auto"/>
        <w:tabs>
          <w:tab w:leader="none" w:pos="162" w:val="left"/>
        </w:tabs>
        <w:numPr>
          <w:ilvl w:val="0"/>
          <w:numId w:val="1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THE CASE THE CHARGES</w:t>
      </w: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The IGCC is the SMV body vested with legal authority to initiate and conduct administrative sanctioning proceedings for potential regulatory violations committed by issuers of securities. In this context, and as previously explained, the IGCC imputed two essential charges to the Issuer:</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1.1. First Charge: </w:t>
      </w:r>
      <w:r>
        <w:rPr>
          <w:rFonts w:ascii="Times New Roman" w:cs="Times New Roman" w:eastAsia="Times New Roman" w:hAnsi="Times New Roman"/>
          <w:sz w:val="16"/>
          <w:szCs w:val="16"/>
          <w:color w:val="auto"/>
        </w:rPr>
        <w:t>The Issuer engaged in conduct that would have affected the transparency of the securities market by failing to disclose information relevant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market relating to the Issuer’s cash contributions to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during the 2011 presidential campaign.</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1.2. Second Charge: </w:t>
      </w:r>
      <w:r>
        <w:rPr>
          <w:rFonts w:ascii="Times New Roman" w:cs="Times New Roman" w:eastAsia="Times New Roman" w:hAnsi="Times New Roman"/>
          <w:sz w:val="16"/>
          <w:szCs w:val="16"/>
          <w:color w:val="auto"/>
        </w:rPr>
        <w:t>The Issuer engaged in conduct that would have affected the transparency of the securities market by failing to disclose information relevant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market relating to the Issuer’s agreement to have its subsidiaries contribute to the political party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xml:space="preserve"> during the 2016 presidential campaign.</w:t>
      </w:r>
    </w:p>
    <w:p>
      <w:pPr>
        <w:spacing w:after="0" w:line="345"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According to the IGCC, both charges constitute infractions of </w:t>
      </w:r>
      <w:r>
        <w:rPr>
          <w:rFonts w:ascii="Times New Roman" w:cs="Times New Roman" w:eastAsia="Times New Roman" w:hAnsi="Times New Roman"/>
          <w:sz w:val="16"/>
          <w:szCs w:val="16"/>
          <w:b w:val="1"/>
          <w:bCs w:val="1"/>
          <w:color w:val="auto"/>
        </w:rPr>
        <w:t>Article 10 of the LMV</w:t>
      </w:r>
      <w:r>
        <w:rPr>
          <w:rFonts w:ascii="Times New Roman" w:cs="Times New Roman" w:eastAsia="Times New Roman" w:hAnsi="Times New Roman"/>
          <w:sz w:val="16"/>
          <w:szCs w:val="16"/>
          <w:color w:val="auto"/>
        </w:rPr>
        <w:t xml:space="preserve"> and are typified under the following very serious infraction in the Sanctions Regulation: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Carrying out any act, omission, practice or conduct that undermines the integrity or transparency of the market</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The IGCC also states that both infractions are of a </w:t>
      </w:r>
      <w:r>
        <w:rPr>
          <w:rFonts w:ascii="Times New Roman" w:cs="Times New Roman" w:eastAsia="Times New Roman" w:hAnsi="Times New Roman"/>
          <w:sz w:val="16"/>
          <w:szCs w:val="16"/>
          <w:b w:val="1"/>
          <w:bCs w:val="1"/>
          <w:u w:val="single" w:color="auto"/>
          <w:color w:val="auto"/>
        </w:rPr>
        <w:t>permanent nature</w:t>
      </w:r>
      <w:r>
        <w:rPr>
          <w:rFonts w:ascii="Times New Roman" w:cs="Times New Roman" w:eastAsia="Times New Roman" w:hAnsi="Times New Roman"/>
          <w:sz w:val="16"/>
          <w:szCs w:val="16"/>
          <w:color w:val="auto"/>
        </w:rPr>
        <w:t>, and that the Issuer’s infractions only ceased when it disclosed the material event on November 21, 2019 (</w:t>
      </w:r>
      <w:r>
        <w:rPr>
          <w:rFonts w:ascii="Times New Roman" w:cs="Times New Roman" w:eastAsia="Times New Roman" w:hAnsi="Times New Roman"/>
          <w:sz w:val="16"/>
          <w:szCs w:val="16"/>
          <w:b w:val="1"/>
          <w:bCs w:val="1"/>
          <w:u w:val="single" w:color="auto"/>
          <w:color w:val="auto"/>
        </w:rPr>
        <w:t>Case File No. 2019046358</w:t>
      </w:r>
      <w:r>
        <w:rPr>
          <w:rFonts w:ascii="Times New Roman" w:cs="Times New Roman" w:eastAsia="Times New Roman" w:hAnsi="Times New Roman"/>
          <w:sz w:val="16"/>
          <w:szCs w:val="16"/>
          <w:color w:val="auto"/>
        </w:rPr>
        <w:t>). This is relevant for the computation of the statute of limitations for the SMV’s authority to determine administrative infractions.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ISSUER’S DEFENSES AND ARGUMENTS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essence, the Issuer argues:</w:t>
      </w:r>
    </w:p>
    <w:p>
      <w:pPr>
        <w:spacing w:after="0" w:line="202"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A. THE 2011 INFORMATION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THE 2016 AGREEMENT </w:t>
      </w:r>
      <w:r>
        <w:rPr>
          <w:rFonts w:ascii="Times New Roman" w:cs="Times New Roman" w:eastAsia="Times New Roman" w:hAnsi="Times New Roman"/>
          <w:sz w:val="16"/>
          <w:szCs w:val="16"/>
          <w:color w:val="auto"/>
        </w:rPr>
        <w:t>do not qualify as material or relevant information that must or should have been disclosed as material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events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191770</wp:posOffset>
            </wp:positionV>
            <wp:extent cx="7146290"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3" w:right="319" w:bottom="1440" w:gutter="0" w:footer="0" w:header="0"/>
        </w:sectPr>
      </w:pPr>
    </w:p>
    <w:bookmarkStart w:id="127" w:name="page128"/>
    <w:bookmarkEnd w:id="127"/>
    <w:p>
      <w:pPr>
        <w:jc w:val="both"/>
        <w:ind w:left="280"/>
        <w:spacing w:after="0" w:line="199" w:lineRule="exact"/>
        <w:rPr>
          <w:sz w:val="20"/>
          <w:szCs w:val="20"/>
          <w:color w:val="auto"/>
        </w:rPr>
      </w:pPr>
      <w:r>
        <w:rPr>
          <w:rFonts w:ascii="Times New Roman" w:cs="Times New Roman" w:eastAsia="Times New Roman" w:hAnsi="Times New Roman"/>
          <w:sz w:val="16"/>
          <w:szCs w:val="16"/>
          <w:b w:val="1"/>
          <w:bCs w:val="1"/>
          <w:color w:val="auto"/>
        </w:rPr>
        <w:t xml:space="preserve">B. </w:t>
      </w:r>
      <w:r>
        <w:rPr>
          <w:rFonts w:ascii="Times New Roman" w:cs="Times New Roman" w:eastAsia="Times New Roman" w:hAnsi="Times New Roman"/>
          <w:sz w:val="16"/>
          <w:szCs w:val="16"/>
          <w:color w:val="auto"/>
        </w:rPr>
        <w:t>In the hypothetical and denied case that</w:t>
      </w:r>
      <w:r>
        <w:rPr>
          <w:rFonts w:ascii="Times New Roman" w:cs="Times New Roman" w:eastAsia="Times New Roman" w:hAnsi="Times New Roman"/>
          <w:sz w:val="16"/>
          <w:szCs w:val="16"/>
          <w:b w:val="1"/>
          <w:bCs w:val="1"/>
          <w:color w:val="auto"/>
        </w:rPr>
        <w:t xml:space="preserve"> THE 2011 INFORMATION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THE 2016 AGREEMENT </w:t>
      </w:r>
      <w:r>
        <w:rPr>
          <w:rFonts w:ascii="Times New Roman" w:cs="Times New Roman" w:eastAsia="Times New Roman" w:hAnsi="Times New Roman"/>
          <w:sz w:val="16"/>
          <w:szCs w:val="16"/>
          <w:color w:val="auto"/>
        </w:rPr>
        <w:t>qualify as material events, the Issuer argues that: (i)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conduct imputed consists of </w:t>
      </w:r>
      <w:r>
        <w:rPr>
          <w:rFonts w:ascii="Times New Roman" w:cs="Times New Roman" w:eastAsia="Times New Roman" w:hAnsi="Times New Roman"/>
          <w:sz w:val="16"/>
          <w:szCs w:val="16"/>
          <w:u w:val="single" w:color="auto"/>
          <w:color w:val="auto"/>
        </w:rPr>
        <w:t>failure to disclose a material event in a timely manner</w:t>
      </w:r>
      <w:r>
        <w:rPr>
          <w:rFonts w:ascii="Times New Roman" w:cs="Times New Roman" w:eastAsia="Times New Roman" w:hAnsi="Times New Roman"/>
          <w:sz w:val="16"/>
          <w:szCs w:val="16"/>
          <w:color w:val="auto"/>
        </w:rPr>
        <w:t>, and therefore the specific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applicable is that established in Article 28 of the LMV and in the Regulation on Material Events—not Article 10 of the LMV; and (ii) such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is typified as a serious infraction under the Sanctions Regulation:</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Failure to disclose material events that have significant repercussions on the market</w:t>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jc w:val="both"/>
        <w:ind w:left="280" w:right="20"/>
        <w:spacing w:after="0" w:line="290" w:lineRule="auto"/>
        <w:rPr>
          <w:sz w:val="20"/>
          <w:szCs w:val="20"/>
          <w:color w:val="auto"/>
        </w:rPr>
      </w:pPr>
      <w:r>
        <w:rPr>
          <w:rFonts w:ascii="Times New Roman" w:cs="Times New Roman" w:eastAsia="Times New Roman" w:hAnsi="Times New Roman"/>
          <w:sz w:val="16"/>
          <w:szCs w:val="16"/>
          <w:color w:val="auto"/>
        </w:rPr>
        <w:t>The Issuer adds: “</w:t>
      </w:r>
      <w:r>
        <w:rPr>
          <w:rFonts w:ascii="Times New Roman" w:cs="Times New Roman" w:eastAsia="Times New Roman" w:hAnsi="Times New Roman"/>
          <w:sz w:val="16"/>
          <w:szCs w:val="16"/>
          <w:i w:val="1"/>
          <w:iCs w:val="1"/>
          <w:color w:val="auto"/>
        </w:rPr>
        <w:t>Since there is a specific infraction type that precisely describes the conduct imputed, it is not appropriate to apply a generic type that carries a greater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sanction (…)</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ind w:left="280"/>
        <w:spacing w:after="0" w:line="198" w:lineRule="exact"/>
        <w:rPr>
          <w:sz w:val="20"/>
          <w:szCs w:val="20"/>
          <w:color w:val="auto"/>
        </w:rPr>
      </w:pPr>
      <w:r>
        <w:rPr>
          <w:rFonts w:ascii="Times New Roman" w:cs="Times New Roman" w:eastAsia="Times New Roman" w:hAnsi="Times New Roman"/>
          <w:sz w:val="16"/>
          <w:szCs w:val="16"/>
          <w:color w:val="auto"/>
        </w:rPr>
        <w:t xml:space="preserve">The Issuer states that the infraction of “Failure to Disclose Material Events” is an </w:t>
      </w:r>
      <w:r>
        <w:rPr>
          <w:rFonts w:ascii="Times New Roman" w:cs="Times New Roman" w:eastAsia="Times New Roman" w:hAnsi="Times New Roman"/>
          <w:sz w:val="16"/>
          <w:szCs w:val="16"/>
          <w:b w:val="1"/>
          <w:bCs w:val="1"/>
          <w:u w:val="single" w:color="auto"/>
          <w:color w:val="auto"/>
        </w:rPr>
        <w:t>instantaneous infraction</w:t>
      </w:r>
      <w:r>
        <w:rPr>
          <w:rFonts w:ascii="Times New Roman" w:cs="Times New Roman" w:eastAsia="Times New Roman" w:hAnsi="Times New Roman"/>
          <w:sz w:val="16"/>
          <w:szCs w:val="16"/>
          <w:color w:val="auto"/>
        </w:rPr>
        <w:t xml:space="preserve"> both by its nature and by the determination made by the SMV in the “</w:t>
      </w:r>
      <w:r>
        <w:rPr>
          <w:rFonts w:ascii="Times New Roman" w:cs="Times New Roman" w:eastAsia="Times New Roman" w:hAnsi="Times New Roman"/>
          <w:sz w:val="16"/>
          <w:szCs w:val="16"/>
          <w:i w:val="1"/>
          <w:iCs w:val="1"/>
          <w:color w:val="auto"/>
        </w:rPr>
        <w:t>Criteria applicable to the administrative sanctioning procedure for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compliance with the rules governing the submission of periodic or event</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based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information,</w:t>
      </w:r>
      <w:r>
        <w:rPr>
          <w:rFonts w:ascii="Times New Roman" w:cs="Times New Roman" w:eastAsia="Times New Roman" w:hAnsi="Times New Roman"/>
          <w:sz w:val="16"/>
          <w:szCs w:val="16"/>
          <w:color w:val="auto"/>
        </w:rPr>
        <w:t>” approved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which provides that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u w:val="single" w:color="auto"/>
          <w:color w:val="auto"/>
        </w:rPr>
        <w:t>failure to timely submit periodic or event</w:t>
      </w:r>
      <w:r>
        <w:rPr>
          <w:rFonts w:ascii="MS PGothic" w:cs="MS PGothic" w:eastAsia="MS PGothic" w:hAnsi="MS PGothic"/>
          <w:sz w:val="16"/>
          <w:szCs w:val="16"/>
          <w:u w:val="single" w:color="auto"/>
          <w:color w:val="auto"/>
          <w:strike w:val="1"/>
        </w:rPr>
        <w:t>‑</w:t>
      </w:r>
      <w:r>
        <w:rPr>
          <w:rFonts w:ascii="Times New Roman" w:cs="Times New Roman" w:eastAsia="Times New Roman" w:hAnsi="Times New Roman"/>
          <w:sz w:val="16"/>
          <w:szCs w:val="16"/>
          <w:b w:val="1"/>
          <w:bCs w:val="1"/>
          <w:u w:val="single" w:color="auto"/>
          <w:color w:val="auto"/>
        </w:rPr>
        <w:t>based information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constitutes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an instantaneous administrative infraction, and is not of a permanent nature. Along these lines, the Issuer argues that the SMV’s authority to determine the existence of the infraction of failing to disclose the 2011 Contributions </w:t>
      </w:r>
      <w:r>
        <w:rPr>
          <w:rFonts w:ascii="Times New Roman" w:cs="Times New Roman" w:eastAsia="Times New Roman" w:hAnsi="Times New Roman"/>
          <w:sz w:val="16"/>
          <w:szCs w:val="16"/>
          <w:u w:val="single" w:color="auto"/>
          <w:color w:val="auto"/>
        </w:rPr>
        <w:t>prescribed on May 24, 2015.</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EVALUATION AND CONCLUSIONS OF THE SPECIFIC CASE</w:t>
      </w:r>
    </w:p>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I. Do THE 2011 INFORMATION and THE 2016 AGREEMENT qualify as material events of the Issuer?</w:t>
      </w:r>
    </w:p>
    <w:p>
      <w:pPr>
        <w:spacing w:after="0" w:line="204" w:lineRule="exact"/>
        <w:rPr>
          <w:sz w:val="20"/>
          <w:szCs w:val="20"/>
          <w:color w:val="auto"/>
        </w:rPr>
      </w:pPr>
    </w:p>
    <w:p>
      <w:pPr>
        <w:jc w:val="both"/>
        <w:ind w:left="280"/>
        <w:spacing w:after="0" w:line="265" w:lineRule="auto"/>
        <w:rPr>
          <w:sz w:val="20"/>
          <w:szCs w:val="20"/>
          <w:color w:val="auto"/>
        </w:rPr>
      </w:pPr>
      <w:r>
        <w:rPr>
          <w:rFonts w:ascii="Times New Roman" w:cs="Times New Roman" w:eastAsia="Times New Roman" w:hAnsi="Times New Roman"/>
          <w:sz w:val="16"/>
          <w:szCs w:val="16"/>
          <w:color w:val="auto"/>
        </w:rPr>
        <w:t xml:space="preserve">Regarding whether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qualify as material events, we consider that both in Case File No. 2019048270, corresponding to this administrative sanctioning proceeding, as well as in the media and press, there is sufficient evidence indicating that such information is relevant. The evidence supporting the conclusion that this information is material or relevant—and therefore qualifies as a material event—is objective, grounded in reality, and irrefutable.</w:t>
      </w:r>
    </w:p>
    <w:p>
      <w:pPr>
        <w:spacing w:after="0" w:line="161"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6"/>
          <w:szCs w:val="16"/>
          <w:color w:val="auto"/>
        </w:rPr>
        <w:t>The Issuer’s arguments to the contrary—based almost exclusively on quantitative indicators or comparative metrics—lack a comprehensive analysis, as they fail to consider qualitative elements or the significance and impacts generated for the Issuer by the public disclosure on November 18, 2019 of the statements made by Mr. Romero, Chairman of the Issuer’s Board of Directors. These effects continue to be present both for the Issuer and for its subsidiaries, as evidenced, for example, in the present proceeding, in the sanctioning proceedings initiated by the SMV against its subsidiaries, and in the material event disclosed on August 5, 2020 by Banco de Crédito del Perú (Case File No. 2020027470), which stated: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Ref.: Material Events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Dear Sirs: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146290"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8" w:name="page129"/>
    <w:bookmarkEnd w:id="128"/>
    <w:p>
      <w:pPr>
        <w:jc w:val="both"/>
        <w:spacing w:after="0" w:line="203" w:lineRule="exact"/>
        <w:rPr>
          <w:sz w:val="20"/>
          <w:szCs w:val="20"/>
          <w:color w:val="auto"/>
        </w:rPr>
      </w:pPr>
      <w:r>
        <w:rPr>
          <w:rFonts w:ascii="Times New Roman" w:cs="Times New Roman" w:eastAsia="Times New Roman" w:hAnsi="Times New Roman"/>
          <w:sz w:val="16"/>
          <w:szCs w:val="16"/>
          <w:i w:val="1"/>
          <w:iCs w:val="1"/>
          <w:color w:val="auto"/>
        </w:rPr>
        <w:t>In accordance with the provisions of Article 28 of the Consolidated Text of the Securities Market Law approved by Supreme Decree No. 093</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2002</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EF, and with the Regulations on Material Events and Reserved Information approved by SMV Resolution No. 005</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2014</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SMV/01, we hereby inform you, in our capacity as issuer of a Material Event, that on this date, through Official Letter No. 18770</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2020</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SBS, the Superintendency of Banking, Insurance and AFPs has notified Banco de Crédito del Perú (BCP) of the initiation of an administrative sanctioning proceeding resulting from the supervisory action carried out by the Ad Hoc Working Group created pursuant to Resolution SBS No. 5651</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2019 of November 29, 2019, to investigate and evaluate the actions carried out by BCP, Pacífico Seguros S.A., and Mibanco S.A. with respect to the contributions made to presidential election campaigns.</w:t>
      </w:r>
    </w:p>
    <w:p>
      <w:pPr>
        <w:spacing w:after="0" w:line="179" w:lineRule="exact"/>
        <w:rPr>
          <w:sz w:val="20"/>
          <w:szCs w:val="20"/>
          <w:color w:val="auto"/>
        </w:rPr>
      </w:pPr>
    </w:p>
    <w:p>
      <w:pPr>
        <w:jc w:val="both"/>
        <w:spacing w:after="0" w:line="199" w:lineRule="exact"/>
        <w:rPr>
          <w:sz w:val="20"/>
          <w:szCs w:val="20"/>
          <w:color w:val="auto"/>
        </w:rPr>
      </w:pPr>
      <w:r>
        <w:rPr>
          <w:rFonts w:ascii="Times New Roman" w:cs="Times New Roman" w:eastAsia="Times New Roman" w:hAnsi="Times New Roman"/>
          <w:sz w:val="16"/>
          <w:szCs w:val="16"/>
          <w:i w:val="1"/>
          <w:iCs w:val="1"/>
          <w:color w:val="auto"/>
        </w:rPr>
        <w:t>The infringements that the SBS attributes to BCP are four in number and refer to: (i) accounting records during the period between the months of November 2010 and September 2019, involving third</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party transactions in accounting account 1909; (ii) the lack of registration or errors in the registration of certain transactions that should have been recorded in the Operations Register during the period between November 2010 and September 2019; (iii) the lack of precise and complete preservation of the Operations Register within the time period established by law; and (iv) the lack of documentary evidence regarding the analysis of certain AML alerts.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Sincerely,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BANCO DE CRÉDITO DEL PERÚ</w:t>
      </w:r>
    </w:p>
    <w:p>
      <w:pPr>
        <w:spacing w:after="0" w:line="173" w:lineRule="exact"/>
        <w:rPr>
          <w:sz w:val="20"/>
          <w:szCs w:val="20"/>
          <w:color w:val="auto"/>
        </w:rPr>
      </w:pPr>
    </w:p>
    <w:p>
      <w:pPr>
        <w:jc w:val="both"/>
        <w:ind w:left="280"/>
        <w:spacing w:after="0" w:line="207" w:lineRule="exact"/>
        <w:rPr>
          <w:sz w:val="20"/>
          <w:szCs w:val="20"/>
          <w:color w:val="auto"/>
        </w:rPr>
      </w:pPr>
      <w:r>
        <w:rPr>
          <w:rFonts w:ascii="Times New Roman" w:cs="Times New Roman" w:eastAsia="Times New Roman" w:hAnsi="Times New Roman"/>
          <w:sz w:val="16"/>
          <w:szCs w:val="16"/>
          <w:color w:val="auto"/>
        </w:rPr>
        <w:t>Additionally, it must be noted that from the reading of Memorandum No. 4365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dated November 22, 2019, included in the case file, it is observed that through Official Letter No. 5508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dated November 20, 2019 (Case File No. 2019046107), the IGSC, in the exercise of its supervisory duties, required the Issuer to disclose as material events: (1) Mr. Romero’s letter circulated via Twitter on November 18, 2019; (2) The Press Release published on November 18, 2019 on the Issuer’s official website; and (3) The interview given by Mr. Romero, published in the November 19, 2019 edition of El Comercio.</w:t>
      </w:r>
    </w:p>
    <w:p>
      <w:pPr>
        <w:spacing w:after="0" w:line="179" w:lineRule="exact"/>
        <w:rPr>
          <w:sz w:val="20"/>
          <w:szCs w:val="20"/>
          <w:color w:val="auto"/>
        </w:rPr>
      </w:pPr>
    </w:p>
    <w:p>
      <w:pPr>
        <w:jc w:val="both"/>
        <w:ind w:left="280"/>
        <w:spacing w:after="0" w:line="270" w:lineRule="auto"/>
        <w:rPr>
          <w:sz w:val="20"/>
          <w:szCs w:val="20"/>
          <w:color w:val="auto"/>
        </w:rPr>
      </w:pPr>
      <w:r>
        <w:rPr>
          <w:rFonts w:ascii="Times New Roman" w:cs="Times New Roman" w:eastAsia="Times New Roman" w:hAnsi="Times New Roman"/>
          <w:sz w:val="16"/>
          <w:szCs w:val="16"/>
          <w:color w:val="auto"/>
        </w:rPr>
        <w:t xml:space="preserve">Following this request from the IGSC, the Issuer decided to disclose—on November 21, 2019 (Case File No. 2019046358)—the aforementioned information and/or documents as a material event (hereinafter, “Material Event of November 21, 2019 – Case File No. 2019046358”). Through this action, the Issuer disseminated in the Peruvian securities market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as shown in the following image:</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Ref.: Material Events</w:t>
      </w:r>
    </w:p>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Dear Sirs:</w:t>
      </w:r>
    </w:p>
    <w:p>
      <w:pPr>
        <w:spacing w:after="0" w:line="173" w:lineRule="exact"/>
        <w:rPr>
          <w:sz w:val="20"/>
          <w:szCs w:val="20"/>
          <w:color w:val="auto"/>
        </w:rPr>
      </w:pPr>
    </w:p>
    <w:p>
      <w:pPr>
        <w:jc w:val="both"/>
        <w:ind w:left="280"/>
        <w:spacing w:after="0" w:line="221" w:lineRule="exact"/>
        <w:rPr>
          <w:sz w:val="20"/>
          <w:szCs w:val="20"/>
          <w:color w:val="auto"/>
        </w:rPr>
      </w:pPr>
      <w:r>
        <w:rPr>
          <w:rFonts w:ascii="Times New Roman" w:cs="Times New Roman" w:eastAsia="Times New Roman" w:hAnsi="Times New Roman"/>
          <w:sz w:val="16"/>
          <w:szCs w:val="16"/>
          <w:i w:val="1"/>
          <w:iCs w:val="1"/>
          <w:color w:val="auto"/>
        </w:rPr>
        <w:t>In accordance with the request made by you through Official Letter No. 5508</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2019</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SMV/11.1, File No. 2019046107, we hereby comply with disclosing, as a Material Event, the following:</w:t>
      </w:r>
    </w:p>
    <w:p>
      <w:pPr>
        <w:spacing w:after="0" w:line="177" w:lineRule="exact"/>
        <w:rPr>
          <w:sz w:val="20"/>
          <w:szCs w:val="20"/>
          <w:color w:val="auto"/>
        </w:rPr>
      </w:pPr>
    </w:p>
    <w:p>
      <w:pPr>
        <w:ind w:left="580" w:hanging="292"/>
        <w:spacing w:after="0"/>
        <w:tabs>
          <w:tab w:leader="none" w:pos="580" w:val="left"/>
        </w:tabs>
        <w:numPr>
          <w:ilvl w:val="0"/>
          <w:numId w:val="16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Letter from Mr. Dionisio Romero Paoletti disseminated via Twitter on November 18, 2019 (Annex A).</w:t>
      </w:r>
    </w:p>
    <w:p>
      <w:pPr>
        <w:spacing w:after="0" w:line="204" w:lineRule="exact"/>
        <w:rPr>
          <w:rFonts w:ascii="Times New Roman" w:cs="Times New Roman" w:eastAsia="Times New Roman" w:hAnsi="Times New Roman"/>
          <w:sz w:val="16"/>
          <w:szCs w:val="16"/>
          <w:i w:val="1"/>
          <w:iCs w:val="1"/>
          <w:color w:val="auto"/>
        </w:rPr>
      </w:pPr>
    </w:p>
    <w:p>
      <w:pPr>
        <w:ind w:left="580" w:hanging="292"/>
        <w:spacing w:after="0"/>
        <w:tabs>
          <w:tab w:leader="none" w:pos="580" w:val="left"/>
        </w:tabs>
        <w:numPr>
          <w:ilvl w:val="0"/>
          <w:numId w:val="16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Press Release published on November 18, 2019 on the official Credicorp Ltd. website (Annex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234315</wp:posOffset>
            </wp:positionV>
            <wp:extent cx="7146290"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88" w:right="339" w:bottom="1440" w:gutter="0" w:footer="0" w:header="0"/>
        </w:sectPr>
      </w:pPr>
    </w:p>
    <w:bookmarkStart w:id="129" w:name="page130"/>
    <w:bookmarkEnd w:id="129"/>
    <w:p>
      <w:pPr>
        <w:ind w:left="300" w:hanging="292"/>
        <w:spacing w:after="0"/>
        <w:tabs>
          <w:tab w:leader="none" w:pos="300" w:val="left"/>
        </w:tabs>
        <w:numPr>
          <w:ilvl w:val="0"/>
          <w:numId w:val="16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Interview given by Mr. Romero, published in the November 19, 2019 edition of the newspaper El Comercio (Annex C).</w:t>
      </w:r>
    </w:p>
    <w:p>
      <w:pPr>
        <w:spacing w:after="0" w:line="170" w:lineRule="exact"/>
        <w:rPr>
          <w:rFonts w:ascii="Times New Roman" w:cs="Times New Roman" w:eastAsia="Times New Roman" w:hAnsi="Times New Roman"/>
          <w:sz w:val="16"/>
          <w:szCs w:val="16"/>
          <w:i w:val="1"/>
          <w:iCs w:val="1"/>
          <w:color w:val="auto"/>
        </w:rPr>
      </w:pPr>
    </w:p>
    <w:p>
      <w:pPr>
        <w:ind w:left="300" w:hanging="292"/>
        <w:spacing w:after="0" w:line="184" w:lineRule="exact"/>
        <w:tabs>
          <w:tab w:leader="none" w:pos="300" w:val="left"/>
        </w:tabs>
        <w:numPr>
          <w:ilvl w:val="0"/>
          <w:numId w:val="16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Copy of Official Letter No. 5508</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2019</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SMV/11.1 and its annexes (Annex 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Sincerely,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CREDICORP LTD.</w:t>
      </w:r>
    </w:p>
    <w:p>
      <w:pPr>
        <w:spacing w:after="0" w:line="173"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Thus, although the Issuer expressly stated in the material event that it was disclosing the information in compliance with Official Letter No. 5508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the very act of disclosing the information as a material event implies that the Issuer admitted or accepted that such information indeed qualifies as a material event and is therefore relevant information that must be disclosed to the securities market.</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Given this evidence—that there exists a material event containing the referenced information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)—it is unfounded for the Issuer to persist in this proceeding in questioning whether such information qualifies as a material event, as the Issuer itself disclosed it as such. Moreover, this information continues to be disseminated and/or published as a material event in the media and online, and since its disclosure on November 21, 2019, it has had effects on all market participants, including investors. Accordingly, it is highly unlikely—and legally baseless—to argue that such information does not qualify as a material event, as the market has already assimilated it as such.</w:t>
      </w:r>
    </w:p>
    <w:p>
      <w:pPr>
        <w:spacing w:after="0" w:line="163" w:lineRule="exact"/>
        <w:rPr>
          <w:sz w:val="20"/>
          <w:szCs w:val="20"/>
          <w:color w:val="auto"/>
        </w:rPr>
      </w:pPr>
    </w:p>
    <w:p>
      <w:pPr>
        <w:jc w:val="both"/>
        <w:spacing w:after="0" w:line="200" w:lineRule="exact"/>
        <w:rPr>
          <w:sz w:val="20"/>
          <w:szCs w:val="20"/>
          <w:color w:val="auto"/>
        </w:rPr>
      </w:pPr>
      <w:r>
        <w:rPr>
          <w:rFonts w:ascii="Times New Roman" w:cs="Times New Roman" w:eastAsia="Times New Roman" w:hAnsi="Times New Roman"/>
          <w:sz w:val="16"/>
          <w:szCs w:val="16"/>
          <w:color w:val="auto"/>
        </w:rPr>
        <w:t>Furthermore, even if the Issuer had not disclosed the information as a material event, there are other objective facts and elements demonstrating that such information constitutes a material event. Indeed, these elements—listed in Official Letter No. 5508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SMV/11.1—must be considered, as they determine that the information is a material event of the Issuer and must therefore be disclosed formally and legally through the material events mechanism:</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a. </w:t>
      </w:r>
      <w:r>
        <w:rPr>
          <w:rFonts w:ascii="Times New Roman" w:cs="Times New Roman" w:eastAsia="Times New Roman" w:hAnsi="Times New Roman"/>
          <w:sz w:val="16"/>
          <w:szCs w:val="16"/>
          <w:color w:val="auto"/>
        </w:rPr>
        <w:t>The Issuer itself disseminated on its official Twitter account (@CredicorpGroup) the letter of November 18, 2019, in which Mr. Romero addressed the Issuer’s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employees, stating: “</w:t>
      </w:r>
      <w:r>
        <w:rPr>
          <w:rFonts w:ascii="Times New Roman" w:cs="Times New Roman" w:eastAsia="Times New Roman" w:hAnsi="Times New Roman"/>
          <w:sz w:val="16"/>
          <w:szCs w:val="16"/>
          <w:i w:val="1"/>
          <w:iCs w:val="1"/>
          <w:color w:val="auto"/>
        </w:rPr>
        <w:t>(…) it is necessary to write this letter to explain the circumstances and, especially, the reasons behind the decision to make these contributions</w:t>
      </w:r>
      <w:r>
        <w:rPr>
          <w:rFonts w:ascii="Times New Roman" w:cs="Times New Roman" w:eastAsia="Times New Roman" w:hAnsi="Times New Roman"/>
          <w:sz w:val="16"/>
          <w:szCs w:val="16"/>
          <w:color w:val="auto"/>
        </w:rPr>
        <w:t xml:space="preserve">.” This communication is shown in the </w:t>
      </w:r>
      <w:r>
        <w:rPr>
          <w:rFonts w:ascii="Times New Roman" w:cs="Times New Roman" w:eastAsia="Times New Roman" w:hAnsi="Times New Roman"/>
          <w:sz w:val="16"/>
          <w:szCs w:val="16"/>
          <w:b w:val="1"/>
          <w:bCs w:val="1"/>
          <w:color w:val="auto"/>
        </w:rPr>
        <w:t>Material Event of November 21, 2019 – Case File No. 2019046358.</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This is a communication from the Chairman of the Issuer’s Board of Directors and/or its principal executive, who is also one of its most significant shareholders. Moreover, Mr. Romero is identified by the Issuer as the individual who controls the Issuer and controls its economic group, in accordance with the Economic Group reports that the Issuer regularly submits to the SMV and discloses to the Peruvian securities market.</w:t>
      </w:r>
    </w:p>
    <w:p>
      <w:pPr>
        <w:spacing w:after="0" w:line="1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b. </w:t>
      </w:r>
      <w:r>
        <w:rPr>
          <w:rFonts w:ascii="Times New Roman" w:cs="Times New Roman" w:eastAsia="Times New Roman" w:hAnsi="Times New Roman"/>
          <w:sz w:val="16"/>
          <w:szCs w:val="16"/>
          <w:color w:val="auto"/>
        </w:rPr>
        <w:t>The Issuer published on its website the Press Release of November 18, 2019, appearing in the “Press Releases” section, where relevant corporate events or news 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disclosed. This Press Release is included in the </w:t>
      </w:r>
      <w:r>
        <w:rPr>
          <w:rFonts w:ascii="Times New Roman" w:cs="Times New Roman" w:eastAsia="Times New Roman" w:hAnsi="Times New Roman"/>
          <w:sz w:val="16"/>
          <w:szCs w:val="16"/>
          <w:b w:val="1"/>
          <w:bCs w:val="1"/>
          <w:color w:val="auto"/>
        </w:rPr>
        <w:t>Material Event of November 21, 2019 – Case File No. 2019046358.</w:t>
      </w:r>
    </w:p>
    <w:p>
      <w:pPr>
        <w:spacing w:after="0" w:line="138" w:lineRule="exact"/>
        <w:rPr>
          <w:sz w:val="20"/>
          <w:szCs w:val="20"/>
          <w:color w:val="auto"/>
        </w:rPr>
      </w:pPr>
    </w:p>
    <w:p>
      <w:pPr>
        <w:jc w:val="both"/>
        <w:spacing w:after="0" w:line="199" w:lineRule="exact"/>
        <w:rPr>
          <w:sz w:val="20"/>
          <w:szCs w:val="20"/>
          <w:color w:val="auto"/>
        </w:rPr>
      </w:pPr>
      <w:r>
        <w:rPr>
          <w:rFonts w:ascii="Times New Roman" w:cs="Times New Roman" w:eastAsia="Times New Roman" w:hAnsi="Times New Roman"/>
          <w:sz w:val="16"/>
          <w:szCs w:val="16"/>
          <w:b w:val="1"/>
          <w:bCs w:val="1"/>
          <w:color w:val="auto"/>
        </w:rPr>
        <w:t xml:space="preserve">c. </w:t>
      </w:r>
      <w:r>
        <w:rPr>
          <w:rFonts w:ascii="Times New Roman" w:cs="Times New Roman" w:eastAsia="Times New Roman" w:hAnsi="Times New Roman"/>
          <w:sz w:val="16"/>
          <w:szCs w:val="16"/>
          <w:color w:val="auto"/>
        </w:rPr>
        <w:t>Considering the content of the statements made by Mr. Romero before the Public Prosecutor on November 18, 2019—not only from a quantitative but also from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qualitative perspective—together with the Issuer’s communications that same day (via Twitter and Press Release), the applicable regulatory framework set forth in Official Letter No. 5508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SMV/11.1, and the SMV’s mandate to protect investors and ensure the transparency of information required in the securities market, all of these elements confirm that such statements constitute a material event of the Issuer and should have been disclosed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216535</wp:posOffset>
            </wp:positionV>
            <wp:extent cx="7146290"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60"/>
          </w:cols>
          <w:pgMar w:left="600" w:top="121" w:right="339" w:bottom="1440" w:gutter="0" w:footer="0" w:header="0"/>
        </w:sectPr>
      </w:pPr>
    </w:p>
    <w:bookmarkStart w:id="130" w:name="page131"/>
    <w:bookmarkEnd w:id="130"/>
    <w:p>
      <w:pPr>
        <w:jc w:val="both"/>
        <w:ind w:left="280" w:right="20"/>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d. </w:t>
      </w:r>
      <w:r>
        <w:rPr>
          <w:rFonts w:ascii="Times New Roman" w:cs="Times New Roman" w:eastAsia="Times New Roman" w:hAnsi="Times New Roman"/>
          <w:sz w:val="16"/>
          <w:szCs w:val="16"/>
          <w:color w:val="auto"/>
        </w:rPr>
        <w:t>Without prejudice to the points indicated in the three preceding sections, immediately after Mr. Romero’s statements before the Public Prosecutor were made public,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following facts were observed, which demonstrate the relevance of said statements and/or the information they contain (which includes </w:t>
      </w:r>
      <w:r>
        <w:rPr>
          <w:rFonts w:ascii="Times New Roman" w:cs="Times New Roman" w:eastAsia="Times New Roman" w:hAnsi="Times New Roman"/>
          <w:sz w:val="16"/>
          <w:szCs w:val="16"/>
          <w:b w:val="1"/>
          <w:bCs w:val="1"/>
          <w:color w:val="auto"/>
        </w:rPr>
        <w:t>THE 2011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INFORMATION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THE 2016 AGREEMENT</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both"/>
        <w:ind w:left="280"/>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d.1. </w:t>
      </w:r>
      <w:r>
        <w:rPr>
          <w:rFonts w:ascii="Times New Roman" w:cs="Times New Roman" w:eastAsia="Times New Roman" w:hAnsi="Times New Roman"/>
          <w:sz w:val="16"/>
          <w:szCs w:val="16"/>
          <w:color w:val="auto"/>
        </w:rPr>
        <w:t>Mr. Romero himself granted an interview published in the newspaper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El Comercio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November 19, 2019 (see</w:t>
      </w:r>
      <w:r>
        <w:rPr>
          <w:rFonts w:ascii="Times New Roman" w:cs="Times New Roman" w:eastAsia="Times New Roman" w:hAnsi="Times New Roman"/>
          <w:sz w:val="16"/>
          <w:szCs w:val="16"/>
          <w:b w:val="1"/>
          <w:bCs w:val="1"/>
          <w:color w:val="auto"/>
        </w:rPr>
        <w:t xml:space="preserve"> Material Event of November 21, 2019 – Case File No. 2019046358</w:t>
      </w:r>
      <w:r>
        <w:rPr>
          <w:rFonts w:ascii="Times New Roman" w:cs="Times New Roman" w:eastAsia="Times New Roman" w:hAnsi="Times New Roman"/>
          <w:sz w:val="16"/>
          <w:szCs w:val="16"/>
          <w:color w:val="auto"/>
        </w:rPr>
        <w:t>), regarding his statements before the Public Prosecutor on November 18, 2019. This interview occupied a full page in the printed edition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newspaper, an objective element that evidences the materiality assigned by Mr. Romero to his statements—statements which were expanded upon in the interview—and his interest in ensuring that such clarifications and expansions became public knowledge.</w:t>
      </w:r>
    </w:p>
    <w:p>
      <w:pPr>
        <w:spacing w:after="0" w:line="159" w:lineRule="exact"/>
        <w:rPr>
          <w:sz w:val="20"/>
          <w:szCs w:val="20"/>
          <w:color w:val="auto"/>
        </w:rPr>
      </w:pPr>
    </w:p>
    <w:p>
      <w:pPr>
        <w:jc w:val="both"/>
        <w:ind w:left="280"/>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d.2. </w:t>
      </w:r>
      <w:r>
        <w:rPr>
          <w:rFonts w:ascii="Times New Roman" w:cs="Times New Roman" w:eastAsia="Times New Roman" w:hAnsi="Times New Roman"/>
          <w:sz w:val="16"/>
          <w:szCs w:val="16"/>
          <w:color w:val="auto"/>
        </w:rPr>
        <w:t>A series of indicators and reports concerning the Issuer were observed in the market, evidencing quantitative and qualitative impacts stemming from Mr. Romero’s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statements, such as: (1) Variations in the price or quotation of the Issuer’s common stock in the securities markets where it is traded; (2) A public statement by the Superintendency of Banking, Insurance and AFPs (SBS), published on its official Twitter account (@SBSPERU); and (3) Aspects related to corporate governance, internal control, institutional image and reputation of the Issuer, among others—considering that the Issuer’s common stock has a significant weight in the most representative indices of the Lima Stock Exchange (BVL). For example, in the S&amp;P/BVL IBGC Corporate Governance Index it carries a weight of 19.00%, and according to the Issuer’s 2018 Annual Report, it is the leading financial group in Peru and has approximately 5,000 minority shareholders holding less than 1% of its share capital.</w:t>
      </w:r>
    </w:p>
    <w:p>
      <w:pPr>
        <w:spacing w:after="0" w:line="358" w:lineRule="exact"/>
        <w:rPr>
          <w:sz w:val="20"/>
          <w:szCs w:val="20"/>
          <w:color w:val="auto"/>
        </w:rPr>
      </w:pPr>
    </w:p>
    <w:p>
      <w:pPr>
        <w:jc w:val="both"/>
        <w:ind w:left="280" w:right="20"/>
        <w:spacing w:after="0" w:line="271" w:lineRule="auto"/>
        <w:rPr>
          <w:sz w:val="20"/>
          <w:szCs w:val="20"/>
          <w:color w:val="auto"/>
        </w:rPr>
      </w:pPr>
      <w:r>
        <w:rPr>
          <w:rFonts w:ascii="Times New Roman" w:cs="Times New Roman" w:eastAsia="Times New Roman" w:hAnsi="Times New Roman"/>
          <w:sz w:val="16"/>
          <w:szCs w:val="16"/>
          <w:color w:val="auto"/>
        </w:rPr>
        <w:t xml:space="preserve">In addition, with respect to this repetitive argument by the Issuer regarding the alleged lack of materiality of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as previously indicated, such argument lacks foundation. This information </w:t>
      </w:r>
      <w:r>
        <w:rPr>
          <w:rFonts w:ascii="Times New Roman" w:cs="Times New Roman" w:eastAsia="Times New Roman" w:hAnsi="Times New Roman"/>
          <w:sz w:val="16"/>
          <w:szCs w:val="16"/>
          <w:b w:val="1"/>
          <w:bCs w:val="1"/>
          <w:color w:val="auto"/>
        </w:rPr>
        <w:t>is</w:t>
      </w:r>
      <w:r>
        <w:rPr>
          <w:rFonts w:ascii="Times New Roman" w:cs="Times New Roman" w:eastAsia="Times New Roman" w:hAnsi="Times New Roman"/>
          <w:sz w:val="16"/>
          <w:szCs w:val="16"/>
          <w:color w:val="auto"/>
        </w:rPr>
        <w:t xml:space="preserve"> significant, as corroborated, among other evidence detailed in this Resolution, by the fact that Mr. Romero himself, in the Issuer’s 2019 Annual Report (see Annex 1), states: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Letter from the President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Dear Shareholders,</w:t>
      </w:r>
    </w:p>
    <w:p>
      <w:pPr>
        <w:spacing w:after="0" w:line="20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Each year I write this letter to share with you the results of our business and our outlook for the future. On this occasion, I would like to begin by commenting on the impact of events that occurred nine years ago and the measures we have been taking as part of a continuous improvement process in our corporate governance.</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I have recently made public the reasons why I decided, in the years 2010–2011, within a politically risky context for the future of Peru, that Credicorp should contribute funds to the 2011 presidential campaign. I greatly regret the impact these actions have had on our organization and on the perception of our stakeholders. Since late 2011, together with Management and the Board of Directors</w:t>
      </w:r>
      <w:r>
        <w:rPr>
          <w:rFonts w:ascii="Times New Roman" w:cs="Times New Roman" w:eastAsia="Times New Roman" w:hAnsi="Times New Roman"/>
          <w:sz w:val="16"/>
          <w:szCs w:val="16"/>
          <w:i w:val="1"/>
          <w:iCs w:val="1"/>
          <w:color w:val="auto"/>
        </w:rPr>
        <w:t>, we have worked to continuously strengthen and reinforce our corporate governance policies. For example, the political contributions made during the 2016 presidential campaign by three of our subsidiaries (Banco de Crédito del Perú, Mibanco, and Pacífico) were carried out under clear procedures and in strict compliance with transparency and reporting requirements. Furthermore, I want to underline that Credicorp currently has a corporate policy prohibiting political contributions to any political party, regardless of the jurisdiction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208280</wp:posOffset>
            </wp:positionV>
            <wp:extent cx="714629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1" w:name="page132"/>
    <w:bookmarkEnd w:id="131"/>
    <w:p>
      <w:pPr>
        <w:ind w:right="100"/>
        <w:spacing w:after="0" w:line="287" w:lineRule="auto"/>
        <w:rPr>
          <w:sz w:val="20"/>
          <w:szCs w:val="20"/>
          <w:color w:val="auto"/>
        </w:rPr>
      </w:pPr>
      <w:r>
        <w:rPr>
          <w:rFonts w:ascii="Times New Roman" w:cs="Times New Roman" w:eastAsia="Times New Roman" w:hAnsi="Times New Roman"/>
          <w:sz w:val="16"/>
          <w:szCs w:val="16"/>
          <w:color w:val="auto"/>
        </w:rPr>
        <w:t xml:space="preserve">Thus, Mr. Romero—Chairman of the Issuer’s Board of Directors, who for purposes of this proceeding is treated as part of the Issuer—acknowledges that the facts referred to in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generated </w:t>
      </w:r>
      <w:r>
        <w:rPr>
          <w:rFonts w:ascii="Times New Roman" w:cs="Times New Roman" w:eastAsia="Times New Roman" w:hAnsi="Times New Roman"/>
          <w:sz w:val="16"/>
          <w:szCs w:val="16"/>
          <w:b w:val="1"/>
          <w:bCs w:val="1"/>
          <w:u w:val="single" w:color="auto"/>
          <w:color w:val="auto"/>
        </w:rPr>
        <w:t>an impact</w:t>
      </w:r>
      <w:r>
        <w:rPr>
          <w:rFonts w:ascii="Times New Roman" w:cs="Times New Roman" w:eastAsia="Times New Roman" w:hAnsi="Times New Roman"/>
          <w:sz w:val="16"/>
          <w:szCs w:val="16"/>
          <w:color w:val="auto"/>
        </w:rPr>
        <w:t xml:space="preserve"> on the organization and on the perception of its stakeholders.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Regarding the materiality of such information, it must be noted that the Issuer, through the Material Event dated June 8, 2020 (Case File No. 2020019297), attached</w:t>
      </w:r>
    </w:p>
    <w:p>
      <w:pPr>
        <w:spacing w:after="0" w:line="26"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Form 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submitted to the U.S. SEC, which contains the following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130175</wp:posOffset>
            </wp:positionV>
            <wp:extent cx="4301490" cy="17265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01490" cy="172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Source: Form 6</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K, p. 90.</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(Spanish translation of the highlighted portion):</w:t>
      </w:r>
    </w:p>
    <w:p>
      <w:pPr>
        <w:spacing w:after="0" w:line="206" w:lineRule="exact"/>
        <w:rPr>
          <w:sz w:val="20"/>
          <w:szCs w:val="20"/>
          <w:color w:val="auto"/>
        </w:rPr>
      </w:pPr>
    </w:p>
    <w:p>
      <w:pPr>
        <w:jc w:val="both"/>
        <w:ind w:left="300" w:right="100"/>
        <w:spacing w:after="0" w:line="270" w:lineRule="auto"/>
        <w:rPr>
          <w:sz w:val="20"/>
          <w:szCs w:val="20"/>
          <w:color w:val="auto"/>
        </w:rPr>
      </w:pPr>
      <w:r>
        <w:rPr>
          <w:rFonts w:ascii="Times New Roman" w:cs="Times New Roman" w:eastAsia="Times New Roman" w:hAnsi="Times New Roman"/>
          <w:sz w:val="16"/>
          <w:szCs w:val="16"/>
          <w:color w:val="auto"/>
        </w:rPr>
        <w:t>«Además, Dionisio Romero Paoletti, ex presidente de nuestra junta de directores, es actualmente parte de una investigación preliminar por un fiscal de distrito en relación a denuncias hechas por un ciudadano privado con respecto a contribuciones de campaña hechas en elecciones 2011 y 2016. Tales alegaciones no son directas contra Credicorp y nosotros creemos que no tendrían ningún impacto material en la Compañía».</w:t>
      </w:r>
    </w:p>
    <w:p>
      <w:pPr>
        <w:spacing w:after="0" w:line="156" w:lineRule="exact"/>
        <w:rPr>
          <w:sz w:val="20"/>
          <w:szCs w:val="20"/>
          <w:color w:val="auto"/>
        </w:rPr>
      </w:pPr>
    </w:p>
    <w:p>
      <w:pPr>
        <w:jc w:val="both"/>
        <w:ind w:left="300" w:right="100"/>
        <w:spacing w:after="0" w:line="264" w:lineRule="auto"/>
        <w:rPr>
          <w:sz w:val="20"/>
          <w:szCs w:val="20"/>
          <w:color w:val="auto"/>
        </w:rPr>
      </w:pPr>
      <w:r>
        <w:rPr>
          <w:rFonts w:ascii="Times New Roman" w:cs="Times New Roman" w:eastAsia="Times New Roman" w:hAnsi="Times New Roman"/>
          <w:sz w:val="16"/>
          <w:szCs w:val="16"/>
          <w:color w:val="auto"/>
        </w:rPr>
        <w:t>Por otro lado, y sin perjuicio de lo expuesto en los puntos y párrafos precedentes es necesario indicar que la significancia y trascendencia de las referidas declaraciones del Sr. Romero —que comprende a LA INFORMACION 2011 y EL ACUERDO 2016—, se puede apreciar, entre otros, al hacer una búsqueda en GOOGLE de la frase “dionisio romero aportes a fuerza popular” y que produce más de 330 mil resultados, lo que da cuenta precisamente de la importancia e implicancias de dichas declaraciones, lo que se puede visualizar en la imagen siguiente: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https://www.google.com/search?q=dionisio+romero+aportes+a+fuerza+popular&amp;rl</w:t>
      </w:r>
    </w:p>
    <w:p>
      <w:pPr>
        <w:spacing w:after="0" w:line="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z=1C1GCEU_esPE920PE920&amp;sxsrf=ALeKk033lqO60xvvDdHPFF6mvS_KjxaJDg:1614126978045&amp;ei=gp81YLSUAtWy5OUP7cCcmAc&amp;start=0&amp;sa=N&amp;ved=2ahUK Ewi03ZfJo4HvAhVVGbkGHW0gB3M4MhDy0wN6BAgBEDk&amp;biw=1360&amp;bih=657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203835</wp:posOffset>
            </wp:positionV>
            <wp:extent cx="7146290"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060"/>
          </w:cols>
          <w:pgMar w:left="600" w:top="123" w:right="2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1866265</wp:posOffset>
            </wp:positionH>
            <wp:positionV relativeFrom="page">
              <wp:posOffset>88900</wp:posOffset>
            </wp:positionV>
            <wp:extent cx="4001135" cy="25126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400113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Similarly, regarding Mr. Romero’s letter disclosed through the Issuer’s official Twitter account (@CredicorpGroup) on November 18, 2019, it is evident that said letter generated: 997 Retweets, 902 Tweets, and 1,578 Likes, along with numerous comments and opinions from various individuals concerning the information that became public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109855</wp:posOffset>
            </wp:positionV>
            <wp:extent cx="7146290" cy="33997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6290" cy="3399790"/>
                    </a:xfrm>
                    <a:prstGeom prst="rect">
                      <a:avLst/>
                    </a:prstGeom>
                    <a:noFill/>
                  </pic:spPr>
                </pic:pic>
              </a:graphicData>
            </a:graphic>
          </wp:anchor>
        </w:drawing>
      </w:r>
    </w:p>
    <w:p>
      <w:pPr>
        <w:sectPr>
          <w:pgSz w:w="11900" w:h="16838" w:orient="portrait"/>
          <w:cols w:equalWidth="0" w:num="1">
            <w:col w:w="10980"/>
          </w:cols>
          <w:pgMar w:left="600" w:top="1440"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color w:val="auto"/>
        </w:rPr>
        <w:t xml:space="preserve">Therefore, it has been objectively demonstrated that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qualify as material events of the Issuer.</w:t>
      </w:r>
    </w:p>
    <w:p>
      <w:pPr>
        <w:spacing w:after="0" w:line="204"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 xml:space="preserve">Likewise, the facts described in the case file of this proceeding and in this Resolution show that Mr. Romero’s statements—containing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—were disclosed to the securities market by the Issuer as a material event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November 21, 2019, in Case File No. 2019046358</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ind w:firstLine="8"/>
        <w:spacing w:after="0" w:line="271" w:lineRule="auto"/>
        <w:tabs>
          <w:tab w:leader="none" w:pos="227" w:val="left"/>
        </w:tabs>
        <w:numPr>
          <w:ilvl w:val="0"/>
          <w:numId w:val="1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Typification: Should the Issuer’s conduct in the specific case be classified as (1) an act, omission, practice or conduct that undermined the integrity or transparency of the securities market—therefore constituting a very serious infraction; or (2) a failure to disclose material events that have significant repercussions on the market—therefore constituting a serious infraction?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REGARDING THE COMPARISON OF CASES AND SANCTIONING RESOLUTIONS</w:t>
      </w:r>
    </w:p>
    <w:p>
      <w:pPr>
        <w:spacing w:after="0" w:line="20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On this matter, it must first be noted that the Issuer challenges the very serious infraction type imputed by the IGCC. In that regard, within its arguments and defenses, the Issuer cites other issuers and sanctioning resolutions—identified and quoted by name—where sanctions were imposed for failure to disclose material events, and in which the infraction applied was “</w:t>
      </w:r>
      <w:r>
        <w:rPr>
          <w:rFonts w:ascii="Times New Roman" w:cs="Times New Roman" w:eastAsia="Times New Roman" w:hAnsi="Times New Roman"/>
          <w:sz w:val="16"/>
          <w:szCs w:val="16"/>
          <w:b w:val="1"/>
          <w:bCs w:val="1"/>
          <w:color w:val="auto"/>
        </w:rPr>
        <w:t>Failure to disclose material events that have significant repercussions on the market.</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With respect to this argument, it must be stated that although different infringing conducts evaluated by this Office may share certain similarities or factual elements, a reasonable typification analysis requires strict consideration of the applicable regulatory framework and, essentially, of all facts, evidence, indicators, and elements that constitute each infringing conduct, along with the corresponding obligation or prohibition, and its relationship to the infraction types established in the regulations.</w:t>
      </w:r>
    </w:p>
    <w:p>
      <w:pPr>
        <w:spacing w:after="0" w:line="15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Thus, based on the above premises, we consider unfounded and incorrect the Issuer’s attempt to have the Authority attribute to it the conduct the Issuer itself believes applicable, and consequently the infraction type that, in its view, should apply. Furthermore, the Issuer selectively cites excerpts of sanctioning resolutions concerning other issuers—extracts that most favor its argument—yet, as reiterated, such legal technicality is unfounded and incorrect, as it disregards the full context and factual framework of each case.</w:t>
      </w:r>
    </w:p>
    <w:p>
      <w:pPr>
        <w:spacing w:after="0" w:line="16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We consider that the Issuer’s argument comparing its conduct to that of other issuers is unfounded and incorrect because there is no identity of facts, indicators, evidence, elements, or infringing conduct between the Issuer’s case and those cited in its defenses.</w:t>
      </w:r>
    </w:p>
    <w:p>
      <w:pPr>
        <w:spacing w:after="0" w:line="14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In this regard, it is important to highlight that this Office can assert—indeed, it is evidenced in the very resolutions cited by the Issuer and those issued by this Office and published on the SMV Securities Market Portal (</w:t>
      </w:r>
      <w:r>
        <w:rPr>
          <w:rFonts w:ascii="Times New Roman" w:cs="Times New Roman" w:eastAsia="Times New Roman" w:hAnsi="Times New Roman"/>
          <w:sz w:val="16"/>
          <w:szCs w:val="16"/>
          <w:u w:val="single" w:color="auto"/>
          <w:color w:val="auto"/>
        </w:rPr>
        <w:t>www.smv.gob.pe</w:t>
      </w:r>
      <w:r>
        <w:rPr>
          <w:rFonts w:ascii="Times New Roman" w:cs="Times New Roman" w:eastAsia="Times New Roman" w:hAnsi="Times New Roman"/>
          <w:sz w:val="16"/>
          <w:szCs w:val="16"/>
          <w:color w:val="auto"/>
        </w:rPr>
        <w:t>)—that no administrative sanctioning proceeding has ever been initiated against an issuer with conduct, facts, indicators, evidence, or elements identical to those observed regarding the Issuer in the documentation and information in the file of this proceeding.</w:t>
      </w:r>
    </w:p>
    <w:p>
      <w:pPr>
        <w:spacing w:after="0" w:line="1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In other words, each conduct and each case is unique, with its own circumstances, and must therefore be analyzed objectively, impartially, and in strict compliance with the applicable regulatory framework governing administrative sanctioning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193675</wp:posOffset>
            </wp:positionV>
            <wp:extent cx="7146290"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1" w:right="319" w:bottom="1440" w:gutter="0" w:footer="0" w:header="0"/>
        </w:sectPr>
      </w:pPr>
    </w:p>
    <w:bookmarkStart w:id="134" w:name="page135"/>
    <w:bookmarkEnd w:id="134"/>
    <w:p>
      <w:pPr>
        <w:jc w:val="both"/>
        <w:spacing w:after="0" w:line="261" w:lineRule="auto"/>
        <w:rPr>
          <w:sz w:val="20"/>
          <w:szCs w:val="20"/>
          <w:color w:val="auto"/>
        </w:rPr>
      </w:pPr>
      <w:r>
        <w:rPr>
          <w:rFonts w:ascii="Times New Roman" w:cs="Times New Roman" w:eastAsia="Times New Roman" w:hAnsi="Times New Roman"/>
          <w:sz w:val="16"/>
          <w:szCs w:val="16"/>
          <w:color w:val="auto"/>
        </w:rPr>
        <w:t>This is so evident that further elaboration should not be necessary; however, it is important to add that if it were acceptable to compare and simplify different infringing conducts committed by distinct issuers and reduce them all to one single infraction type—namely, “</w:t>
      </w:r>
      <w:r>
        <w:rPr>
          <w:rFonts w:ascii="Times New Roman" w:cs="Times New Roman" w:eastAsia="Times New Roman" w:hAnsi="Times New Roman"/>
          <w:sz w:val="16"/>
          <w:szCs w:val="16"/>
          <w:b w:val="1"/>
          <w:bCs w:val="1"/>
          <w:color w:val="auto"/>
        </w:rPr>
        <w:t>Failure to disclose material events that have significant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repercussions on the market</w:t>
      </w:r>
      <w:r>
        <w:rPr>
          <w:rFonts w:ascii="Times New Roman" w:cs="Times New Roman" w:eastAsia="Times New Roman" w:hAnsi="Times New Roman"/>
          <w:sz w:val="16"/>
          <w:szCs w:val="16"/>
          <w:color w:val="auto"/>
        </w:rPr>
        <w:t>”—then it would render meaningless the rules and procedures that govern administrative sanctioning processes. In such a scenario, upon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new infraction, it would suffice merely to find a superficially similar precedent and apply the same infraction type and the same sanction. Such an approach would nullify the purpose and significance of the rules and procedures required in an administrative sanctioning process.</w:t>
      </w:r>
    </w:p>
    <w:p>
      <w:pPr>
        <w:spacing w:after="0" w:line="16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Therefore, the Issuer’s arguments seeking to compare its conduct with that of other issuers sanctioned under the infraction type “</w:t>
      </w:r>
      <w:r>
        <w:rPr>
          <w:rFonts w:ascii="Times New Roman" w:cs="Times New Roman" w:eastAsia="Times New Roman" w:hAnsi="Times New Roman"/>
          <w:sz w:val="16"/>
          <w:szCs w:val="16"/>
          <w:b w:val="1"/>
          <w:bCs w:val="1"/>
          <w:color w:val="auto"/>
        </w:rPr>
        <w:t>Failure to disclose material events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that have significant repercussions on the market</w:t>
      </w:r>
      <w:r>
        <w:rPr>
          <w:rFonts w:ascii="Times New Roman" w:cs="Times New Roman" w:eastAsia="Times New Roman" w:hAnsi="Times New Roman"/>
          <w:sz w:val="16"/>
          <w:szCs w:val="16"/>
          <w:color w:val="auto"/>
        </w:rPr>
        <w:t>” are unfounded.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 PRINCIPLES OF THE SANCTIONING POWER</w:t>
      </w:r>
    </w:p>
    <w:p>
      <w:pPr>
        <w:spacing w:after="0" w:line="2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At this point, it is necessary to note that the law has long recognized that the sanctioning power of all public administration entities is governed not only by general principles but also by special principles expressly recognized by law—among them the principle of legality and the principle of typicity, both invoked by the Issuer in its defenses.</w:t>
      </w:r>
    </w:p>
    <w:p>
      <w:pPr>
        <w:spacing w:after="0" w:line="1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Although the facts underlying the charges refer to events occurring during the 2011 and 2016 presidential campaigns, for illustrative purposes it is important to recall that, regarding the principles of legality and typicity, Article 248 of the TUO of the LPAG establishes: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“Article 248.— Principles of the administrative sanctioning power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sanctioning power of all entities is additionally governed by the following special principles:</w:t>
      </w:r>
    </w:p>
    <w:p>
      <w:pPr>
        <w:spacing w:after="0" w:line="200" w:lineRule="exact"/>
        <w:rPr>
          <w:sz w:val="20"/>
          <w:szCs w:val="20"/>
          <w:color w:val="auto"/>
        </w:rPr>
      </w:pPr>
    </w:p>
    <w:p>
      <w:pPr>
        <w:ind w:firstLine="8"/>
        <w:spacing w:after="0" w:line="292" w:lineRule="auto"/>
        <w:tabs>
          <w:tab w:leader="none" w:pos="162" w:val="left"/>
        </w:tabs>
        <w:numPr>
          <w:ilvl w:val="0"/>
          <w:numId w:val="16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Legality</w:t>
      </w:r>
      <w:r>
        <w:rPr>
          <w:rFonts w:ascii="Times New Roman" w:cs="Times New Roman" w:eastAsia="Times New Roman" w:hAnsi="Times New Roman"/>
          <w:sz w:val="16"/>
          <w:szCs w:val="16"/>
          <w:i w:val="1"/>
          <w:iCs w:val="1"/>
          <w:color w:val="auto"/>
        </w:rPr>
        <w:t>.— Only by means of a norm with the rank of law may entities be vested with sanctioning power and authorized to foresee the administrative consequences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applicable as sanctions to an administered party, which in no case may entail deprivation of liberty.</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202" w:lineRule="exact"/>
        <w:rPr>
          <w:sz w:val="20"/>
          <w:szCs w:val="20"/>
          <w:color w:val="auto"/>
        </w:rPr>
      </w:pPr>
    </w:p>
    <w:p>
      <w:pPr>
        <w:jc w:val="both"/>
        <w:ind w:firstLine="8"/>
        <w:spacing w:after="0" w:line="273" w:lineRule="auto"/>
        <w:tabs>
          <w:tab w:leader="none" w:pos="174" w:val="left"/>
        </w:tabs>
        <w:numPr>
          <w:ilvl w:val="0"/>
          <w:numId w:val="16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Typicity</w:t>
      </w:r>
      <w:r>
        <w:rPr>
          <w:rFonts w:ascii="Times New Roman" w:cs="Times New Roman" w:eastAsia="Times New Roman" w:hAnsi="Times New Roman"/>
          <w:sz w:val="16"/>
          <w:szCs w:val="16"/>
          <w:i w:val="1"/>
          <w:iCs w:val="1"/>
          <w:color w:val="auto"/>
        </w:rPr>
        <w:t>.— Only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u w:val="single" w:color="auto"/>
          <w:color w:val="auto"/>
        </w:rPr>
        <w:t>those conducts expressly provided as infractions in norms with the rank of law may be administratively sanctioned</w:t>
      </w:r>
      <w:r>
        <w:rPr>
          <w:rFonts w:ascii="Times New Roman" w:cs="Times New Roman" w:eastAsia="Times New Roman" w:hAnsi="Times New Roman"/>
          <w:sz w:val="16"/>
          <w:szCs w:val="16"/>
          <w:i w:val="1"/>
          <w:iCs w:val="1"/>
          <w:color w:val="auto"/>
        </w:rPr>
        <w:t>, without allowing extensive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 xml:space="preserve">interpretation or analogy. Implementing </w:t>
      </w:r>
      <w:r>
        <w:rPr>
          <w:rFonts w:ascii="Times New Roman" w:cs="Times New Roman" w:eastAsia="Times New Roman" w:hAnsi="Times New Roman"/>
          <w:sz w:val="16"/>
          <w:szCs w:val="16"/>
          <w:i w:val="1"/>
          <w:iCs w:val="1"/>
          <w:u w:val="single" w:color="auto"/>
          <w:color w:val="auto"/>
        </w:rPr>
        <w:t>regulatory provisions may specify or grade those aimed at identifying conducts or determining sanctions</w:t>
      </w:r>
      <w:r>
        <w:rPr>
          <w:rFonts w:ascii="Times New Roman" w:cs="Times New Roman" w:eastAsia="Times New Roman" w:hAnsi="Times New Roman"/>
          <w:sz w:val="16"/>
          <w:szCs w:val="16"/>
          <w:i w:val="1"/>
          <w:iCs w:val="1"/>
          <w:color w:val="auto"/>
        </w:rPr>
        <w:t xml:space="preserve">, without creating new sanctionable conducts beyond those legally provided, </w:t>
      </w:r>
      <w:r>
        <w:rPr>
          <w:rFonts w:ascii="Times New Roman" w:cs="Times New Roman" w:eastAsia="Times New Roman" w:hAnsi="Times New Roman"/>
          <w:sz w:val="16"/>
          <w:szCs w:val="16"/>
          <w:b w:val="1"/>
          <w:bCs w:val="1"/>
          <w:i w:val="1"/>
          <w:iCs w:val="1"/>
          <w:u w:val="single" w:color="auto"/>
          <w:color w:val="auto"/>
        </w:rPr>
        <w:t>except in cases where the law or Legislative Decree allows infractions to be typified by regulation</w:t>
      </w:r>
      <w:r>
        <w:rPr>
          <w:rFonts w:ascii="Times New Roman" w:cs="Times New Roman" w:eastAsia="Times New Roman" w:hAnsi="Times New Roman"/>
          <w:sz w:val="16"/>
          <w:szCs w:val="16"/>
          <w:i w:val="1"/>
          <w:iCs w:val="1"/>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Through the typification of infractions, </w:t>
      </w:r>
      <w:r>
        <w:rPr>
          <w:rFonts w:ascii="Times New Roman" w:cs="Times New Roman" w:eastAsia="Times New Roman" w:hAnsi="Times New Roman"/>
          <w:sz w:val="16"/>
          <w:szCs w:val="16"/>
          <w:i w:val="1"/>
          <w:iCs w:val="1"/>
          <w:u w:val="single" w:color="auto"/>
          <w:color w:val="auto"/>
        </w:rPr>
        <w:t>obligations not previously established in a legal or regulatory norm</w:t>
      </w:r>
      <w:r>
        <w:rPr>
          <w:rFonts w:ascii="Times New Roman" w:cs="Times New Roman" w:eastAsia="Times New Roman" w:hAnsi="Times New Roman"/>
          <w:sz w:val="16"/>
          <w:szCs w:val="16"/>
          <w:i w:val="1"/>
          <w:iCs w:val="1"/>
          <w:color w:val="auto"/>
        </w:rPr>
        <w:t>, as applicable, may not be imposed on administered parties.</w:t>
      </w:r>
    </w:p>
    <w:p>
      <w:pPr>
        <w:spacing w:after="0" w:line="20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In designing sanctioning regimes, the typification of infractions </w:t>
      </w:r>
      <w:r>
        <w:rPr>
          <w:rFonts w:ascii="Times New Roman" w:cs="Times New Roman" w:eastAsia="Times New Roman" w:hAnsi="Times New Roman"/>
          <w:sz w:val="16"/>
          <w:szCs w:val="16"/>
          <w:i w:val="1"/>
          <w:iCs w:val="1"/>
          <w:u w:val="single" w:color="auto"/>
          <w:color w:val="auto"/>
        </w:rPr>
        <w:t>with identical factual and legal grounds</w:t>
      </w:r>
      <w:r>
        <w:rPr>
          <w:rFonts w:ascii="Times New Roman" w:cs="Times New Roman" w:eastAsia="Times New Roman" w:hAnsi="Times New Roman"/>
          <w:sz w:val="16"/>
          <w:szCs w:val="16"/>
          <w:i w:val="1"/>
          <w:iCs w:val="1"/>
          <w:color w:val="auto"/>
        </w:rPr>
        <w:t xml:space="preserve"> to those already established as crimes or offenses in </w:t>
      </w:r>
      <w:r>
        <w:rPr>
          <w:rFonts w:ascii="Times New Roman" w:cs="Times New Roman" w:eastAsia="Times New Roman" w:hAnsi="Times New Roman"/>
          <w:sz w:val="16"/>
          <w:szCs w:val="16"/>
          <w:i w:val="1"/>
          <w:iCs w:val="1"/>
          <w:u w:val="single" w:color="auto"/>
          <w:color w:val="auto"/>
        </w:rPr>
        <w:t>criminal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law</w:t>
      </w:r>
      <w:r>
        <w:rPr>
          <w:rFonts w:ascii="Times New Roman" w:cs="Times New Roman" w:eastAsia="Times New Roman" w:hAnsi="Times New Roman"/>
          <w:sz w:val="16"/>
          <w:szCs w:val="16"/>
          <w:i w:val="1"/>
          <w:iCs w:val="1"/>
          <w:color w:val="auto"/>
        </w:rPr>
        <w:t>—or to infractions already typified in other administrative sanctioning norms—</w:t>
      </w:r>
      <w:r>
        <w:rPr>
          <w:rFonts w:ascii="Times New Roman" w:cs="Times New Roman" w:eastAsia="Times New Roman" w:hAnsi="Times New Roman"/>
          <w:sz w:val="16"/>
          <w:szCs w:val="16"/>
          <w:i w:val="1"/>
          <w:iCs w:val="1"/>
          <w:u w:val="single" w:color="auto"/>
          <w:color w:val="auto"/>
        </w:rPr>
        <w:t>must be avoided</w:t>
      </w:r>
      <w:r>
        <w:rPr>
          <w:rFonts w:ascii="Times New Roman" w:cs="Times New Roman" w:eastAsia="Times New Roman" w:hAnsi="Times New Roman"/>
          <w:sz w:val="16"/>
          <w:szCs w:val="16"/>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191770</wp:posOffset>
            </wp:positionV>
            <wp:extent cx="7146290"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60"/>
          </w:cols>
          <w:pgMar w:left="600" w:top="12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color w:val="auto"/>
        </w:rPr>
        <w:t>Regarding compliance with the principles of legality and typicity cited above, the following provisions must be highlighted:</w:t>
      </w:r>
    </w:p>
    <w:p>
      <w:pPr>
        <w:spacing w:after="0" w:line="204" w:lineRule="exact"/>
        <w:rPr>
          <w:sz w:val="20"/>
          <w:szCs w:val="20"/>
          <w:color w:val="auto"/>
        </w:rPr>
      </w:pPr>
    </w:p>
    <w:p>
      <w:pPr>
        <w:jc w:val="both"/>
        <w:ind w:left="300" w:hanging="292"/>
        <w:spacing w:after="0" w:line="270" w:lineRule="auto"/>
        <w:tabs>
          <w:tab w:leader="none" w:pos="3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Regarding compliance with the principle of legality in this proceeding and the legal reservation required to grant sanctioning power to the SMV, the relevant provisions are found in subparagraphs (b) and (d) of Article 5 of the Organic Law of the Superintendency of the Securities Market (SMV), approved by Legislative Decree No. 26126 and amended by Law No. 29782, the Law Strengthening Securities Market Supervision. The pertinent sections state:</w:t>
      </w:r>
    </w:p>
    <w:p>
      <w:pPr>
        <w:spacing w:after="0" w:line="154" w:lineRule="exact"/>
        <w:rPr>
          <w:rFonts w:ascii="Times New Roman" w:cs="Times New Roman" w:eastAsia="Times New Roman" w:hAnsi="Times New Roman"/>
          <w:sz w:val="16"/>
          <w:szCs w:val="16"/>
          <w:color w:val="auto"/>
        </w:rPr>
      </w:pP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Article 5. Powers of the Board of the Superintendency of the Securities Market (SMV) (*)</w:t>
      </w:r>
    </w:p>
    <w:p>
      <w:pPr>
        <w:spacing w:after="0" w:line="204" w:lineRule="exact"/>
        <w:rPr>
          <w:rFonts w:ascii="Times New Roman" w:cs="Times New Roman" w:eastAsia="Times New Roman" w:hAnsi="Times New Roman"/>
          <w:sz w:val="16"/>
          <w:szCs w:val="16"/>
          <w:color w:val="auto"/>
        </w:rPr>
      </w:pP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t>
      </w:r>
    </w:p>
    <w:p>
      <w:pPr>
        <w:spacing w:after="0" w:line="204" w:lineRule="exact"/>
        <w:rPr>
          <w:sz w:val="20"/>
          <w:szCs w:val="20"/>
          <w:color w:val="auto"/>
        </w:rPr>
      </w:pPr>
    </w:p>
    <w:p>
      <w:pPr>
        <w:jc w:val="both"/>
        <w:ind w:left="300" w:right="20" w:hanging="10"/>
        <w:spacing w:after="0" w:line="271" w:lineRule="auto"/>
        <w:tabs>
          <w:tab w:leader="none" w:pos="484" w:val="left"/>
        </w:tabs>
        <w:numPr>
          <w:ilvl w:val="0"/>
          <w:numId w:val="16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Approve securities market regulations, product market regulations, and collective funds system regulations, as well as those applicable to individuals and legal entities subject to SMV supervision. Likewise, to interpret, in the administrative sphere, in accordance with common law principles and general principles of law, the scope of the legal norms applicable to the supervised individuals and legal persons.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204" w:lineRule="exact"/>
        <w:rPr>
          <w:sz w:val="20"/>
          <w:szCs w:val="20"/>
          <w:color w:val="auto"/>
        </w:rPr>
      </w:pPr>
    </w:p>
    <w:p>
      <w:pPr>
        <w:ind w:left="300" w:right="20" w:hanging="10"/>
        <w:spacing w:after="0" w:line="290" w:lineRule="auto"/>
        <w:tabs>
          <w:tab w:leader="none" w:pos="475" w:val="left"/>
        </w:tabs>
        <w:numPr>
          <w:ilvl w:val="0"/>
          <w:numId w:val="17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u w:val="single" w:color="auto"/>
          <w:color w:val="auto"/>
        </w:rPr>
        <w:t>To typify the infringing conduct of those who participate in the securities market</w:t>
      </w:r>
      <w:r>
        <w:rPr>
          <w:rFonts w:ascii="Times New Roman" w:cs="Times New Roman" w:eastAsia="Times New Roman" w:hAnsi="Times New Roman"/>
          <w:sz w:val="16"/>
          <w:szCs w:val="16"/>
          <w:i w:val="1"/>
          <w:iCs w:val="1"/>
          <w:color w:val="auto"/>
        </w:rPr>
        <w:t>, the products market, the collective funds systems and other matters under its jurisdiction, observing the provisions contained in Articles 343, 349, 350 and 351 of Legislative Decree 861, the Securities Market Law.</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Likewise, the Securities Market Law (LMV) contains the following provisions: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Article 1. Purpose and Scope of the Law</w:t>
      </w:r>
    </w:p>
    <w:p>
      <w:pPr>
        <w:spacing w:after="0" w:line="2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The purpose of this law is to promote the orderly development and the transparency of the securities market, as well as the adequate protection of investors. This law applies to public offerings of securities and </w:t>
      </w:r>
      <w:r>
        <w:rPr>
          <w:rFonts w:ascii="Times New Roman" w:cs="Times New Roman" w:eastAsia="Times New Roman" w:hAnsi="Times New Roman"/>
          <w:sz w:val="16"/>
          <w:szCs w:val="16"/>
          <w:i w:val="1"/>
          <w:iCs w:val="1"/>
          <w:u w:val="single" w:color="auto"/>
          <w:color w:val="auto"/>
        </w:rPr>
        <w:t>their issuers</w:t>
      </w:r>
      <w:r>
        <w:rPr>
          <w:rFonts w:ascii="Times New Roman" w:cs="Times New Roman" w:eastAsia="Times New Roman" w:hAnsi="Times New Roman"/>
          <w:sz w:val="16"/>
          <w:szCs w:val="16"/>
          <w:i w:val="1"/>
          <w:iCs w:val="1"/>
          <w:color w:val="auto"/>
        </w:rPr>
        <w:t>, publicly offered securities, brokerage firms, stock exchanges, securities clearing and settlement institutions, securitization companies, mutual funds, investment funds and, in general, all other participants in the securities market, as well as the supervisory and control authority. Unless expressly stated otherwise, its provisions do not apply to private offerings of securities.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Article 7. Oversight and Supervision</w:t>
      </w:r>
    </w:p>
    <w:p>
      <w:pPr>
        <w:spacing w:after="0" w:line="20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The National Supervisory Commission of Companies and Securities (CONASEV) is the public institution responsible for </w:t>
      </w:r>
      <w:r>
        <w:rPr>
          <w:rFonts w:ascii="Times New Roman" w:cs="Times New Roman" w:eastAsia="Times New Roman" w:hAnsi="Times New Roman"/>
          <w:sz w:val="16"/>
          <w:szCs w:val="16"/>
          <w:i w:val="1"/>
          <w:iCs w:val="1"/>
          <w:u w:val="single" w:color="auto"/>
          <w:color w:val="auto"/>
        </w:rPr>
        <w:t>supervising and overseeing compliance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this law</w:t>
      </w:r>
      <w:r>
        <w:rPr>
          <w:rFonts w:ascii="Times New Roman" w:cs="Times New Roman" w:eastAsia="Times New Roman" w:hAnsi="Times New Roman"/>
          <w:sz w:val="16"/>
          <w:szCs w:val="16"/>
          <w:i w:val="1"/>
          <w:iCs w:val="1"/>
          <w:color w:val="auto"/>
        </w:rPr>
        <w:t>.</w:t>
      </w:r>
    </w:p>
    <w:p>
      <w:pPr>
        <w:spacing w:after="0" w:line="13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Said institution is authorized, adhering to the rules of common law and the general principles of law, to administratively interpret the scope of the legal provisions relating to the matters addressed in this law. It is likewise authorized to issue the corresponding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191770</wp:posOffset>
            </wp:positionV>
            <wp:extent cx="714629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3"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i w:val="1"/>
          <w:iCs w:val="1"/>
          <w:color w:val="auto"/>
        </w:rPr>
        <w:t xml:space="preserve">Unless expressly stated otherwise, the powers granted by this law to </w:t>
      </w:r>
      <w:r>
        <w:rPr>
          <w:rFonts w:ascii="Times New Roman" w:cs="Times New Roman" w:eastAsia="Times New Roman" w:hAnsi="Times New Roman"/>
          <w:sz w:val="16"/>
          <w:szCs w:val="16"/>
          <w:i w:val="1"/>
          <w:iCs w:val="1"/>
          <w:u w:val="single" w:color="auto"/>
          <w:color w:val="auto"/>
        </w:rPr>
        <w:t>CONASEV are exercised by its Board of Directors</w:t>
      </w:r>
      <w:r>
        <w:rPr>
          <w:rFonts w:ascii="Times New Roman" w:cs="Times New Roman" w:eastAsia="Times New Roman" w:hAnsi="Times New Roman"/>
          <w:sz w:val="16"/>
          <w:szCs w:val="16"/>
          <w:i w:val="1"/>
          <w:iCs w:val="1"/>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Article 342. Subjects Liable to Sanction (*)</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i w:val="1"/>
          <w:iCs w:val="1"/>
          <w:u w:val="single" w:color="auto"/>
          <w:color w:val="auto"/>
        </w:rPr>
        <w:t>The persons falling within the scope of this Law who incur violations of its provisions, or of the general rules issued by the SMV</w:t>
      </w:r>
      <w:r>
        <w:rPr>
          <w:rFonts w:ascii="Times New Roman" w:cs="Times New Roman" w:eastAsia="Times New Roman" w:hAnsi="Times New Roman"/>
          <w:sz w:val="16"/>
          <w:szCs w:val="16"/>
          <w:i w:val="1"/>
          <w:iCs w:val="1"/>
          <w:color w:val="auto"/>
        </w:rPr>
        <w:t>, are subject to sanction by the Securities Market Superintendency (SMV). The authority to determine the existence of administrative infractions with respect to all natural and legal persons under its jurisdiction prescribes after four years</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Article 343. Sanctions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sanctions that CONASEV is authorized to impose are the following:</w:t>
      </w:r>
    </w:p>
    <w:p>
      <w:pPr>
        <w:spacing w:after="0" w:line="204" w:lineRule="exact"/>
        <w:rPr>
          <w:sz w:val="20"/>
          <w:szCs w:val="20"/>
          <w:color w:val="auto"/>
        </w:rPr>
      </w:pPr>
    </w:p>
    <w:p>
      <w:pPr>
        <w:ind w:left="180" w:hanging="172"/>
        <w:spacing w:after="0"/>
        <w:tabs>
          <w:tab w:leader="none" w:pos="180" w:val="left"/>
        </w:tabs>
        <w:numPr>
          <w:ilvl w:val="0"/>
          <w:numId w:val="17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Warning;</w:t>
      </w:r>
    </w:p>
    <w:p>
      <w:pPr>
        <w:spacing w:after="0" w:line="204" w:lineRule="exact"/>
        <w:rPr>
          <w:rFonts w:ascii="Times New Roman" w:cs="Times New Roman" w:eastAsia="Times New Roman" w:hAnsi="Times New Roman"/>
          <w:sz w:val="16"/>
          <w:szCs w:val="16"/>
          <w:i w:val="1"/>
          <w:iCs w:val="1"/>
          <w:color w:val="auto"/>
        </w:rPr>
      </w:pPr>
    </w:p>
    <w:p>
      <w:pPr>
        <w:ind w:left="180" w:hanging="172"/>
        <w:spacing w:after="0"/>
        <w:tabs>
          <w:tab w:leader="none" w:pos="180" w:val="left"/>
        </w:tabs>
        <w:numPr>
          <w:ilvl w:val="0"/>
          <w:numId w:val="17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Fine of not less than one (1) UIT and not more than seven hundred (700) UIT;</w:t>
      </w:r>
    </w:p>
    <w:p>
      <w:pPr>
        <w:spacing w:after="0" w:line="170" w:lineRule="exact"/>
        <w:rPr>
          <w:rFonts w:ascii="Times New Roman" w:cs="Times New Roman" w:eastAsia="Times New Roman" w:hAnsi="Times New Roman"/>
          <w:sz w:val="16"/>
          <w:szCs w:val="16"/>
          <w:i w:val="1"/>
          <w:iCs w:val="1"/>
          <w:color w:val="auto"/>
        </w:rPr>
      </w:pPr>
    </w:p>
    <w:p>
      <w:pPr>
        <w:ind w:left="180" w:hanging="172"/>
        <w:spacing w:after="0" w:line="184" w:lineRule="exact"/>
        <w:tabs>
          <w:tab w:leader="none" w:pos="180" w:val="left"/>
        </w:tabs>
        <w:numPr>
          <w:ilvl w:val="0"/>
          <w:numId w:val="17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Suspension of operating authorization for a period not exceeding forty</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five (45) days;</w:t>
      </w:r>
    </w:p>
    <w:p>
      <w:pPr>
        <w:spacing w:after="0" w:line="238" w:lineRule="exact"/>
        <w:rPr>
          <w:rFonts w:ascii="Times New Roman" w:cs="Times New Roman" w:eastAsia="Times New Roman" w:hAnsi="Times New Roman"/>
          <w:sz w:val="16"/>
          <w:szCs w:val="16"/>
          <w:i w:val="1"/>
          <w:iCs w:val="1"/>
          <w:color w:val="auto"/>
        </w:rPr>
      </w:pPr>
    </w:p>
    <w:p>
      <w:pPr>
        <w:ind w:left="180" w:hanging="172"/>
        <w:spacing w:after="0"/>
        <w:tabs>
          <w:tab w:leader="none" w:pos="180" w:val="left"/>
        </w:tabs>
        <w:numPr>
          <w:ilvl w:val="0"/>
          <w:numId w:val="17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Suspension of a brokerage firm representative for a period not exceeding thirty (30) days;</w:t>
      </w:r>
    </w:p>
    <w:p>
      <w:pPr>
        <w:spacing w:after="0" w:line="204" w:lineRule="exact"/>
        <w:rPr>
          <w:rFonts w:ascii="Times New Roman" w:cs="Times New Roman" w:eastAsia="Times New Roman" w:hAnsi="Times New Roman"/>
          <w:sz w:val="16"/>
          <w:szCs w:val="16"/>
          <w:i w:val="1"/>
          <w:iCs w:val="1"/>
          <w:color w:val="auto"/>
        </w:rPr>
      </w:pPr>
    </w:p>
    <w:p>
      <w:pPr>
        <w:ind w:left="180" w:hanging="172"/>
        <w:spacing w:after="0"/>
        <w:tabs>
          <w:tab w:leader="none" w:pos="180" w:val="left"/>
        </w:tabs>
        <w:numPr>
          <w:ilvl w:val="0"/>
          <w:numId w:val="17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Suspension of the public offering, as well as the trading of one or more securities;</w:t>
      </w:r>
    </w:p>
    <w:p>
      <w:pPr>
        <w:spacing w:after="0" w:line="204" w:lineRule="exact"/>
        <w:rPr>
          <w:rFonts w:ascii="Times New Roman" w:cs="Times New Roman" w:eastAsia="Times New Roman" w:hAnsi="Times New Roman"/>
          <w:sz w:val="16"/>
          <w:szCs w:val="16"/>
          <w:i w:val="1"/>
          <w:iCs w:val="1"/>
          <w:color w:val="auto"/>
        </w:rPr>
      </w:pPr>
    </w:p>
    <w:p>
      <w:pPr>
        <w:ind w:left="140" w:hanging="132"/>
        <w:spacing w:after="0"/>
        <w:tabs>
          <w:tab w:leader="none" w:pos="140" w:val="left"/>
        </w:tabs>
        <w:numPr>
          <w:ilvl w:val="0"/>
          <w:numId w:val="17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Exclusion of a security from the Registry;</w:t>
      </w:r>
    </w:p>
    <w:p>
      <w:pPr>
        <w:spacing w:after="0" w:line="204" w:lineRule="exact"/>
        <w:rPr>
          <w:rFonts w:ascii="Times New Roman" w:cs="Times New Roman" w:eastAsia="Times New Roman" w:hAnsi="Times New Roman"/>
          <w:sz w:val="16"/>
          <w:szCs w:val="16"/>
          <w:i w:val="1"/>
          <w:iCs w:val="1"/>
          <w:color w:val="auto"/>
        </w:rPr>
      </w:pPr>
    </w:p>
    <w:p>
      <w:pPr>
        <w:ind w:left="180" w:hanging="172"/>
        <w:spacing w:after="0"/>
        <w:tabs>
          <w:tab w:leader="none" w:pos="180" w:val="left"/>
        </w:tabs>
        <w:numPr>
          <w:ilvl w:val="0"/>
          <w:numId w:val="17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Cancellation of registry inscription;</w:t>
      </w:r>
    </w:p>
    <w:p>
      <w:pPr>
        <w:spacing w:after="0" w:line="204" w:lineRule="exact"/>
        <w:rPr>
          <w:rFonts w:ascii="Times New Roman" w:cs="Times New Roman" w:eastAsia="Times New Roman" w:hAnsi="Times New Roman"/>
          <w:sz w:val="16"/>
          <w:szCs w:val="16"/>
          <w:i w:val="1"/>
          <w:iCs w:val="1"/>
          <w:color w:val="auto"/>
        </w:rPr>
      </w:pPr>
    </w:p>
    <w:p>
      <w:pPr>
        <w:ind w:left="180" w:hanging="172"/>
        <w:spacing w:after="0"/>
        <w:tabs>
          <w:tab w:leader="none" w:pos="180" w:val="left"/>
        </w:tabs>
        <w:numPr>
          <w:ilvl w:val="0"/>
          <w:numId w:val="17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Revocation of operating authorization; and</w:t>
      </w:r>
    </w:p>
    <w:p>
      <w:pPr>
        <w:spacing w:after="0" w:line="204" w:lineRule="exact"/>
        <w:rPr>
          <w:rFonts w:ascii="Times New Roman" w:cs="Times New Roman" w:eastAsia="Times New Roman" w:hAnsi="Times New Roman"/>
          <w:sz w:val="16"/>
          <w:szCs w:val="16"/>
          <w:i w:val="1"/>
          <w:iCs w:val="1"/>
          <w:color w:val="auto"/>
        </w:rPr>
      </w:pPr>
    </w:p>
    <w:p>
      <w:pPr>
        <w:ind w:firstLine="8"/>
        <w:spacing w:after="0" w:line="290" w:lineRule="auto"/>
        <w:tabs>
          <w:tab w:leader="none" w:pos="149" w:val="left"/>
        </w:tabs>
        <w:numPr>
          <w:ilvl w:val="0"/>
          <w:numId w:val="17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Suspension for up to thirty (30) days, removal, or disqualification of members of the Investment Committee, Oversight Committee, Classification Committee, and of directors, managers, representatives and auditors of legal entities under its oversight and supervision.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206" w:lineRule="exact"/>
        <w:rPr>
          <w:sz w:val="20"/>
          <w:szCs w:val="20"/>
          <w:color w:val="auto"/>
        </w:rPr>
      </w:pPr>
    </w:p>
    <w:p>
      <w:pPr>
        <w:jc w:val="both"/>
        <w:ind w:left="300" w:hanging="292"/>
        <w:spacing w:after="0" w:line="205" w:lineRule="exact"/>
        <w:tabs>
          <w:tab w:leader="none" w:pos="30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Regarding compliance with the principle of typicity in this proceeding,as previously described, both the substantive obligation breached (the duty to comply) and the infraction type imputed in the charges brought by the IGCC are established in </w:t>
      </w:r>
      <w:r>
        <w:rPr>
          <w:rFonts w:ascii="Times New Roman" w:cs="Times New Roman" w:eastAsia="Times New Roman" w:hAnsi="Times New Roman"/>
          <w:sz w:val="16"/>
          <w:szCs w:val="16"/>
          <w:b w:val="1"/>
          <w:bCs w:val="1"/>
          <w:u w:val="single" w:color="auto"/>
          <w:color w:val="auto"/>
        </w:rPr>
        <w:t>Article 10</w:t>
      </w:r>
      <w:r>
        <w:rPr>
          <w:rFonts w:ascii="Times New Roman" w:cs="Times New Roman" w:eastAsia="Times New Roman" w:hAnsi="Times New Roman"/>
          <w:sz w:val="16"/>
          <w:szCs w:val="16"/>
          <w:color w:val="auto"/>
        </w:rPr>
        <w:t xml:space="preserve"> of the LMV and in Subsection 1.6, numeral 1 of Annex I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(First Charge), and Subsection 1.5, numeral 1 of Annex I of the Sanctions Regulation, approved by the same CONASEV Resolution and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(Second Charge). The relevant texts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200025</wp:posOffset>
            </wp:positionV>
            <wp:extent cx="714629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60"/>
          </w:cols>
          <w:pgMar w:left="600" w:top="121" w:right="339" w:bottom="1440" w:gutter="0" w:footer="0" w:header="0"/>
        </w:sectPr>
      </w:pPr>
    </w:p>
    <w:bookmarkStart w:id="137" w:name="page138"/>
    <w:bookmarkEnd w:id="137"/>
    <w:p>
      <w:pPr>
        <w:ind w:left="280"/>
        <w:spacing w:after="0"/>
        <w:rPr>
          <w:sz w:val="20"/>
          <w:szCs w:val="20"/>
          <w:color w:val="auto"/>
        </w:rPr>
      </w:pPr>
      <w:r>
        <w:rPr>
          <w:rFonts w:ascii="Times New Roman" w:cs="Times New Roman" w:eastAsia="Times New Roman" w:hAnsi="Times New Roman"/>
          <w:sz w:val="16"/>
          <w:szCs w:val="16"/>
          <w:b w:val="1"/>
          <w:bCs w:val="1"/>
          <w:color w:val="auto"/>
        </w:rPr>
        <w:t>Text of the substantive rule that had to be complied with:</w:t>
      </w:r>
    </w:p>
    <w:p>
      <w:pPr>
        <w:spacing w:after="0" w:line="206" w:lineRule="exact"/>
        <w:rPr>
          <w:sz w:val="20"/>
          <w:szCs w:val="20"/>
          <w:color w:val="auto"/>
        </w:rPr>
      </w:pPr>
    </w:p>
    <w:p>
      <w:pPr>
        <w:ind w:left="280" w:right="20"/>
        <w:spacing w:after="0" w:line="287" w:lineRule="auto"/>
        <w:rPr>
          <w:sz w:val="20"/>
          <w:szCs w:val="20"/>
          <w:color w:val="auto"/>
        </w:rPr>
      </w:pPr>
      <w:r>
        <w:rPr>
          <w:rFonts w:ascii="Times New Roman" w:cs="Times New Roman" w:eastAsia="Times New Roman" w:hAnsi="Times New Roman"/>
          <w:sz w:val="16"/>
          <w:szCs w:val="16"/>
          <w:color w:val="auto"/>
        </w:rPr>
        <w:t>“All information that, by this law, must be submitted to CONASEV, to the stock exchange, to the entities responsible for centralized mechanisms, or to investors, must be truthful, sufficient and timely. (…).”</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Text of the infringing conduct type imputed for breach of that rule:</w:t>
      </w:r>
    </w:p>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Carrying out any act, omission, practice or conduct that undermines the integrity or transparency of the market</w:t>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ind w:left="280" w:right="20"/>
        <w:spacing w:after="0" w:line="290" w:lineRule="auto"/>
        <w:rPr>
          <w:sz w:val="20"/>
          <w:szCs w:val="20"/>
          <w:color w:val="auto"/>
        </w:rPr>
      </w:pPr>
      <w:r>
        <w:rPr>
          <w:rFonts w:ascii="Times New Roman" w:cs="Times New Roman" w:eastAsia="Times New Roman" w:hAnsi="Times New Roman"/>
          <w:sz w:val="16"/>
          <w:szCs w:val="16"/>
          <w:color w:val="auto"/>
        </w:rPr>
        <w:t>Based on the cited provisions, and on the specific facts and charges of this case, the following “</w:t>
      </w:r>
      <w:r>
        <w:rPr>
          <w:rFonts w:ascii="Times New Roman" w:cs="Times New Roman" w:eastAsia="Times New Roman" w:hAnsi="Times New Roman"/>
          <w:sz w:val="16"/>
          <w:szCs w:val="16"/>
          <w:b w:val="1"/>
          <w:bCs w:val="1"/>
          <w:color w:val="auto"/>
        </w:rPr>
        <w:t>Test of Compliance with the Principles of Legality and Typicity</w:t>
      </w:r>
      <w:r>
        <w:rPr>
          <w:rFonts w:ascii="Times New Roman" w:cs="Times New Roman" w:eastAsia="Times New Roman" w:hAnsi="Times New Roman"/>
          <w:sz w:val="16"/>
          <w:szCs w:val="16"/>
          <w:color w:val="auto"/>
        </w:rPr>
        <w:t>” is applied for illustrative purposes:</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TEST OF COMPLIANCE WITH THE PRINCIPLES OF LEGALITY AND TYPICITY IN THE PRESENT ASP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2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36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Text of the principles in the TUO of the LPAG</w:t>
            </w:r>
          </w:p>
        </w:tc>
        <w:tc>
          <w:tcPr>
            <w:tcW w:w="54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Correlation of the principles with the provision that was required to be</w:t>
            </w:r>
          </w:p>
        </w:tc>
        <w:tc>
          <w:tcPr>
            <w:tcW w:w="0" w:type="dxa"/>
            <w:vAlign w:val="bottom"/>
          </w:tcPr>
          <w:p>
            <w:pPr>
              <w:spacing w:after="0"/>
              <w:rPr>
                <w:sz w:val="1"/>
                <w:szCs w:val="1"/>
                <w:color w:val="auto"/>
              </w:rPr>
            </w:pPr>
          </w:p>
        </w:tc>
      </w:tr>
      <w:tr>
        <w:trPr>
          <w:trHeight w:val="194"/>
        </w:trPr>
        <w:tc>
          <w:tcPr>
            <w:tcW w:w="3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complied with and with the infringement type of the two charges brought</w:t>
            </w:r>
          </w:p>
        </w:tc>
        <w:tc>
          <w:tcPr>
            <w:tcW w:w="0" w:type="dxa"/>
            <w:vAlign w:val="bottom"/>
          </w:tcPr>
          <w:p>
            <w:pPr>
              <w:spacing w:after="0"/>
              <w:rPr>
                <w:sz w:val="1"/>
                <w:szCs w:val="1"/>
                <w:color w:val="auto"/>
              </w:rPr>
            </w:pPr>
          </w:p>
        </w:tc>
      </w:tr>
      <w:tr>
        <w:trPr>
          <w:trHeight w:val="217"/>
        </w:trPr>
        <w:tc>
          <w:tcPr>
            <w:tcW w:w="32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against the Issuer</w:t>
            </w:r>
          </w:p>
        </w:tc>
        <w:tc>
          <w:tcPr>
            <w:tcW w:w="0" w:type="dxa"/>
            <w:vAlign w:val="bottom"/>
          </w:tcPr>
          <w:p>
            <w:pPr>
              <w:spacing w:after="0"/>
              <w:rPr>
                <w:sz w:val="1"/>
                <w:szCs w:val="1"/>
                <w:color w:val="auto"/>
              </w:rPr>
            </w:pPr>
          </w:p>
        </w:tc>
      </w:tr>
      <w:tr>
        <w:trPr>
          <w:trHeight w:val="176"/>
        </w:trPr>
        <w:tc>
          <w:tcPr>
            <w:tcW w:w="3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360" w:type="dxa"/>
            <w:vAlign w:val="bottom"/>
            <w:tcBorders>
              <w:right w:val="single" w:sz="8" w:color="auto"/>
            </w:tcBorders>
            <w:gridSpan w:val="3"/>
          </w:tcPr>
          <w:p>
            <w:pPr>
              <w:spacing w:after="0" w:line="176" w:lineRule="exact"/>
              <w:rPr>
                <w:sz w:val="20"/>
                <w:szCs w:val="20"/>
                <w:color w:val="auto"/>
              </w:rPr>
            </w:pPr>
            <w:r>
              <w:rPr>
                <w:rFonts w:ascii="Times New Roman" w:cs="Times New Roman" w:eastAsia="Times New Roman" w:hAnsi="Times New Roman"/>
                <w:sz w:val="16"/>
                <w:szCs w:val="16"/>
                <w:b w:val="1"/>
                <w:bCs w:val="1"/>
                <w:i w:val="1"/>
                <w:iCs w:val="1"/>
                <w:color w:val="auto"/>
              </w:rPr>
              <w:t xml:space="preserve">“1. Legality. – </w:t>
            </w:r>
            <w:r>
              <w:rPr>
                <w:rFonts w:ascii="Times New Roman" w:cs="Times New Roman" w:eastAsia="Times New Roman" w:hAnsi="Times New Roman"/>
                <w:sz w:val="16"/>
                <w:szCs w:val="16"/>
                <w:i w:val="1"/>
                <w:iCs w:val="1"/>
                <w:color w:val="auto"/>
              </w:rPr>
              <w:t>Only by a rule with the force of law may entities be vested with</w:t>
            </w:r>
          </w:p>
        </w:tc>
        <w:tc>
          <w:tcPr>
            <w:tcW w:w="548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6"/>
                <w:szCs w:val="16"/>
                <w:b w:val="1"/>
                <w:bCs w:val="1"/>
                <w:color w:val="auto"/>
              </w:rPr>
              <w:t>Is there a law or regulation with the force of law that grants sanctioning</w:t>
            </w:r>
          </w:p>
        </w:tc>
        <w:tc>
          <w:tcPr>
            <w:tcW w:w="0" w:type="dxa"/>
            <w:vAlign w:val="bottom"/>
          </w:tcPr>
          <w:p>
            <w:pPr>
              <w:spacing w:after="0"/>
              <w:rPr>
                <w:sz w:val="1"/>
                <w:szCs w:val="1"/>
                <w:color w:val="auto"/>
              </w:rPr>
            </w:pPr>
          </w:p>
        </w:tc>
      </w:tr>
      <w:tr>
        <w:trPr>
          <w:trHeight w:val="212"/>
        </w:trPr>
        <w:tc>
          <w:tcPr>
            <w:tcW w:w="3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i w:val="1"/>
                <w:iCs w:val="1"/>
                <w:color w:val="auto"/>
              </w:rPr>
              <w:t>sanctioning authority.</w:t>
            </w:r>
          </w:p>
        </w:tc>
        <w:tc>
          <w:tcPr>
            <w:tcW w:w="5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authority to the SMV?</w:t>
            </w:r>
          </w:p>
        </w:tc>
        <w:tc>
          <w:tcPr>
            <w:tcW w:w="0" w:type="dxa"/>
            <w:vAlign w:val="bottom"/>
          </w:tcPr>
          <w:p>
            <w:pPr>
              <w:spacing w:after="0"/>
              <w:rPr>
                <w:sz w:val="1"/>
                <w:szCs w:val="1"/>
                <w:color w:val="auto"/>
              </w:rPr>
            </w:pPr>
          </w:p>
        </w:tc>
      </w:tr>
      <w:tr>
        <w:trPr>
          <w:trHeight w:val="373"/>
        </w:trPr>
        <w:tc>
          <w:tcPr>
            <w:tcW w:w="3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Yes, there is. Such authority is established in the Organic Law of the SMV and</w:t>
            </w:r>
          </w:p>
        </w:tc>
        <w:tc>
          <w:tcPr>
            <w:tcW w:w="0" w:type="dxa"/>
            <w:vAlign w:val="bottom"/>
          </w:tcPr>
          <w:p>
            <w:pPr>
              <w:spacing w:after="0"/>
              <w:rPr>
                <w:sz w:val="1"/>
                <w:szCs w:val="1"/>
                <w:color w:val="auto"/>
              </w:rPr>
            </w:pPr>
          </w:p>
        </w:tc>
      </w:tr>
      <w:tr>
        <w:trPr>
          <w:trHeight w:val="210"/>
        </w:trPr>
        <w:tc>
          <w:tcPr>
            <w:tcW w:w="3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in the Securities Market Law (LMV), as previously described.</w:t>
            </w:r>
          </w:p>
        </w:tc>
        <w:tc>
          <w:tcPr>
            <w:tcW w:w="0" w:type="dxa"/>
            <w:vAlign w:val="bottom"/>
          </w:tcPr>
          <w:p>
            <w:pPr>
              <w:spacing w:after="0"/>
              <w:rPr>
                <w:sz w:val="1"/>
                <w:szCs w:val="1"/>
                <w:color w:val="auto"/>
              </w:rPr>
            </w:pPr>
          </w:p>
        </w:tc>
      </w:tr>
      <w:tr>
        <w:trPr>
          <w:trHeight w:val="199"/>
        </w:trPr>
        <w:tc>
          <w:tcPr>
            <w:tcW w:w="32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5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360" w:type="dxa"/>
            <w:vAlign w:val="bottom"/>
            <w:tcBorders>
              <w:right w:val="single" w:sz="8" w:color="auto"/>
            </w:tcBorders>
            <w:gridSpan w:val="3"/>
          </w:tcPr>
          <w:p>
            <w:pPr>
              <w:spacing w:after="0" w:line="158" w:lineRule="exact"/>
              <w:rPr>
                <w:sz w:val="20"/>
                <w:szCs w:val="20"/>
                <w:color w:val="auto"/>
              </w:rPr>
            </w:pPr>
            <w:r>
              <w:rPr>
                <w:rFonts w:ascii="Times New Roman" w:cs="Times New Roman" w:eastAsia="Times New Roman" w:hAnsi="Times New Roman"/>
                <w:sz w:val="16"/>
                <w:szCs w:val="16"/>
                <w:i w:val="1"/>
                <w:iCs w:val="1"/>
                <w:color w:val="auto"/>
              </w:rPr>
              <w:t>and the corresponding provision of the administrative consequences that may be</w:t>
            </w:r>
          </w:p>
        </w:tc>
        <w:tc>
          <w:tcPr>
            <w:tcW w:w="5480" w:type="dxa"/>
            <w:vAlign w:val="bottom"/>
            <w:tcBorders>
              <w:right w:val="single" w:sz="8" w:color="auto"/>
            </w:tcBorders>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Is there a law or regulation with the force of law that establishes the</w:t>
            </w:r>
          </w:p>
        </w:tc>
        <w:tc>
          <w:tcPr>
            <w:tcW w:w="0" w:type="dxa"/>
            <w:vAlign w:val="bottom"/>
          </w:tcPr>
          <w:p>
            <w:pPr>
              <w:spacing w:after="0"/>
              <w:rPr>
                <w:sz w:val="1"/>
                <w:szCs w:val="1"/>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360" w:type="dxa"/>
            <w:vAlign w:val="bottom"/>
            <w:tcBorders>
              <w:right w:val="single" w:sz="8" w:color="auto"/>
            </w:tcBorders>
            <w:gridSpan w:val="3"/>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imposed on an administered party by way of sanction, which in no case shall</w:t>
            </w:r>
          </w:p>
        </w:tc>
        <w:tc>
          <w:tcPr>
            <w:tcW w:w="5480" w:type="dxa"/>
            <w:vAlign w:val="bottom"/>
            <w:tcBorders>
              <w:right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applicable infringements and sanctions?</w:t>
            </w:r>
          </w:p>
        </w:tc>
        <w:tc>
          <w:tcPr>
            <w:tcW w:w="0" w:type="dxa"/>
            <w:vAlign w:val="bottom"/>
          </w:tcPr>
          <w:p>
            <w:pPr>
              <w:spacing w:after="0"/>
              <w:rPr>
                <w:sz w:val="1"/>
                <w:szCs w:val="1"/>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820" w:type="dxa"/>
            <w:vAlign w:val="bottom"/>
            <w:tcBorders>
              <w:right w:val="single" w:sz="8" w:color="auto"/>
            </w:tcBorders>
            <w:gridSpan w:val="2"/>
          </w:tcPr>
          <w:p>
            <w:pPr>
              <w:spacing w:after="0" w:line="20" w:lineRule="exact"/>
              <w:rPr>
                <w:sz w:val="1"/>
                <w:szCs w:val="1"/>
                <w:color w:val="auto"/>
              </w:rPr>
            </w:pPr>
          </w:p>
        </w:tc>
        <w:tc>
          <w:tcPr>
            <w:tcW w:w="5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i w:val="1"/>
                <w:iCs w:val="1"/>
                <w:color w:val="auto"/>
              </w:rPr>
              <w:t>authorize the deprivation of liberty.</w:t>
            </w:r>
          </w:p>
        </w:tc>
        <w:tc>
          <w:tcPr>
            <w:tcW w:w="5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Yes, there is. Article 342 of the LMV provides that persons who infringe the</w:t>
            </w:r>
          </w:p>
        </w:tc>
        <w:tc>
          <w:tcPr>
            <w:tcW w:w="0" w:type="dxa"/>
            <w:vAlign w:val="bottom"/>
          </w:tcPr>
          <w:p>
            <w:pPr>
              <w:spacing w:after="0"/>
              <w:rPr>
                <w:sz w:val="1"/>
                <w:szCs w:val="1"/>
                <w:color w:val="auto"/>
              </w:rPr>
            </w:pPr>
          </w:p>
        </w:tc>
      </w:tr>
      <w:tr>
        <w:trPr>
          <w:trHeight w:val="178"/>
        </w:trPr>
        <w:tc>
          <w:tcPr>
            <w:tcW w:w="3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4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provisions of the LMV and other general regulations issued by the SMV are</w:t>
            </w:r>
          </w:p>
        </w:tc>
        <w:tc>
          <w:tcPr>
            <w:tcW w:w="0" w:type="dxa"/>
            <w:vAlign w:val="bottom"/>
          </w:tcPr>
          <w:p>
            <w:pPr>
              <w:spacing w:after="0"/>
              <w:rPr>
                <w:sz w:val="1"/>
                <w:szCs w:val="1"/>
                <w:color w:val="auto"/>
              </w:rPr>
            </w:pPr>
          </w:p>
        </w:tc>
      </w:tr>
      <w:tr>
        <w:trPr>
          <w:trHeight w:val="210"/>
        </w:trPr>
        <w:tc>
          <w:tcPr>
            <w:tcW w:w="3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subject to sanctions.</w:t>
            </w:r>
          </w:p>
        </w:tc>
        <w:tc>
          <w:tcPr>
            <w:tcW w:w="0" w:type="dxa"/>
            <w:vAlign w:val="bottom"/>
          </w:tcPr>
          <w:p>
            <w:pPr>
              <w:spacing w:after="0"/>
              <w:rPr>
                <w:sz w:val="1"/>
                <w:szCs w:val="1"/>
                <w:color w:val="auto"/>
              </w:rPr>
            </w:pPr>
          </w:p>
        </w:tc>
      </w:tr>
      <w:tr>
        <w:trPr>
          <w:trHeight w:val="373"/>
        </w:trPr>
        <w:tc>
          <w:tcPr>
            <w:tcW w:w="3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In addition, Article 343 of the LMV sets forth the sanctions that the SMV is</w:t>
            </w:r>
          </w:p>
        </w:tc>
        <w:tc>
          <w:tcPr>
            <w:tcW w:w="0" w:type="dxa"/>
            <w:vAlign w:val="bottom"/>
          </w:tcPr>
          <w:p>
            <w:pPr>
              <w:spacing w:after="0"/>
              <w:rPr>
                <w:sz w:val="1"/>
                <w:szCs w:val="1"/>
                <w:color w:val="auto"/>
              </w:rPr>
            </w:pPr>
          </w:p>
        </w:tc>
      </w:tr>
      <w:tr>
        <w:trPr>
          <w:trHeight w:val="194"/>
        </w:trPr>
        <w:tc>
          <w:tcPr>
            <w:tcW w:w="3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empowered to impose on such persons for the commission of infringements,</w:t>
            </w:r>
          </w:p>
        </w:tc>
        <w:tc>
          <w:tcPr>
            <w:tcW w:w="0" w:type="dxa"/>
            <w:vAlign w:val="bottom"/>
          </w:tcPr>
          <w:p>
            <w:pPr>
              <w:spacing w:after="0"/>
              <w:rPr>
                <w:sz w:val="1"/>
                <w:szCs w:val="1"/>
                <w:color w:val="auto"/>
              </w:rPr>
            </w:pPr>
          </w:p>
        </w:tc>
      </w:tr>
      <w:tr>
        <w:trPr>
          <w:trHeight w:val="210"/>
        </w:trPr>
        <w:tc>
          <w:tcPr>
            <w:tcW w:w="3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including the imposition of fines.</w:t>
            </w:r>
          </w:p>
        </w:tc>
        <w:tc>
          <w:tcPr>
            <w:tcW w:w="0" w:type="dxa"/>
            <w:vAlign w:val="bottom"/>
          </w:tcPr>
          <w:p>
            <w:pPr>
              <w:spacing w:after="0"/>
              <w:rPr>
                <w:sz w:val="1"/>
                <w:szCs w:val="1"/>
                <w:color w:val="auto"/>
              </w:rPr>
            </w:pPr>
          </w:p>
        </w:tc>
      </w:tr>
      <w:tr>
        <w:trPr>
          <w:trHeight w:val="393"/>
        </w:trPr>
        <w:tc>
          <w:tcPr>
            <w:tcW w:w="32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Accordingly, the principle of typicity is fulfilled.</w:t>
            </w:r>
          </w:p>
        </w:tc>
        <w:tc>
          <w:tcPr>
            <w:tcW w:w="0" w:type="dxa"/>
            <w:vAlign w:val="bottom"/>
          </w:tcPr>
          <w:p>
            <w:pPr>
              <w:spacing w:after="0"/>
              <w:rPr>
                <w:sz w:val="1"/>
                <w:szCs w:val="1"/>
                <w:color w:val="auto"/>
              </w:rPr>
            </w:pPr>
          </w:p>
        </w:tc>
      </w:tr>
      <w:tr>
        <w:trPr>
          <w:trHeight w:val="344"/>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138" w:name="page139"/>
    <w:bookmarkEnd w:id="1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386080</wp:posOffset>
            </wp:positionH>
            <wp:positionV relativeFrom="page">
              <wp:posOffset>88900</wp:posOffset>
            </wp:positionV>
            <wp:extent cx="6960870" cy="41319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60870" cy="41319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9"/>
        </w:trPr>
        <w:tc>
          <w:tcPr>
            <w:tcW w:w="5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4. Typicity. –</w:t>
            </w:r>
          </w:p>
        </w:tc>
        <w:tc>
          <w:tcPr>
            <w:tcW w:w="5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140"/>
              <w:spacing w:after="0" w:line="176" w:lineRule="exact"/>
              <w:rPr>
                <w:sz w:val="20"/>
                <w:szCs w:val="20"/>
                <w:color w:val="auto"/>
              </w:rPr>
            </w:pPr>
            <w:r>
              <w:rPr>
                <w:rFonts w:ascii="Times New Roman" w:cs="Times New Roman" w:eastAsia="Times New Roman" w:hAnsi="Times New Roman"/>
                <w:sz w:val="16"/>
                <w:szCs w:val="16"/>
                <w:i w:val="1"/>
                <w:iCs w:val="1"/>
                <w:color w:val="auto"/>
              </w:rPr>
              <w:t>Only conduct expressly defined as such in rules with the force of law constitutes</w:t>
            </w:r>
          </w:p>
        </w:tc>
        <w:tc>
          <w:tcPr>
            <w:tcW w:w="54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b w:val="1"/>
                <w:bCs w:val="1"/>
                <w:color w:val="auto"/>
              </w:rPr>
              <w:t>Is there a law or regulation with the force of law that authorizes the SMV to</w:t>
            </w:r>
          </w:p>
        </w:tc>
        <w:tc>
          <w:tcPr>
            <w:tcW w:w="0" w:type="dxa"/>
            <w:vAlign w:val="bottom"/>
          </w:tcPr>
          <w:p>
            <w:pPr>
              <w:spacing w:after="0"/>
              <w:rPr>
                <w:sz w:val="1"/>
                <w:szCs w:val="1"/>
                <w:color w:val="auto"/>
              </w:rPr>
            </w:pPr>
          </w:p>
        </w:tc>
      </w:tr>
      <w:tr>
        <w:trPr>
          <w:trHeight w:val="194"/>
        </w:trPr>
        <w:tc>
          <w:tcPr>
            <w:tcW w:w="55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administratively  sanctionable  conduct,  through  its  typification  as  an</w:t>
            </w:r>
          </w:p>
        </w:tc>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typify infringing conduct by means of regulation?</w:t>
            </w:r>
          </w:p>
        </w:tc>
        <w:tc>
          <w:tcPr>
            <w:tcW w:w="0" w:type="dxa"/>
            <w:vAlign w:val="bottom"/>
          </w:tcPr>
          <w:p>
            <w:pPr>
              <w:spacing w:after="0"/>
              <w:rPr>
                <w:sz w:val="1"/>
                <w:szCs w:val="1"/>
                <w:color w:val="auto"/>
              </w:rPr>
            </w:pPr>
          </w:p>
        </w:tc>
      </w:tr>
      <w:tr>
        <w:trPr>
          <w:trHeight w:val="212"/>
        </w:trPr>
        <w:tc>
          <w:tcPr>
            <w:tcW w:w="55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infringement, without admitting extensive interpretation or analogy.</w:t>
            </w:r>
          </w:p>
        </w:tc>
        <w:tc>
          <w:tcPr>
            <w:tcW w:w="5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Yes, there is. Subparagraphs (b) and (d) of Article 5 of the Organic Law of the</w:t>
            </w:r>
          </w:p>
        </w:tc>
        <w:tc>
          <w:tcPr>
            <w:tcW w:w="0" w:type="dxa"/>
            <w:vAlign w:val="bottom"/>
          </w:tcPr>
          <w:p>
            <w:pPr>
              <w:spacing w:after="0"/>
              <w:rPr>
                <w:sz w:val="1"/>
                <w:szCs w:val="1"/>
                <w:color w:val="auto"/>
              </w:rPr>
            </w:pPr>
          </w:p>
        </w:tc>
      </w:tr>
      <w:tr>
        <w:trPr>
          <w:trHeight w:val="178"/>
        </w:trPr>
        <w:tc>
          <w:tcPr>
            <w:tcW w:w="55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i w:val="1"/>
                <w:iCs w:val="1"/>
                <w:color w:val="auto"/>
              </w:rPr>
              <w:t>Implementing regulations may further specify or grade infringements in order to</w:t>
            </w:r>
          </w:p>
        </w:tc>
        <w:tc>
          <w:tcPr>
            <w:tcW w:w="5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500" w:type="dxa"/>
            <w:vAlign w:val="bottom"/>
            <w:vMerge w:val="continue"/>
          </w:tcPr>
          <w:p>
            <w:pPr>
              <w:spacing w:after="0"/>
              <w:rPr>
                <w:sz w:val="16"/>
                <w:szCs w:val="16"/>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SMV authorize its Board to “approve securities market regulations (…)” and to</w:t>
            </w:r>
          </w:p>
        </w:tc>
        <w:tc>
          <w:tcPr>
            <w:tcW w:w="0" w:type="dxa"/>
            <w:vAlign w:val="bottom"/>
          </w:tcPr>
          <w:p>
            <w:pPr>
              <w:spacing w:after="0"/>
              <w:rPr>
                <w:sz w:val="1"/>
                <w:szCs w:val="1"/>
                <w:color w:val="auto"/>
              </w:rPr>
            </w:pPr>
          </w:p>
        </w:tc>
      </w:tr>
      <w:tr>
        <w:trPr>
          <w:trHeight w:val="194"/>
        </w:trPr>
        <w:tc>
          <w:tcPr>
            <w:tcW w:w="55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identify conduct or determine sanctions, without creating new sanctionable</w:t>
            </w:r>
          </w:p>
        </w:tc>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“typify the infringing conduct of those who participate in the securities market</w:t>
            </w:r>
          </w:p>
        </w:tc>
        <w:tc>
          <w:tcPr>
            <w:tcW w:w="0" w:type="dxa"/>
            <w:vAlign w:val="bottom"/>
          </w:tcPr>
          <w:p>
            <w:pPr>
              <w:spacing w:after="0"/>
              <w:rPr>
                <w:sz w:val="1"/>
                <w:szCs w:val="1"/>
                <w:color w:val="auto"/>
              </w:rPr>
            </w:pPr>
          </w:p>
        </w:tc>
      </w:tr>
      <w:tr>
        <w:trPr>
          <w:trHeight w:val="194"/>
        </w:trPr>
        <w:tc>
          <w:tcPr>
            <w:tcW w:w="55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conduct beyond that established by law, except where the law or a Legislative</w:t>
            </w:r>
          </w:p>
        </w:tc>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5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Decree expressly authorizes the typification of infringements by regulation.</w:t>
            </w:r>
          </w:p>
        </w:tc>
        <w:tc>
          <w:tcPr>
            <w:tcW w:w="5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It is precisely on the basis of these powers that the Sanctions Regulation was</w:t>
            </w:r>
          </w:p>
        </w:tc>
        <w:tc>
          <w:tcPr>
            <w:tcW w:w="0" w:type="dxa"/>
            <w:vAlign w:val="bottom"/>
          </w:tcPr>
          <w:p>
            <w:pPr>
              <w:spacing w:after="0"/>
              <w:rPr>
                <w:sz w:val="1"/>
                <w:szCs w:val="1"/>
                <w:color w:val="auto"/>
              </w:rPr>
            </w:pPr>
          </w:p>
        </w:tc>
      </w:tr>
      <w:tr>
        <w:trPr>
          <w:trHeight w:val="178"/>
        </w:trPr>
        <w:tc>
          <w:tcPr>
            <w:tcW w:w="5500" w:type="dxa"/>
            <w:vAlign w:val="bottom"/>
          </w:tcPr>
          <w:p>
            <w:pPr>
              <w:spacing w:after="0"/>
              <w:rPr>
                <w:sz w:val="15"/>
                <w:szCs w:val="15"/>
                <w:color w:val="auto"/>
              </w:rPr>
            </w:pPr>
          </w:p>
        </w:tc>
        <w:tc>
          <w:tcPr>
            <w:tcW w:w="5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approved, which contains the applicable infringement types.</w:t>
            </w:r>
          </w:p>
        </w:tc>
        <w:tc>
          <w:tcPr>
            <w:tcW w:w="0" w:type="dxa"/>
            <w:vAlign w:val="bottom"/>
          </w:tcPr>
          <w:p>
            <w:pPr>
              <w:spacing w:after="0"/>
              <w:rPr>
                <w:sz w:val="1"/>
                <w:szCs w:val="1"/>
                <w:color w:val="auto"/>
              </w:rPr>
            </w:pPr>
          </w:p>
        </w:tc>
      </w:tr>
      <w:tr>
        <w:trPr>
          <w:trHeight w:val="373"/>
        </w:trPr>
        <w:tc>
          <w:tcPr>
            <w:tcW w:w="550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infringement types cited in the two charges brought against the Issuer are</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established in the Sanctions Regulation, as previously explained.</w:t>
            </w: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140" w:type="dxa"/>
        <w:tblCellMar>
          <w:top w:w="0" w:type="dxa"/>
          <w:left w:w="0" w:type="dxa"/>
          <w:bottom w:w="0" w:type="dxa"/>
          <w:right w:w="0" w:type="dxa"/>
        </w:tblCellMar>
      </w:tblPr>
      <w:tr>
        <w:trPr>
          <w:trHeight w:val="194"/>
        </w:trPr>
        <w:tc>
          <w:tcPr>
            <w:tcW w:w="53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Through the typification of infringements, it is not possible to impose on</w:t>
            </w: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Was the obligation that the Issuer had to comply with established by law or</w:t>
            </w:r>
          </w:p>
        </w:tc>
        <w:tc>
          <w:tcPr>
            <w:tcW w:w="0" w:type="dxa"/>
            <w:vAlign w:val="bottom"/>
          </w:tcPr>
          <w:p>
            <w:pPr>
              <w:spacing w:after="0"/>
              <w:rPr>
                <w:sz w:val="1"/>
                <w:szCs w:val="1"/>
                <w:color w:val="auto"/>
              </w:rPr>
            </w:pPr>
          </w:p>
        </w:tc>
      </w:tr>
      <w:tr>
        <w:trPr>
          <w:trHeight w:val="194"/>
        </w:trPr>
        <w:tc>
          <w:tcPr>
            <w:tcW w:w="53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administered parties compliance with obligations that have not been previously</w:t>
            </w: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by a regulatory provision?</w:t>
            </w:r>
          </w:p>
        </w:tc>
        <w:tc>
          <w:tcPr>
            <w:tcW w:w="0" w:type="dxa"/>
            <w:vAlign w:val="bottom"/>
          </w:tcPr>
          <w:p>
            <w:pPr>
              <w:spacing w:after="0"/>
              <w:rPr>
                <w:sz w:val="1"/>
                <w:szCs w:val="1"/>
                <w:color w:val="auto"/>
              </w:rPr>
            </w:pPr>
          </w:p>
        </w:tc>
      </w:tr>
      <w:tr>
        <w:trPr>
          <w:trHeight w:val="212"/>
        </w:trPr>
        <w:tc>
          <w:tcPr>
            <w:tcW w:w="53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established in a legal or regulatory provision, as applicable.</w:t>
            </w:r>
          </w:p>
        </w:tc>
        <w:tc>
          <w:tcPr>
            <w:tcW w:w="53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Yes. As evidenced in the charges brought, the obligation or rule that the Issuer</w:t>
            </w:r>
          </w:p>
        </w:tc>
        <w:tc>
          <w:tcPr>
            <w:tcW w:w="0" w:type="dxa"/>
            <w:vAlign w:val="bottom"/>
          </w:tcPr>
          <w:p>
            <w:pPr>
              <w:spacing w:after="0"/>
              <w:rPr>
                <w:sz w:val="1"/>
                <w:szCs w:val="1"/>
                <w:color w:val="auto"/>
              </w:rPr>
            </w:pPr>
          </w:p>
        </w:tc>
      </w:tr>
      <w:tr>
        <w:trPr>
          <w:trHeight w:val="178"/>
        </w:trPr>
        <w:tc>
          <w:tcPr>
            <w:tcW w:w="5360" w:type="dxa"/>
            <w:vAlign w:val="bottom"/>
          </w:tcPr>
          <w:p>
            <w:pPr>
              <w:spacing w:after="0"/>
              <w:rPr>
                <w:sz w:val="15"/>
                <w:szCs w:val="15"/>
                <w:color w:val="auto"/>
              </w:rPr>
            </w:pPr>
          </w:p>
        </w:tc>
        <w:tc>
          <w:tcPr>
            <w:tcW w:w="5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360" w:type="dxa"/>
            <w:vAlign w:val="bottom"/>
          </w:tcPr>
          <w:p>
            <w:pPr>
              <w:spacing w:after="0"/>
              <w:rPr>
                <w:sz w:val="16"/>
                <w:szCs w:val="16"/>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was required to comply with is established in Article 10 of the LMV, which</w:t>
            </w:r>
          </w:p>
        </w:tc>
        <w:tc>
          <w:tcPr>
            <w:tcW w:w="0" w:type="dxa"/>
            <w:vAlign w:val="bottom"/>
          </w:tcPr>
          <w:p>
            <w:pPr>
              <w:spacing w:after="0"/>
              <w:rPr>
                <w:sz w:val="1"/>
                <w:szCs w:val="1"/>
                <w:color w:val="auto"/>
              </w:rPr>
            </w:pPr>
          </w:p>
        </w:tc>
      </w:tr>
      <w:tr>
        <w:trPr>
          <w:trHeight w:val="194"/>
        </w:trPr>
        <w:tc>
          <w:tcPr>
            <w:tcW w:w="5360" w:type="dxa"/>
            <w:vAlign w:val="bottom"/>
          </w:tcPr>
          <w:p>
            <w:pPr>
              <w:spacing w:after="0"/>
              <w:rPr>
                <w:sz w:val="16"/>
                <w:szCs w:val="16"/>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provides: “All information that, pursuant to this law, must be submitted to</w:t>
            </w:r>
          </w:p>
        </w:tc>
        <w:tc>
          <w:tcPr>
            <w:tcW w:w="0" w:type="dxa"/>
            <w:vAlign w:val="bottom"/>
          </w:tcPr>
          <w:p>
            <w:pPr>
              <w:spacing w:after="0"/>
              <w:rPr>
                <w:sz w:val="1"/>
                <w:szCs w:val="1"/>
                <w:color w:val="auto"/>
              </w:rPr>
            </w:pPr>
          </w:p>
        </w:tc>
      </w:tr>
      <w:tr>
        <w:trPr>
          <w:trHeight w:val="194"/>
        </w:trPr>
        <w:tc>
          <w:tcPr>
            <w:tcW w:w="5360" w:type="dxa"/>
            <w:vAlign w:val="bottom"/>
          </w:tcPr>
          <w:p>
            <w:pPr>
              <w:spacing w:after="0"/>
              <w:rPr>
                <w:sz w:val="16"/>
                <w:szCs w:val="16"/>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CONASEV, to the stock exchange, to the entities responsible for centralized</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mechanisms, or to investors, shall be truthful, sufficient, and timely. (…)”</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b w:val="1"/>
          <w:bCs w:val="1"/>
          <w:color w:val="auto"/>
        </w:rPr>
        <w:t>Does the Sanctions Regulation include, as an administrative infraction, the</w:t>
      </w:r>
    </w:p>
    <w:p>
      <w:pPr>
        <w:spacing w:after="0" w:line="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b w:val="1"/>
          <w:bCs w:val="1"/>
          <w:color w:val="auto"/>
        </w:rPr>
        <w:t>failure to comply with a rule or obligation previously established in a legal</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b w:val="1"/>
          <w:bCs w:val="1"/>
          <w:color w:val="auto"/>
        </w:rPr>
        <w:t>or regulatory provision?</w:t>
      </w:r>
    </w:p>
    <w:p>
      <w:pPr>
        <w:spacing w:after="0" w:line="1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Yes. The Sanctions Regulation applied in the charges brought against the Issuer</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in this PAS describes an infraction type that fits the Issuer’s conduct, namely its</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 xml:space="preserve">clear intent to refrain from disclosing and to conceal the </w:t>
      </w:r>
      <w:r>
        <w:rPr>
          <w:rFonts w:ascii="Times New Roman" w:cs="Times New Roman" w:eastAsia="Times New Roman" w:hAnsi="Times New Roman"/>
          <w:sz w:val="16"/>
          <w:szCs w:val="16"/>
          <w:b w:val="1"/>
          <w:bCs w:val="1"/>
          <w:color w:val="auto"/>
        </w:rPr>
        <w:t>2011 INFORMATION</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 xml:space="preserve">and </w:t>
      </w:r>
      <w:r>
        <w:rPr>
          <w:rFonts w:ascii="Times New Roman" w:cs="Times New Roman" w:eastAsia="Times New Roman" w:hAnsi="Times New Roman"/>
          <w:sz w:val="16"/>
          <w:szCs w:val="16"/>
          <w:b w:val="1"/>
          <w:bCs w:val="1"/>
          <w:color w:val="auto"/>
        </w:rPr>
        <w:t>the 2016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260985</wp:posOffset>
            </wp:positionV>
            <wp:extent cx="714629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43" w:right="319" w:bottom="1440" w:gutter="0" w:footer="0" w:header="0"/>
        </w:sectPr>
      </w:pPr>
    </w:p>
    <w:bookmarkStart w:id="139" w:name="page140"/>
    <w:bookmarkEnd w:id="139"/>
    <w:p>
      <w:pPr>
        <w:ind w:left="56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386080</wp:posOffset>
            </wp:positionH>
            <wp:positionV relativeFrom="page">
              <wp:posOffset>88900</wp:posOffset>
            </wp:positionV>
            <wp:extent cx="6960870" cy="69532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60870" cy="6953250"/>
                    </a:xfrm>
                    <a:prstGeom prst="rect">
                      <a:avLst/>
                    </a:prstGeom>
                    <a:noFill/>
                  </pic:spPr>
                </pic:pic>
              </a:graphicData>
            </a:graphic>
          </wp:anchor>
        </w:drawing>
        <w:t>Accordingly, it has been demonstrated that the Issuer failed to comply with the</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obligation established in Article 10 of the LMV, and that its conduct of not</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disclosing and concealing the mentioned information fits the infraction type</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whose text is: “To carry out any act, omission, practice, or conduct that</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undermines the integrity or transparency of the market.”</w:t>
      </w:r>
    </w:p>
    <w:p>
      <w:pPr>
        <w:spacing w:after="0" w:line="1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Accordingly, the documentation contained in the PAS file, together with the</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reasoning set out in this decision, reveals facts, elements, and evidence</w:t>
      </w:r>
    </w:p>
    <w:p>
      <w:pPr>
        <w:spacing w:after="0" w:line="10" w:lineRule="exact"/>
        <w:rPr>
          <w:sz w:val="20"/>
          <w:szCs w:val="20"/>
          <w:color w:val="auto"/>
        </w:rPr>
      </w:pPr>
    </w:p>
    <w:p>
      <w:pPr>
        <w:ind w:left="5600"/>
        <w:spacing w:after="0"/>
        <w:tabs>
          <w:tab w:leader="none" w:pos="6640" w:val="left"/>
          <w:tab w:leader="none" w:pos="6840" w:val="left"/>
          <w:tab w:leader="none" w:pos="7620" w:val="left"/>
          <w:tab w:leader="none" w:pos="8260" w:val="left"/>
          <w:tab w:leader="none" w:pos="8780" w:val="left"/>
          <w:tab w:leader="none" w:pos="9040" w:val="left"/>
          <w:tab w:leader="none" w:pos="9380" w:val="left"/>
          <w:tab w:leader="none" w:pos="10180" w:val="left"/>
          <w:tab w:leader="none" w:pos="10500" w:val="left"/>
        </w:tabs>
        <w:rPr>
          <w:sz w:val="20"/>
          <w:szCs w:val="20"/>
          <w:color w:val="auto"/>
        </w:rPr>
      </w:pPr>
      <w:r>
        <w:rPr>
          <w:rFonts w:ascii="Times New Roman" w:cs="Times New Roman" w:eastAsia="Times New Roman" w:hAnsi="Times New Roman"/>
          <w:sz w:val="16"/>
          <w:szCs w:val="16"/>
          <w:color w:val="auto"/>
        </w:rPr>
        <w:t>demonstrating</w:t>
        <w:tab/>
        <w:t>a</w:t>
        <w:tab/>
        <w:t>deliberate</w:t>
        <w:tab/>
        <w:t>conduct</w:t>
        <w:tab/>
        <w:t>aimed</w:t>
        <w:tab/>
        <w:t>at</w:t>
        <w:tab/>
        <w:t>not</w:t>
        <w:tab/>
        <w:t>disclosing</w:t>
        <w:tab/>
        <w:t>the</w:t>
      </w:r>
      <w:r>
        <w:rPr>
          <w:sz w:val="20"/>
          <w:szCs w:val="20"/>
          <w:color w:val="auto"/>
        </w:rPr>
        <w:tab/>
      </w:r>
      <w:r>
        <w:rPr>
          <w:rFonts w:ascii="Times New Roman" w:cs="Times New Roman" w:eastAsia="Times New Roman" w:hAnsi="Times New Roman"/>
          <w:sz w:val="16"/>
          <w:szCs w:val="16"/>
          <w:b w:val="1"/>
          <w:bCs w:val="1"/>
          <w:color w:val="auto"/>
        </w:rPr>
        <w:t>2011</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b w:val="1"/>
          <w:bCs w:val="1"/>
          <w:color w:val="auto"/>
        </w:rPr>
        <w:t xml:space="preserve">INFORMATION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the 2016 AGREEMENT</w:t>
      </w:r>
      <w:r>
        <w:rPr>
          <w:rFonts w:ascii="Times New Roman" w:cs="Times New Roman" w:eastAsia="Times New Roman" w:hAnsi="Times New Roman"/>
          <w:sz w:val="16"/>
          <w:szCs w:val="16"/>
          <w:color w:val="auto"/>
        </w:rPr>
        <w:t>, and/or at keeping them</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concealed for several years.</w:t>
      </w:r>
    </w:p>
    <w:p>
      <w:pPr>
        <w:spacing w:after="0" w:line="1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It is important to emphasize that the Issuer’s conduct—substantiated by the</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referenced documentation and by the facts described in this decision—was</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intentional and/or voluntary.</w:t>
      </w:r>
    </w:p>
    <w:p>
      <w:pPr>
        <w:spacing w:after="0" w:line="1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The evidence on record is therefore sufficient to form a firm conviction allowing</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us to conclude that, in this specific case and within the context of the present</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PAS, the Issuer—whose conduct, for purposes of this analysis, is inseparable</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from that of its Chairman of the Board, Mr. Romero—intended to breach its</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 xml:space="preserve">obligation to disclose the </w:t>
      </w:r>
      <w:r>
        <w:rPr>
          <w:rFonts w:ascii="Times New Roman" w:cs="Times New Roman" w:eastAsia="Times New Roman" w:hAnsi="Times New Roman"/>
          <w:sz w:val="16"/>
          <w:szCs w:val="16"/>
          <w:b w:val="1"/>
          <w:bCs w:val="1"/>
          <w:color w:val="auto"/>
        </w:rPr>
        <w:t>2011 INFORMATION</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b w:val="1"/>
          <w:bCs w:val="1"/>
          <w:color w:val="auto"/>
        </w:rPr>
        <w:t>2016 AGREEMENT</w:t>
      </w:r>
      <w:r>
        <w:rPr>
          <w:rFonts w:ascii="Times New Roman" w:cs="Times New Roman" w:eastAsia="Times New Roman" w:hAnsi="Times New Roman"/>
          <w:sz w:val="16"/>
          <w:szCs w:val="16"/>
          <w:color w:val="auto"/>
        </w:rPr>
        <w:t>,</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and to keep such information concealed.</w:t>
      </w:r>
    </w:p>
    <w:p>
      <w:pPr>
        <w:spacing w:after="0" w:line="1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Likewise, the evidence is sufficient to determine that the infraction committed</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by the Issuer does not constitute a mere omission or lack of diligence; therefore,</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 xml:space="preserve">its conduct does not fall under the infraction type: </w:t>
      </w:r>
      <w:r>
        <w:rPr>
          <w:rFonts w:ascii="Times New Roman" w:cs="Times New Roman" w:eastAsia="Times New Roman" w:hAnsi="Times New Roman"/>
          <w:sz w:val="16"/>
          <w:szCs w:val="16"/>
          <w:b w:val="1"/>
          <w:bCs w:val="1"/>
          <w:color w:val="auto"/>
        </w:rPr>
        <w:t>“Failure to disclose material</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b w:val="1"/>
          <w:bCs w:val="1"/>
          <w:color w:val="auto"/>
        </w:rPr>
        <w:t>events that have significant repercussions on the market.”</w:t>
      </w:r>
    </w:p>
    <w:p>
      <w:pPr>
        <w:spacing w:after="0" w:line="1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Indeed, as set out in this Resolution and as evidenced by the documentation</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contained in the case file, the Issuer—once again, for purposes of assessing the</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conduct, considered together with its Chairman of the Board, Mr. Romero—was</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fully aware of the obligations applicable to it. The Issuer is a specialized and</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professional market participant, with the capacity to assess the risks associated</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with compliance in the securities market, among other factors that demonstrate a</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 xml:space="preserve">high level of expertise and professional sophistication. The Issuer had the </w:t>
      </w:r>
      <w:r>
        <w:rPr>
          <w:rFonts w:ascii="Times New Roman" w:cs="Times New Roman" w:eastAsia="Times New Roman" w:hAnsi="Times New Roman"/>
          <w:sz w:val="16"/>
          <w:szCs w:val="16"/>
          <w:b w:val="1"/>
          <w:bCs w:val="1"/>
          <w:color w:val="auto"/>
        </w:rPr>
        <w:t>2011</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b w:val="1"/>
          <w:bCs w:val="1"/>
          <w:color w:val="auto"/>
        </w:rPr>
        <w:t xml:space="preserve">INFORMATION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b w:val="1"/>
          <w:bCs w:val="1"/>
          <w:color w:val="auto"/>
        </w:rPr>
        <w:t xml:space="preserve"> 2016 AGREEMENT </w:t>
      </w:r>
      <w:r>
        <w:rPr>
          <w:rFonts w:ascii="Times New Roman" w:cs="Times New Roman" w:eastAsia="Times New Roman" w:hAnsi="Times New Roman"/>
          <w:sz w:val="16"/>
          <w:szCs w:val="16"/>
          <w:color w:val="auto"/>
        </w:rPr>
        <w:t>within its sphere of control</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and, instead of disclosing them to the market as required—or, for example,</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implementing any procedure whereby third parties or a collegiate body could</w:t>
      </w:r>
    </w:p>
    <w:p>
      <w:pPr>
        <w:spacing w:after="0" w:line="10" w:lineRule="exact"/>
        <w:rPr>
          <w:sz w:val="20"/>
          <w:szCs w:val="20"/>
          <w:color w:val="auto"/>
        </w:rPr>
      </w:pPr>
    </w:p>
    <w:p>
      <w:pPr>
        <w:ind w:left="5600"/>
        <w:spacing w:after="0"/>
        <w:tabs>
          <w:tab w:leader="none" w:pos="6120" w:val="left"/>
          <w:tab w:leader="none" w:pos="7000" w:val="left"/>
          <w:tab w:leader="none" w:pos="7420" w:val="left"/>
          <w:tab w:leader="none" w:pos="8200" w:val="left"/>
          <w:tab w:leader="none" w:pos="9060" w:val="left"/>
          <w:tab w:leader="none" w:pos="9320" w:val="left"/>
          <w:tab w:leader="none" w:pos="9900" w:val="left"/>
          <w:tab w:leader="none" w:pos="10180" w:val="left"/>
          <w:tab w:leader="none" w:pos="10500" w:val="left"/>
        </w:tabs>
        <w:rPr>
          <w:sz w:val="20"/>
          <w:szCs w:val="20"/>
          <w:color w:val="auto"/>
        </w:rPr>
      </w:pPr>
      <w:r>
        <w:rPr>
          <w:rFonts w:ascii="Times New Roman" w:cs="Times New Roman" w:eastAsia="Times New Roman" w:hAnsi="Times New Roman"/>
          <w:sz w:val="16"/>
          <w:szCs w:val="16"/>
          <w:color w:val="auto"/>
        </w:rPr>
        <w:t>assess</w:t>
        <w:tab/>
        <w:t>compliance</w:t>
        <w:tab/>
        <w:t>with</w:t>
        <w:tab/>
        <w:t>disclosure</w:t>
        <w:tab/>
        <w:t>obligations</w:t>
        <w:tab/>
        <w:t>in</w:t>
        <w:tab/>
        <w:t>respect</w:t>
        <w:tab/>
        <w:t>of</w:t>
        <w:tab/>
        <w:t>the</w:t>
      </w:r>
      <w:r>
        <w:rPr>
          <w:sz w:val="20"/>
          <w:szCs w:val="20"/>
          <w:color w:val="auto"/>
        </w:rPr>
        <w:tab/>
      </w:r>
      <w:r>
        <w:rPr>
          <w:rFonts w:ascii="Times New Roman" w:cs="Times New Roman" w:eastAsia="Times New Roman" w:hAnsi="Times New Roman"/>
          <w:sz w:val="16"/>
          <w:szCs w:val="16"/>
          <w:b w:val="1"/>
          <w:bCs w:val="1"/>
          <w:color w:val="auto"/>
        </w:rPr>
        <w:t>2011</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b w:val="1"/>
          <w:bCs w:val="1"/>
          <w:color w:val="auto"/>
        </w:rPr>
        <w:t>INFORMATION</w:t>
      </w:r>
      <w:r>
        <w:rPr>
          <w:rFonts w:ascii="Times New Roman" w:cs="Times New Roman" w:eastAsia="Times New Roman" w:hAnsi="Times New Roman"/>
          <w:sz w:val="16"/>
          <w:szCs w:val="16"/>
          <w:color w:val="auto"/>
        </w:rPr>
        <w:t>—it effectively chose not to share such information with</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almost anyone and to keep it concealed. The information remained undisclosed</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for several years, until the Issuer was unexpectedly and involuntarily compelled</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to reveal it after being questioned by the Public Prosecutor’s Office regarding</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those contributions to the Peruvian presidential campaigns of 2011 and 2016, in</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the context of investigations into the alleged commission of criminal offenses</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that have become public knowledge, as evidenced by various media outlets and</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by information published by the Issuer itself.</w:t>
      </w:r>
    </w:p>
    <w:p>
      <w:pPr>
        <w:spacing w:after="0" w:line="1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Therefore, the conduct described in the infringement type imputed to the Issuer</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is consistent with the established facts and corresponds to the Issuer’s unlawful</w:t>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conduct. As a result, the principle of typicity has been duly observed.</w:t>
      </w:r>
    </w:p>
    <w:p>
      <w:pPr>
        <w:spacing w:after="0" w:line="211" w:lineRule="exact"/>
        <w:rPr>
          <w:sz w:val="20"/>
          <w:szCs w:val="20"/>
          <w:color w:val="auto"/>
        </w:rPr>
      </w:pPr>
    </w:p>
    <w:p>
      <w:pPr>
        <w:ind w:left="140"/>
        <w:spacing w:after="0"/>
        <w:tabs>
          <w:tab w:leader="none" w:pos="5580" w:val="left"/>
        </w:tabs>
        <w:rPr>
          <w:sz w:val="20"/>
          <w:szCs w:val="20"/>
          <w:color w:val="auto"/>
        </w:rPr>
      </w:pPr>
      <w:r>
        <w:rPr>
          <w:rFonts w:ascii="Times New Roman" w:cs="Times New Roman" w:eastAsia="Times New Roman" w:hAnsi="Times New Roman"/>
          <w:sz w:val="16"/>
          <w:szCs w:val="16"/>
          <w:i w:val="1"/>
          <w:iCs w:val="1"/>
          <w:color w:val="auto"/>
        </w:rPr>
        <w:t>In the design of sanctioning regimes, the typification of infractions with identical</w:t>
      </w:r>
      <w:r>
        <w:rPr>
          <w:sz w:val="20"/>
          <w:szCs w:val="20"/>
          <w:color w:val="auto"/>
        </w:rPr>
        <w:tab/>
      </w:r>
      <w:r>
        <w:rPr>
          <w:rFonts w:ascii="Times New Roman" w:cs="Times New Roman" w:eastAsia="Times New Roman" w:hAnsi="Times New Roman"/>
          <w:sz w:val="16"/>
          <w:szCs w:val="16"/>
          <w:color w:val="auto"/>
        </w:rPr>
        <w:t>Not applicable to the specific case.</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factual circumstances and identical legal grounds to those already established</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as crimes or offenses in criminal law, or to those infractions already typified in</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other administrative sanctioning regulation, must be avoided.</w:t>
      </w:r>
    </w:p>
    <w:p>
      <w:pPr>
        <w:spacing w:after="0" w:line="2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summary, based on what has been set out above, it has been demonstrated that, in this administrative sanctioning proceeding (PAS) and in the Issuer’s specific case, the principles of legality and typicity established in the TUO of the LPAG have been strictly observed. Likewise, the principles of due process and all other principles invoked by the Issuer in its defenses have also been observed.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Therefore, with respect to the matters to be determined, the following conclusions are reached: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 </w:t>
      </w:r>
      <w:r>
        <w:rPr>
          <w:rFonts w:ascii="Times New Roman" w:cs="Times New Roman" w:eastAsia="Times New Roman" w:hAnsi="Times New Roman"/>
          <w:sz w:val="16"/>
          <w:szCs w:val="16"/>
          <w:color w:val="auto"/>
        </w:rPr>
        <w:t>Whether the Issuer did or did not incur the infractions set forth in the Charges Letter and the Instruction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 this PAS, it has been demonstrated that the Issuer committed the two (02) infractions imputed in the Charges Letter, by failing to comply with </w:t>
      </w:r>
      <w:r>
        <w:rPr>
          <w:rFonts w:ascii="Times New Roman" w:cs="Times New Roman" w:eastAsia="Times New Roman" w:hAnsi="Times New Roman"/>
          <w:sz w:val="16"/>
          <w:szCs w:val="16"/>
          <w:b w:val="1"/>
          <w:bCs w:val="1"/>
          <w:u w:val="single" w:color="auto"/>
          <w:color w:val="auto"/>
        </w:rPr>
        <w:t>Article 10 of the LMV.</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Both infractions are typified in the Sanctions Regulation under the </w:t>
      </w:r>
      <w:r>
        <w:rPr>
          <w:rFonts w:ascii="Times New Roman" w:cs="Times New Roman" w:eastAsia="Times New Roman" w:hAnsi="Times New Roman"/>
          <w:sz w:val="16"/>
          <w:szCs w:val="16"/>
          <w:b w:val="1"/>
          <w:bCs w:val="1"/>
          <w:u w:val="single" w:color="auto"/>
          <w:color w:val="auto"/>
        </w:rPr>
        <w:t>Very Serious</w:t>
      </w:r>
      <w:r>
        <w:rPr>
          <w:rFonts w:ascii="Times New Roman" w:cs="Times New Roman" w:eastAsia="Times New Roman" w:hAnsi="Times New Roman"/>
          <w:sz w:val="16"/>
          <w:szCs w:val="16"/>
          <w:color w:val="auto"/>
        </w:rPr>
        <w:t xml:space="preserve"> infraction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234315</wp:posOffset>
            </wp:positionV>
            <wp:extent cx="7146290"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60"/>
          </w:cols>
          <w:pgMar w:left="600" w:top="14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Carrying out any act, omission, practice or conduct that undermines the integrity or transparency of the market</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It is important to highlight that both infractions are of a </w:t>
      </w:r>
      <w:r>
        <w:rPr>
          <w:rFonts w:ascii="Times New Roman" w:cs="Times New Roman" w:eastAsia="Times New Roman" w:hAnsi="Times New Roman"/>
          <w:sz w:val="16"/>
          <w:szCs w:val="16"/>
          <w:b w:val="1"/>
          <w:bCs w:val="1"/>
          <w:u w:val="single" w:color="auto"/>
          <w:color w:val="auto"/>
        </w:rPr>
        <w:t>permanent nature</w:t>
      </w:r>
      <w:r>
        <w:rPr>
          <w:rFonts w:ascii="Times New Roman" w:cs="Times New Roman" w:eastAsia="Times New Roman" w:hAnsi="Times New Roman"/>
          <w:sz w:val="16"/>
          <w:szCs w:val="16"/>
          <w:color w:val="auto"/>
        </w:rPr>
        <w:t>, and they ceased only when the Issuer communicated the material event on November 21, 2019 (</w:t>
      </w:r>
      <w:r>
        <w:rPr>
          <w:rFonts w:ascii="Times New Roman" w:cs="Times New Roman" w:eastAsia="Times New Roman" w:hAnsi="Times New Roman"/>
          <w:sz w:val="16"/>
          <w:szCs w:val="16"/>
          <w:b w:val="1"/>
          <w:bCs w:val="1"/>
          <w:u w:val="single" w:color="auto"/>
          <w:color w:val="auto"/>
        </w:rPr>
        <w:t>Case File No. 2019046358</w:t>
      </w:r>
      <w:r>
        <w:rPr>
          <w:rFonts w:ascii="Times New Roman" w:cs="Times New Roman" w:eastAsia="Times New Roman" w:hAnsi="Times New Roman"/>
          <w:sz w:val="16"/>
          <w:szCs w:val="16"/>
          <w:color w:val="auto"/>
        </w:rPr>
        <w:t>). Therefore, the SMV’s authority to determine the existence of the infractions and to impose the corresponding sanctions has not prescribed.</w:t>
      </w:r>
    </w:p>
    <w:p>
      <w:pPr>
        <w:spacing w:after="0" w:line="156" w:lineRule="exact"/>
        <w:rPr>
          <w:sz w:val="20"/>
          <w:szCs w:val="20"/>
          <w:color w:val="auto"/>
        </w:rPr>
      </w:pPr>
    </w:p>
    <w:p>
      <w:pPr>
        <w:ind w:left="240" w:hanging="232"/>
        <w:spacing w:after="0"/>
        <w:tabs>
          <w:tab w:leader="none" w:pos="240" w:val="left"/>
        </w:tabs>
        <w:numPr>
          <w:ilvl w:val="0"/>
          <w:numId w:val="1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Whether it is appropriate to impose a sanction on the Issuer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Having committed two (02) very serious infractions, the corresponding sanctions must be imposed, as set out in the resolutive section.</w:t>
      </w:r>
    </w:p>
    <w:p>
      <w:pPr>
        <w:spacing w:after="0" w:line="204" w:lineRule="exact"/>
        <w:rPr>
          <w:sz w:val="20"/>
          <w:szCs w:val="20"/>
          <w:color w:val="auto"/>
        </w:rPr>
      </w:pPr>
    </w:p>
    <w:p>
      <w:pPr>
        <w:jc w:val="both"/>
        <w:ind w:firstLine="8"/>
        <w:spacing w:after="0" w:line="264" w:lineRule="auto"/>
        <w:tabs>
          <w:tab w:leader="none" w:pos="243" w:val="left"/>
        </w:tabs>
        <w:numPr>
          <w:ilvl w:val="0"/>
          <w:numId w:val="1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From the evaluation of the charges formulated by the IGCC, and from the defenses and arguments submitted by the Issuer, it is evident that the Issuer’s conduct in committing both infractions is reproachable, as it failed to disclose relevant information to the market regarding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keeping such information hidden and thereby affecting the transparency of the securities market. Therefore, the analysis clearly proves that these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infractions were committed by the Issuer.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 Determination of the Sanction</w:t>
      </w:r>
    </w:p>
    <w:p>
      <w:pPr>
        <w:spacing w:after="0" w:line="208" w:lineRule="exact"/>
        <w:rPr>
          <w:sz w:val="20"/>
          <w:szCs w:val="20"/>
          <w:color w:val="auto"/>
        </w:rPr>
      </w:pPr>
    </w:p>
    <w:p>
      <w:pPr>
        <w:jc w:val="both"/>
        <w:ind w:right="20" w:firstLine="8"/>
        <w:spacing w:after="0" w:line="198" w:lineRule="exact"/>
        <w:tabs>
          <w:tab w:leader="none" w:pos="255" w:val="left"/>
        </w:tabs>
        <w:numPr>
          <w:ilvl w:val="0"/>
          <w:numId w:val="1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Before determining the sanction, it must be noted that, as a result of the declaration of the National State of Emergency to address the health crisis caused by COVID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19—pursuant to Article 28 of Emergency Decree No. 029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2020, as amended by Article 12 of Emergency Decree No. 053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2020 and Article 2 of Supreme Decree No. 087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PCM—the deadlines for the processing of administrative procedures, including administrative sanctioning proceedings, were suspended from March 21, 2020 to June 10, 2020, and procedural time limits resumed on June 11, 2020.</w:t>
      </w:r>
    </w:p>
    <w:p>
      <w:pPr>
        <w:spacing w:after="0" w:line="180" w:lineRule="exact"/>
        <w:rPr>
          <w:rFonts w:ascii="Times New Roman" w:cs="Times New Roman" w:eastAsia="Times New Roman" w:hAnsi="Times New Roman"/>
          <w:sz w:val="16"/>
          <w:szCs w:val="16"/>
          <w:b w:val="1"/>
          <w:bCs w:val="1"/>
          <w:color w:val="auto"/>
        </w:rPr>
      </w:pPr>
    </w:p>
    <w:p>
      <w:pPr>
        <w:ind w:right="20" w:firstLine="8"/>
        <w:spacing w:after="0" w:line="287" w:lineRule="auto"/>
        <w:tabs>
          <w:tab w:leader="none" w:pos="255" w:val="left"/>
        </w:tabs>
        <w:numPr>
          <w:ilvl w:val="0"/>
          <w:numId w:val="1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Before proposing the sanction to be imposed on the Issuer, it is necessary to take into account the regulatory and conceptual aspects relevant for determining a possible sanction.</w:t>
      </w:r>
    </w:p>
    <w:p>
      <w:pPr>
        <w:spacing w:after="0" w:line="140" w:lineRule="exact"/>
        <w:rPr>
          <w:rFonts w:ascii="Times New Roman" w:cs="Times New Roman" w:eastAsia="Times New Roman" w:hAnsi="Times New Roman"/>
          <w:sz w:val="16"/>
          <w:szCs w:val="16"/>
          <w:b w:val="1"/>
          <w:bCs w:val="1"/>
          <w:color w:val="auto"/>
        </w:rPr>
      </w:pPr>
    </w:p>
    <w:p>
      <w:pPr>
        <w:jc w:val="both"/>
        <w:ind w:right="20" w:firstLine="8"/>
        <w:spacing w:after="0" w:line="265" w:lineRule="auto"/>
        <w:tabs>
          <w:tab w:leader="none" w:pos="243" w:val="left"/>
        </w:tabs>
        <w:numPr>
          <w:ilvl w:val="0"/>
          <w:numId w:val="1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this regard, it should be recalled that Article 10 of the LMV expressly states: “</w:t>
      </w:r>
      <w:r>
        <w:rPr>
          <w:rFonts w:ascii="Times New Roman" w:cs="Times New Roman" w:eastAsia="Times New Roman" w:hAnsi="Times New Roman"/>
          <w:sz w:val="16"/>
          <w:szCs w:val="16"/>
          <w:i w:val="1"/>
          <w:iCs w:val="1"/>
          <w:color w:val="auto"/>
        </w:rPr>
        <w:t>All information that, by provision of this law, must be submitted to CONASEV,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stock exchange, to the entities responsible for centralized mechanisms, or to investors, </w:t>
      </w:r>
      <w:r>
        <w:rPr>
          <w:rFonts w:ascii="Times New Roman" w:cs="Times New Roman" w:eastAsia="Times New Roman" w:hAnsi="Times New Roman"/>
          <w:sz w:val="16"/>
          <w:szCs w:val="16"/>
          <w:b w:val="1"/>
          <w:bCs w:val="1"/>
          <w:i w:val="1"/>
          <w:iCs w:val="1"/>
          <w:u w:val="single" w:color="auto"/>
          <w:color w:val="auto"/>
        </w:rPr>
        <w:t>must be truthful, sufficient, and timely</w:t>
      </w:r>
      <w:r>
        <w:rPr>
          <w:rFonts w:ascii="Times New Roman" w:cs="Times New Roman" w:eastAsia="Times New Roman" w:hAnsi="Times New Roman"/>
          <w:sz w:val="16"/>
          <w:szCs w:val="16"/>
          <w:i w:val="1"/>
          <w:iCs w:val="1"/>
          <w:color w:val="auto"/>
        </w:rPr>
        <w:t>. Once the information is received by such institutions, it must be made immediately available to the public</w:t>
      </w:r>
      <w:r>
        <w:rPr>
          <w:rFonts w:ascii="Times New Roman" w:cs="Times New Roman" w:eastAsia="Times New Roman" w:hAnsi="Times New Roman"/>
          <w:sz w:val="16"/>
          <w:szCs w:val="16"/>
          <w:color w:val="auto"/>
        </w:rPr>
        <w:t>.” This means that once the information becomes public, it must at all times comply with these standards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transparency, since they safeguard the transparency of the securities market—the legal interest protected by the regulation.</w:t>
      </w:r>
    </w:p>
    <w:p>
      <w:pPr>
        <w:spacing w:after="0" w:line="158" w:lineRule="exact"/>
        <w:rPr>
          <w:rFonts w:ascii="Times New Roman" w:cs="Times New Roman" w:eastAsia="Times New Roman" w:hAnsi="Times New Roman"/>
          <w:sz w:val="16"/>
          <w:szCs w:val="16"/>
          <w:b w:val="1"/>
          <w:bCs w:val="1"/>
          <w:color w:val="auto"/>
        </w:rPr>
      </w:pPr>
    </w:p>
    <w:p>
      <w:pPr>
        <w:ind w:left="260" w:hanging="252"/>
        <w:spacing w:after="0"/>
        <w:tabs>
          <w:tab w:leader="none" w:pos="260" w:val="left"/>
        </w:tabs>
        <w:numPr>
          <w:ilvl w:val="0"/>
          <w:numId w:val="1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Furthermore, it must be recalled that the Issuer’s conduct—failing to disclose </w:t>
      </w:r>
      <w:r>
        <w:rPr>
          <w:rFonts w:ascii="Times New Roman" w:cs="Times New Roman" w:eastAsia="Times New Roman" w:hAnsi="Times New Roman"/>
          <w:sz w:val="16"/>
          <w:szCs w:val="16"/>
          <w:b w:val="1"/>
          <w:bCs w:val="1"/>
          <w:color w:val="auto"/>
        </w:rPr>
        <w:t>cash contributions to the political party FUERZA 2011</w:t>
      </w:r>
      <w:r>
        <w:rPr>
          <w:rFonts w:ascii="Times New Roman" w:cs="Times New Roman" w:eastAsia="Times New Roman" w:hAnsi="Times New Roman"/>
          <w:sz w:val="16"/>
          <w:szCs w:val="16"/>
          <w:color w:val="auto"/>
        </w:rPr>
        <w:t>—is typified in subsection</w:t>
      </w:r>
    </w:p>
    <w:p>
      <w:pPr>
        <w:spacing w:after="0" w:line="28" w:lineRule="exact"/>
        <w:rPr>
          <w:rFonts w:ascii="Times New Roman" w:cs="Times New Roman" w:eastAsia="Times New Roman" w:hAnsi="Times New Roman"/>
          <w:sz w:val="16"/>
          <w:szCs w:val="16"/>
          <w:b w:val="1"/>
          <w:bCs w:val="1"/>
          <w:color w:val="auto"/>
        </w:rPr>
      </w:pPr>
    </w:p>
    <w:p>
      <w:pPr>
        <w:ind w:right="20"/>
        <w:spacing w:after="0" w:line="194" w:lineRule="exact"/>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1.6, numeral 1 of Annex I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which establishes as a very serious infraction: “</w:t>
      </w:r>
      <w:r>
        <w:rPr>
          <w:rFonts w:ascii="Times New Roman" w:cs="Times New Roman" w:eastAsia="Times New Roman" w:hAnsi="Times New Roman"/>
          <w:sz w:val="16"/>
          <w:szCs w:val="16"/>
          <w:i w:val="1"/>
          <w:iCs w:val="1"/>
          <w:color w:val="auto"/>
        </w:rPr>
        <w:t>Carrying out any act, omission, practice or conduct that undermines the integrity or transparency of the market</w:t>
      </w:r>
      <w:r>
        <w:rPr>
          <w:rFonts w:ascii="Times New Roman" w:cs="Times New Roman" w:eastAsia="Times New Roman" w:hAnsi="Times New Roman"/>
          <w:sz w:val="16"/>
          <w:szCs w:val="16"/>
          <w:color w:val="auto"/>
        </w:rPr>
        <w:t>.”</w:t>
      </w:r>
    </w:p>
    <w:p>
      <w:pPr>
        <w:spacing w:after="0" w:line="142" w:lineRule="exact"/>
        <w:rPr>
          <w:rFonts w:ascii="Times New Roman" w:cs="Times New Roman" w:eastAsia="Times New Roman" w:hAnsi="Times New Roman"/>
          <w:sz w:val="16"/>
          <w:szCs w:val="16"/>
          <w:b w:val="1"/>
          <w:bCs w:val="1"/>
          <w:color w:val="auto"/>
        </w:rPr>
      </w:pPr>
    </w:p>
    <w:p>
      <w:pPr>
        <w:ind w:right="20" w:firstLine="8"/>
        <w:spacing w:after="0" w:line="221" w:lineRule="exact"/>
        <w:tabs>
          <w:tab w:leader="none" w:pos="243" w:val="left"/>
        </w:tabs>
        <w:numPr>
          <w:ilvl w:val="0"/>
          <w:numId w:val="1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According to Article 20 of the Sanctions Regulation, approved by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in force at the time of the infraction, the infraction in the first charge may be sanctioned with a fine greater than fifty (50) UIT and up to three hundred (300) UIT, or exclusion of the security from the RPMV.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216535</wp:posOffset>
            </wp:positionV>
            <wp:extent cx="7146290"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19" w:right="319" w:bottom="1440" w:gutter="0" w:footer="0" w:header="0"/>
        </w:sectPr>
      </w:pPr>
    </w:p>
    <w:bookmarkStart w:id="141" w:name="page142"/>
    <w:bookmarkEnd w:id="141"/>
    <w:p>
      <w:pPr>
        <w:jc w:val="both"/>
        <w:ind w:right="20" w:firstLine="8"/>
        <w:spacing w:after="0" w:line="199" w:lineRule="exact"/>
        <w:tabs>
          <w:tab w:leader="none" w:pos="255" w:val="left"/>
        </w:tabs>
        <w:numPr>
          <w:ilvl w:val="0"/>
          <w:numId w:val="1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Likewise, for the </w:t>
      </w:r>
      <w:r>
        <w:rPr>
          <w:rFonts w:ascii="Times New Roman" w:cs="Times New Roman" w:eastAsia="Times New Roman" w:hAnsi="Times New Roman"/>
          <w:sz w:val="16"/>
          <w:szCs w:val="16"/>
          <w:b w:val="1"/>
          <w:bCs w:val="1"/>
          <w:u w:val="single" w:color="auto"/>
          <w:color w:val="auto"/>
        </w:rPr>
        <w:t>second charge</w:t>
      </w:r>
      <w:r>
        <w:rPr>
          <w:rFonts w:ascii="Times New Roman" w:cs="Times New Roman" w:eastAsia="Times New Roman" w:hAnsi="Times New Roman"/>
          <w:sz w:val="16"/>
          <w:szCs w:val="16"/>
          <w:color w:val="auto"/>
        </w:rPr>
        <w:t xml:space="preserve"> relating to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—whereby the Issuer arranged for its subsidiaries (BCP, PACÍFICO, and MIBANCO) to donate funds to the political party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—the conduct is typified in subsection 1.5, numeral 1 of Annex I of the Sanctions Regulation, approved by 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which likewise establishes it as a very serious infraction: “</w:t>
      </w:r>
      <w:r>
        <w:rPr>
          <w:rFonts w:ascii="Times New Roman" w:cs="Times New Roman" w:eastAsia="Times New Roman" w:hAnsi="Times New Roman"/>
          <w:sz w:val="16"/>
          <w:szCs w:val="16"/>
          <w:i w:val="1"/>
          <w:iCs w:val="1"/>
          <w:color w:val="auto"/>
        </w:rPr>
        <w:t>Carrying out any act, omission, practice or conduct that undermines the integrity or transparency of the market</w:t>
      </w:r>
      <w:r>
        <w:rPr>
          <w:rFonts w:ascii="Times New Roman" w:cs="Times New Roman" w:eastAsia="Times New Roman" w:hAnsi="Times New Roman"/>
          <w:sz w:val="16"/>
          <w:szCs w:val="16"/>
          <w:color w:val="auto"/>
        </w:rPr>
        <w:t>.”</w:t>
      </w:r>
    </w:p>
    <w:p>
      <w:pPr>
        <w:spacing w:after="0" w:line="143" w:lineRule="exact"/>
        <w:rPr>
          <w:rFonts w:ascii="Times New Roman" w:cs="Times New Roman" w:eastAsia="Times New Roman" w:hAnsi="Times New Roman"/>
          <w:sz w:val="16"/>
          <w:szCs w:val="16"/>
          <w:b w:val="1"/>
          <w:bCs w:val="1"/>
          <w:color w:val="auto"/>
        </w:rPr>
      </w:pPr>
    </w:p>
    <w:p>
      <w:pPr>
        <w:ind w:firstLine="8"/>
        <w:spacing w:after="0" w:line="221" w:lineRule="exact"/>
        <w:tabs>
          <w:tab w:leader="none" w:pos="243" w:val="left"/>
        </w:tabs>
        <w:numPr>
          <w:ilvl w:val="0"/>
          <w:numId w:val="1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Under Article 20 of the Sanctions Regulation, amended by Superintendent Resolution No. 101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SMV/02, in force at the time of the infraction, the infraction in the second charge is sanctionable with a fine of no less than fifty (50) UIT and up to seven hundred (700) UIT, or exclusion of the security from the RPMV.</w:t>
      </w:r>
    </w:p>
    <w:p>
      <w:pPr>
        <w:spacing w:after="0" w:line="178" w:lineRule="exact"/>
        <w:rPr>
          <w:rFonts w:ascii="Times New Roman" w:cs="Times New Roman" w:eastAsia="Times New Roman" w:hAnsi="Times New Roman"/>
          <w:sz w:val="16"/>
          <w:szCs w:val="16"/>
          <w:b w:val="1"/>
          <w:bCs w:val="1"/>
          <w:color w:val="auto"/>
        </w:rPr>
      </w:pPr>
    </w:p>
    <w:p>
      <w:pPr>
        <w:jc w:val="both"/>
        <w:ind w:firstLine="8"/>
        <w:spacing w:after="0" w:line="270" w:lineRule="auto"/>
        <w:tabs>
          <w:tab w:leader="none" w:pos="255" w:val="left"/>
        </w:tabs>
        <w:numPr>
          <w:ilvl w:val="0"/>
          <w:numId w:val="1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Having determined that the infractions imputed to the Issuer were committed, it is now appropriate to evaluate the Issuer’s sanction proposal in accordance with Article 348 of the LMV and Article 25 of the Sanctions Regulation, in harmony with numeral 3 of Article 248 of the TUO of the LPAG. For these purposes, the sanctioning criteria set out in the following sections must be considered.</w:t>
      </w:r>
    </w:p>
    <w:p>
      <w:pPr>
        <w:spacing w:after="0" w:line="154" w:lineRule="exact"/>
        <w:rPr>
          <w:rFonts w:ascii="Times New Roman" w:cs="Times New Roman" w:eastAsia="Times New Roman" w:hAnsi="Times New Roman"/>
          <w:sz w:val="16"/>
          <w:szCs w:val="16"/>
          <w:b w:val="1"/>
          <w:bCs w:val="1"/>
          <w:color w:val="auto"/>
        </w:rPr>
      </w:pPr>
    </w:p>
    <w:p>
      <w:pPr>
        <w:ind w:right="20" w:firstLine="8"/>
        <w:spacing w:after="0" w:line="290" w:lineRule="auto"/>
        <w:tabs>
          <w:tab w:leader="none" w:pos="243" w:val="left"/>
        </w:tabs>
        <w:numPr>
          <w:ilvl w:val="0"/>
          <w:numId w:val="1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Regarding the </w:t>
      </w:r>
      <w:r>
        <w:rPr>
          <w:rFonts w:ascii="Times New Roman" w:cs="Times New Roman" w:eastAsia="Times New Roman" w:hAnsi="Times New Roman"/>
          <w:sz w:val="16"/>
          <w:szCs w:val="16"/>
          <w:b w:val="1"/>
          <w:bCs w:val="1"/>
          <w:u w:val="single" w:color="auto"/>
          <w:color w:val="auto"/>
        </w:rPr>
        <w:t>Issuer’s sanctioning history</w:t>
      </w:r>
      <w:r>
        <w:rPr>
          <w:rFonts w:ascii="Times New Roman" w:cs="Times New Roman" w:eastAsia="Times New Roman" w:hAnsi="Times New Roman"/>
          <w:sz w:val="16"/>
          <w:szCs w:val="16"/>
          <w:color w:val="auto"/>
        </w:rPr>
        <w:t>, it is noted that the Issuer has no prior sanctions within the four (4) years preceding the commission of the infractions under sanction. Prior commission of the same infraction within one (1) year is not considered in this case. This applies to both infringing conducts.</w:t>
      </w:r>
    </w:p>
    <w:p>
      <w:pPr>
        <w:spacing w:after="0" w:line="138" w:lineRule="exact"/>
        <w:rPr>
          <w:rFonts w:ascii="Times New Roman" w:cs="Times New Roman" w:eastAsia="Times New Roman" w:hAnsi="Times New Roman"/>
          <w:sz w:val="16"/>
          <w:szCs w:val="16"/>
          <w:b w:val="1"/>
          <w:bCs w:val="1"/>
          <w:color w:val="auto"/>
        </w:rPr>
      </w:pPr>
    </w:p>
    <w:p>
      <w:pPr>
        <w:ind w:firstLine="8"/>
        <w:spacing w:after="0" w:line="290" w:lineRule="auto"/>
        <w:tabs>
          <w:tab w:leader="none" w:pos="243" w:val="left"/>
        </w:tabs>
        <w:numPr>
          <w:ilvl w:val="0"/>
          <w:numId w:val="1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Regarding </w:t>
      </w:r>
      <w:r>
        <w:rPr>
          <w:rFonts w:ascii="Times New Roman" w:cs="Times New Roman" w:eastAsia="Times New Roman" w:hAnsi="Times New Roman"/>
          <w:sz w:val="16"/>
          <w:szCs w:val="16"/>
          <w:b w:val="1"/>
          <w:bCs w:val="1"/>
          <w:u w:val="single" w:color="auto"/>
          <w:color w:val="auto"/>
        </w:rPr>
        <w:t>recidivism</w:t>
      </w:r>
      <w:r>
        <w:rPr>
          <w:rFonts w:ascii="Times New Roman" w:cs="Times New Roman" w:eastAsia="Times New Roman" w:hAnsi="Times New Roman"/>
          <w:sz w:val="16"/>
          <w:szCs w:val="16"/>
          <w:color w:val="auto"/>
        </w:rPr>
        <w:t>, it is confirmed that the Issuer has not committed the same infraction within one (1) year prior to the infraction under sanction. This applies to both infringing conducts.</w:t>
      </w:r>
    </w:p>
    <w:p>
      <w:pPr>
        <w:spacing w:after="0" w:line="138" w:lineRule="exact"/>
        <w:rPr>
          <w:rFonts w:ascii="Times New Roman" w:cs="Times New Roman" w:eastAsia="Times New Roman" w:hAnsi="Times New Roman"/>
          <w:sz w:val="16"/>
          <w:szCs w:val="16"/>
          <w:b w:val="1"/>
          <w:bCs w:val="1"/>
          <w:color w:val="auto"/>
        </w:rPr>
      </w:pPr>
    </w:p>
    <w:p>
      <w:pPr>
        <w:jc w:val="both"/>
        <w:ind w:firstLine="8"/>
        <w:spacing w:after="0" w:line="265" w:lineRule="auto"/>
        <w:tabs>
          <w:tab w:leader="none" w:pos="243" w:val="left"/>
        </w:tabs>
        <w:numPr>
          <w:ilvl w:val="0"/>
          <w:numId w:val="1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With respect to the most relevant </w:t>
      </w:r>
      <w:r>
        <w:rPr>
          <w:rFonts w:ascii="Times New Roman" w:cs="Times New Roman" w:eastAsia="Times New Roman" w:hAnsi="Times New Roman"/>
          <w:sz w:val="16"/>
          <w:szCs w:val="16"/>
          <w:b w:val="1"/>
          <w:bCs w:val="1"/>
          <w:u w:val="single" w:color="auto"/>
          <w:color w:val="auto"/>
        </w:rPr>
        <w:t>circumstances surrounding the commission of the infractions</w:t>
      </w:r>
      <w:r>
        <w:rPr>
          <w:rFonts w:ascii="Times New Roman" w:cs="Times New Roman" w:eastAsia="Times New Roman" w:hAnsi="Times New Roman"/>
          <w:sz w:val="16"/>
          <w:szCs w:val="16"/>
          <w:color w:val="auto"/>
        </w:rPr>
        <w:t xml:space="preserve">, and specifically regarding the </w:t>
      </w:r>
      <w:r>
        <w:rPr>
          <w:rFonts w:ascii="Times New Roman" w:cs="Times New Roman" w:eastAsia="Times New Roman" w:hAnsi="Times New Roman"/>
          <w:sz w:val="16"/>
          <w:szCs w:val="16"/>
          <w:b w:val="1"/>
          <w:bCs w:val="1"/>
          <w:u w:val="single" w:color="auto"/>
          <w:color w:val="auto"/>
        </w:rPr>
        <w:t>first charge</w:t>
      </w:r>
      <w:r>
        <w:rPr>
          <w:rFonts w:ascii="Times New Roman" w:cs="Times New Roman" w:eastAsia="Times New Roman" w:hAnsi="Times New Roman"/>
          <w:sz w:val="16"/>
          <w:szCs w:val="16"/>
          <w:color w:val="auto"/>
        </w:rPr>
        <w:t xml:space="preserve">, it must be noted that the decision to make cash contributions to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the procedure for executing them, and the concealment of such contributions were not decisions submitted to the discretion of the Issuer’s General Shareholders’ Meeting, its Board of Directors, or any of its Committees. They were only known, according to the documentary evidence in the file, through the following facts:</w:t>
      </w:r>
    </w:p>
    <w:p>
      <w:pPr>
        <w:spacing w:after="0" w:line="16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a. In the information disseminated by the company itself between November 18 and 21, 2019, indicated in the background section, it was publicly revealed for the first time that the Issuer had made c</w:t>
      </w:r>
      <w:r>
        <w:rPr>
          <w:rFonts w:ascii="Times New Roman" w:cs="Times New Roman" w:eastAsia="Times New Roman" w:hAnsi="Times New Roman"/>
          <w:sz w:val="16"/>
          <w:szCs w:val="16"/>
          <w:b w:val="1"/>
          <w:bCs w:val="1"/>
          <w:color w:val="auto"/>
        </w:rPr>
        <w:t>ash contributions totaling US$ 3.65 million to the political party Fuerza 2011</w:t>
      </w:r>
      <w:r>
        <w:rPr>
          <w:rFonts w:ascii="Times New Roman" w:cs="Times New Roman" w:eastAsia="Times New Roman" w:hAnsi="Times New Roman"/>
          <w:sz w:val="16"/>
          <w:szCs w:val="16"/>
          <w:color w:val="auto"/>
        </w:rPr>
        <w:t xml:space="preserve"> for the 2011 presidential campaign.</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b. The disclosure of the cash contributions to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was made public by the Issuer itself after its Chairman of the Board was summoned to testify as a witness in a criminal investigation. As the Issuer has publicly stated, the Chairman of the Board appeared before the Public Prosecutor’s Office on November 18, 2019.</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c. What was stated before the Public Prosecutor was confirmed that same November 18, 2019, through the communication issued by Mr. Romero, Chairman of the Board, to the Issuer’s employees, informing them of the cash contributions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This communication was disseminated through the Issuer’s official Twitter account (@CredicorpGroup). Likewise, the Issuer reported on the matter through a Press Release titled “</w:t>
      </w:r>
      <w:r>
        <w:rPr>
          <w:rFonts w:ascii="Times New Roman" w:cs="Times New Roman" w:eastAsia="Times New Roman" w:hAnsi="Times New Roman"/>
          <w:sz w:val="16"/>
          <w:szCs w:val="16"/>
          <w:i w:val="1"/>
          <w:iCs w:val="1"/>
          <w:color w:val="auto"/>
        </w:rPr>
        <w:t>Credicorp Ltd. Chairman Testifies in Government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Investigation” on its official website: http://www.credicorpnet.com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205740</wp:posOffset>
            </wp:positionV>
            <wp:extent cx="7146290"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1" w:right="319" w:bottom="1440" w:gutter="0" w:footer="0" w:header="0"/>
        </w:sectPr>
      </w:pPr>
    </w:p>
    <w:bookmarkStart w:id="142" w:name="page143"/>
    <w:bookmarkEnd w:id="142"/>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 xml:space="preserve">d. In addition, Mr. Romero’s statement before the Public Prosecutor, made on November 18, 2019, also became known through publication in the newspaper El Comercio in its November 19, 2019 edition. See: </w:t>
      </w:r>
      <w:r>
        <w:rPr>
          <w:rFonts w:ascii="Times New Roman" w:cs="Times New Roman" w:eastAsia="Times New Roman" w:hAnsi="Times New Roman"/>
          <w:sz w:val="16"/>
          <w:szCs w:val="16"/>
          <w:u w:val="single" w:color="auto"/>
          <w:color w:val="auto"/>
        </w:rPr>
        <w:t>https://elcomercio.pe/politica/justicia/lea-el-testimonio-completo-de-dionisio-romero-paoletti-sobre-aportes-a-keiko-fujimori-noticia/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https://es.scribd.com/document/435717148/Declaracion-de-Dionisio-Romero Paoletti#download&amp;from_embed</w:t>
      </w:r>
    </w:p>
    <w:p>
      <w:pPr>
        <w:spacing w:after="0" w:line="15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e. It should be noted that the Issuer only disclosed the cash contributions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as a result of a statement made before the Public Prosecutor. In other words, the information was provided in an interrogation to which Mr. Romero was summoned, thereby implicating the Issuer and revealing the nondisclosure or concealment of </w:t>
      </w:r>
      <w:r>
        <w:rPr>
          <w:rFonts w:ascii="Times New Roman" w:cs="Times New Roman" w:eastAsia="Times New Roman" w:hAnsi="Times New Roman"/>
          <w:sz w:val="16"/>
          <w:szCs w:val="16"/>
          <w:b w:val="1"/>
          <w:bCs w:val="1"/>
          <w:color w:val="auto"/>
        </w:rPr>
        <w:t xml:space="preserve">THE 2011 INFORMATION </w:t>
      </w:r>
      <w:r>
        <w:rPr>
          <w:rFonts w:ascii="Times New Roman" w:cs="Times New Roman" w:eastAsia="Times New Roman" w:hAnsi="Times New Roman"/>
          <w:sz w:val="16"/>
          <w:szCs w:val="16"/>
          <w:color w:val="auto"/>
        </w:rPr>
        <w:t>from the market.</w:t>
      </w:r>
    </w:p>
    <w:p>
      <w:pPr>
        <w:spacing w:after="0" w:line="15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f. The cash contributions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by their nature, had the capacity to significantly influence investor decisions regarding the Issuer’s securities, and therefore should have been disclosed, as they could have had an impact on the market for those securities.</w:t>
      </w:r>
    </w:p>
    <w:p>
      <w:pPr>
        <w:spacing w:after="0" w:line="13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g. Indicators have been observed showing that the cash contributions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even when disclosed late, had significant influence on the market for the Issuer’s common shares. Although the price recovered in the following days, it did not return to the levels prior to the disclosure of such contributions.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h. Furthermore, it should be noted that the Issuer is a sophisticated issuer that knows the securities market rules that apply to it, which are mandatory—particularly those relating directly to information transparency. This is especially relevant considering the size of the corporation, the business lines or companies of the economic group it controls, and its number of shareholders. It must also be considered that the Issuer is listed not only on the local stock exchange but also on the NYSE, one of the most important stock exchanges globally. Therefore, it is fully aware that it must disclose its information truthfully, sufficiently, and timely to the SMV and the securities market. The Issuer also has the capability to assess what information is relevant for investors.</w:t>
      </w:r>
    </w:p>
    <w:p>
      <w:pPr>
        <w:spacing w:after="0" w:line="16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 xml:space="preserve">i. The cash contributions totaling US$ 3.65 million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constitute relevant information that should have been known by the securities market, particularly considering the significant amount involved, which was material not only in value but also in light of Mr. Romero’s own statement posted on Twitter on November 18, 2019, in which he stated: “Thus, between the end of 2010 and 2011, at different moments during both rounds of the electoral process, the Issuer made several cash contributions to Fuerza 2011 totaling US$ 3.65 million.”</w:t>
      </w:r>
    </w:p>
    <w:p>
      <w:pPr>
        <w:spacing w:after="0" w:line="16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The nondisclosure became evident when the contributions totaling US$ 3.65 million were disseminated to the market after Mr. Romero, Chairman of the Issuer’s Board, appeared before the Public Prosecutor to testify in the corresponding criminal investigation.</w:t>
      </w:r>
    </w:p>
    <w:p>
      <w:pPr>
        <w:spacing w:after="0" w:line="14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j. Thus, the foregoing demonstrates a manifest intention to not disclose and to conceal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and that such conduct only ceased with the communication of the material event on November 21, 2019, following an SMV request. Consequently, this constitutes a permanent infraction involving concealment of relevant information that affected the transparency of the securities market—a legally protected interest under securities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201930</wp:posOffset>
            </wp:positionV>
            <wp:extent cx="7146290"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3" w:right="319" w:bottom="1440" w:gutter="0" w:footer="0" w:header="0"/>
        </w:sectPr>
      </w:pPr>
    </w:p>
    <w:bookmarkStart w:id="143" w:name="page144"/>
    <w:bookmarkEnd w:id="143"/>
    <w:p>
      <w:pPr>
        <w:jc w:val="both"/>
        <w:spacing w:after="0" w:line="287" w:lineRule="auto"/>
        <w:rPr>
          <w:sz w:val="20"/>
          <w:szCs w:val="20"/>
          <w:color w:val="auto"/>
        </w:rPr>
      </w:pPr>
      <w:r>
        <w:rPr>
          <w:rFonts w:ascii="Times New Roman" w:cs="Times New Roman" w:eastAsia="Times New Roman" w:hAnsi="Times New Roman"/>
          <w:sz w:val="16"/>
          <w:szCs w:val="16"/>
          <w:color w:val="auto"/>
        </w:rPr>
        <w:t>k. Notwithstanding the above, it must be noted that when an issuer fails to comply with its information duties and affects transparency, this causes various consequences, including harm to investors, who are deprived of relevant information that could have been assessed in their investment decisions.</w:t>
      </w:r>
    </w:p>
    <w:p>
      <w:pPr>
        <w:spacing w:after="0" w:line="14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 xml:space="preserve">l. In summary, the Issuer engaged in conduct that undermined the transparency of the securities market by failing to disclose the cash contributions totaling US$ 3.65 million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This concealment of information—constituting a permanent infraction—ceased only with the subsequent disclosure of the corresponding material event.</w:t>
      </w:r>
    </w:p>
    <w:p>
      <w:pPr>
        <w:spacing w:after="0" w:line="156" w:lineRule="exact"/>
        <w:rPr>
          <w:sz w:val="20"/>
          <w:szCs w:val="20"/>
          <w:color w:val="auto"/>
        </w:rPr>
      </w:pPr>
    </w:p>
    <w:p>
      <w:pPr>
        <w:jc w:val="both"/>
        <w:ind w:right="20"/>
        <w:spacing w:after="0" w:line="215" w:lineRule="exact"/>
        <w:rPr>
          <w:sz w:val="20"/>
          <w:szCs w:val="20"/>
          <w:color w:val="auto"/>
        </w:rPr>
      </w:pPr>
      <w:r>
        <w:rPr>
          <w:rFonts w:ascii="Times New Roman" w:cs="Times New Roman" w:eastAsia="Times New Roman" w:hAnsi="Times New Roman"/>
          <w:sz w:val="16"/>
          <w:szCs w:val="16"/>
          <w:color w:val="auto"/>
        </w:rPr>
        <w:t>m. Additionally, irrespective of the facts underlying the charges, it is relevant to mention that the Issuer has corporate policies, publicly disseminated to the market, which express self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regulatory commitments. However, such policies are inconsistent with the facts that were not timely disclosed.</w:t>
      </w:r>
    </w:p>
    <w:p>
      <w:pPr>
        <w:spacing w:after="0" w:line="151" w:lineRule="exact"/>
        <w:rPr>
          <w:sz w:val="20"/>
          <w:szCs w:val="20"/>
          <w:color w:val="auto"/>
        </w:rPr>
      </w:pPr>
    </w:p>
    <w:p>
      <w:pPr>
        <w:ind w:left="260" w:hanging="252"/>
        <w:spacing w:after="0"/>
        <w:tabs>
          <w:tab w:leader="none" w:pos="260" w:val="left"/>
        </w:tabs>
        <w:numPr>
          <w:ilvl w:val="0"/>
          <w:numId w:val="1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Regarding the most relevant </w:t>
      </w:r>
      <w:r>
        <w:rPr>
          <w:rFonts w:ascii="Times New Roman" w:cs="Times New Roman" w:eastAsia="Times New Roman" w:hAnsi="Times New Roman"/>
          <w:sz w:val="16"/>
          <w:szCs w:val="16"/>
          <w:b w:val="1"/>
          <w:bCs w:val="1"/>
          <w:u w:val="single" w:color="auto"/>
          <w:color w:val="auto"/>
        </w:rPr>
        <w:t>circumstances surrounding the commission of the infraction</w:t>
      </w:r>
      <w:r>
        <w:rPr>
          <w:rFonts w:ascii="Times New Roman" w:cs="Times New Roman" w:eastAsia="Times New Roman" w:hAnsi="Times New Roman"/>
          <w:sz w:val="16"/>
          <w:szCs w:val="16"/>
          <w:color w:val="auto"/>
        </w:rPr>
        <w:t xml:space="preserve"> in connection with the </w:t>
      </w:r>
      <w:r>
        <w:rPr>
          <w:rFonts w:ascii="Times New Roman" w:cs="Times New Roman" w:eastAsia="Times New Roman" w:hAnsi="Times New Roman"/>
          <w:sz w:val="16"/>
          <w:szCs w:val="16"/>
          <w:b w:val="1"/>
          <w:bCs w:val="1"/>
          <w:u w:val="single" w:color="auto"/>
          <w:color w:val="auto"/>
        </w:rPr>
        <w:t>second charge</w:t>
      </w:r>
      <w:r>
        <w:rPr>
          <w:rFonts w:ascii="Times New Roman" w:cs="Times New Roman" w:eastAsia="Times New Roman" w:hAnsi="Times New Roman"/>
          <w:sz w:val="16"/>
          <w:szCs w:val="16"/>
          <w:color w:val="auto"/>
        </w:rPr>
        <w:t>, the following must be noted:</w:t>
      </w:r>
    </w:p>
    <w:p>
      <w:pPr>
        <w:spacing w:after="0" w:line="20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 xml:space="preserve">a. In the information disseminated by the company itself between November 18 and 21, 2019, as noted in the background section, it was publicly revealed for the first time that the Issuer, through its Executive Committee, had agreed, at its March 2, 2016 meeting, to make contributions totaling 180 UIT to the </w:t>
      </w:r>
      <w:r>
        <w:rPr>
          <w:rFonts w:ascii="Times New Roman" w:cs="Times New Roman" w:eastAsia="Times New Roman" w:hAnsi="Times New Roman"/>
          <w:sz w:val="16"/>
          <w:szCs w:val="16"/>
          <w:b w:val="1"/>
          <w:bCs w:val="1"/>
          <w:color w:val="auto"/>
        </w:rPr>
        <w:t>political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party PERUANOS POR EL KAMBIO</w:t>
      </w:r>
      <w:r>
        <w:rPr>
          <w:rFonts w:ascii="Times New Roman" w:cs="Times New Roman" w:eastAsia="Times New Roman" w:hAnsi="Times New Roman"/>
          <w:sz w:val="16"/>
          <w:szCs w:val="16"/>
          <w:color w:val="auto"/>
        </w:rPr>
        <w:t>, which were channeled through its subsidiaries—BCP, MIBANCO, and PACIFICO—each contributing 60 UIT.</w:t>
      </w:r>
    </w:p>
    <w:p>
      <w:pPr>
        <w:spacing w:after="0" w:line="15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was disclosed by the Issuer after its Chairman of the Board was summoned to testify as a witness in a criminal investigation. As publicly stated by the Issuer, the Chairman appeared before the Public Prosecutor on November 18, 2019.</w:t>
      </w:r>
    </w:p>
    <w:p>
      <w:pPr>
        <w:spacing w:after="0" w:line="14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c. What was stated before the Public Prosecutor was confirmed that same November 18, 2019, through the communication issued by Mr. Romero, Chairman of the Board, to the Issuer’s employees, informing them of the contributions made by the subsidiaries. This communication was disseminated through the official Twitter account (@CredicorpGroup).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This statement before the Prosecutor’s Office also became known through the publication in El Comercio on November 19, 2019.</w:t>
      </w:r>
    </w:p>
    <w:p>
      <w:pPr>
        <w:spacing w:after="0" w:line="20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e. In addition, in an interview published by El Comercio on November 19, 2019, Mr. Romero confirmed the contributions made to the political campaign of the party PERUANOS POR EL KAMBIO by the Issuer’s subsidiaries.</w:t>
      </w:r>
    </w:p>
    <w:p>
      <w:pPr>
        <w:spacing w:after="0" w:line="14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f. It should be noted that the Issuer only disclosed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(the contributions made to the political campaign of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xml:space="preserve">) as a result of the statement made before the Public Prosecutor—that is, during an interrogation to which Mr. Romero was summoned—thereby implicating the Issuer and revealing the nondisclosure or concealment of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from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201930</wp:posOffset>
            </wp:positionV>
            <wp:extent cx="7146290"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3" w:right="319" w:bottom="1440" w:gutter="0" w:footer="0" w:header="0"/>
        </w:sectPr>
      </w:pPr>
    </w:p>
    <w:bookmarkStart w:id="144" w:name="page145"/>
    <w:bookmarkEnd w:id="144"/>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g.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relating to the contributions made to the political campaign, of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xml:space="preserve"> by its nature had the capacity to significantly influence investor decisions regarding the Issuer’s securities and those of its subsidiaries, and therefore should have been disclosed, as it could have had an impact on the market.</w:t>
      </w:r>
    </w:p>
    <w:p>
      <w:pPr>
        <w:spacing w:after="0" w:line="15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h. Likewise, it must be noted that the Issuer is a specialized issuer that understands the securities market regulations that apply to it—regulations that are mandatory, especially those directly tied to information transparency. This is even more relevant considering the size of the corporation, the business lines or companies it controls, and its number of shareholders.</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Furthermore, the Issuer is listed not only on the local exchange but also on the NYSE, one of the most important exchanges in the world. Therefore, it knows that it must disclose its information to the SMV and to the market truthfully, sufficiently, and timely, and that it has the capability to determine what information is relevant for investors.</w:t>
      </w:r>
    </w:p>
    <w:p>
      <w:pPr>
        <w:spacing w:after="0" w:line="15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b w:val="1"/>
          <w:bCs w:val="1"/>
          <w:color w:val="auto"/>
        </w:rPr>
        <w:t>i. THE 2016 AGREEMENT</w:t>
      </w:r>
      <w:r>
        <w:rPr>
          <w:rFonts w:ascii="Times New Roman" w:cs="Times New Roman" w:eastAsia="Times New Roman" w:hAnsi="Times New Roman"/>
          <w:sz w:val="16"/>
          <w:szCs w:val="16"/>
          <w:color w:val="auto"/>
        </w:rPr>
        <w:t>, relating to the contributions made to the political campaign of the political party</w:t>
      </w:r>
      <w:r>
        <w:rPr>
          <w:rFonts w:ascii="Times New Roman" w:cs="Times New Roman" w:eastAsia="Times New Roman" w:hAnsi="Times New Roman"/>
          <w:sz w:val="16"/>
          <w:szCs w:val="16"/>
          <w:b w:val="1"/>
          <w:bCs w:val="1"/>
          <w:color w:val="auto"/>
        </w:rPr>
        <w:t xml:space="preserve"> PERUANOS POR EL KAMBIO</w:t>
      </w:r>
      <w:r>
        <w:rPr>
          <w:rFonts w:ascii="Times New Roman" w:cs="Times New Roman" w:eastAsia="Times New Roman" w:hAnsi="Times New Roman"/>
          <w:sz w:val="16"/>
          <w:szCs w:val="16"/>
          <w:color w:val="auto"/>
        </w:rPr>
        <w:t>, constitutes relevant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information that should have been known by the securities market, especially considering that the agreement was material insofar as it involved corporate decisions of the parent company that obligated its subsidiaries to make the contributions to the political party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j. </w:t>
      </w:r>
      <w:r>
        <w:rPr>
          <w:rFonts w:ascii="Times New Roman" w:cs="Times New Roman" w:eastAsia="Times New Roman" w:hAnsi="Times New Roman"/>
          <w:sz w:val="16"/>
          <w:szCs w:val="16"/>
          <w:color w:val="auto"/>
        </w:rPr>
        <w:t>Accordingly, the foregoing demonstrates a manifest intention not to disclose to the securities market</w:t>
      </w:r>
      <w:r>
        <w:rPr>
          <w:rFonts w:ascii="Times New Roman" w:cs="Times New Roman" w:eastAsia="Times New Roman" w:hAnsi="Times New Roman"/>
          <w:sz w:val="16"/>
          <w:szCs w:val="16"/>
          <w:b w:val="1"/>
          <w:bCs w:val="1"/>
          <w:color w:val="auto"/>
        </w:rPr>
        <w:t xml:space="preserve"> THE 2016 AGREEMENT </w:t>
      </w:r>
      <w:r>
        <w:rPr>
          <w:rFonts w:ascii="Times New Roman" w:cs="Times New Roman" w:eastAsia="Times New Roman" w:hAnsi="Times New Roman"/>
          <w:sz w:val="16"/>
          <w:szCs w:val="16"/>
          <w:color w:val="auto"/>
        </w:rPr>
        <w:t>relating to the contributions made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political campaign of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and that such conduct ceased only with the communication of the material event on November 21, 2019, following a regulatory request. Consequently, this constitutes a permanent infraction involving the concealment of relevant information, thereby affecting the transparency of the securities market, a legal interest protected under securities regulations.</w:t>
      </w:r>
    </w:p>
    <w:p>
      <w:pPr>
        <w:spacing w:after="0" w:line="15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k. </w:t>
      </w:r>
      <w:r>
        <w:rPr>
          <w:rFonts w:ascii="Times New Roman" w:cs="Times New Roman" w:eastAsia="Times New Roman" w:hAnsi="Times New Roman"/>
          <w:sz w:val="16"/>
          <w:szCs w:val="16"/>
          <w:color w:val="auto"/>
        </w:rPr>
        <w:t>Notwithstanding the foregoing, it must be noted that when an issuer fails to comply with its information obligations and affects information transparency,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generates a series of consequences, including harm to investors resulting from not having access to relevant information that could have been considered in their investment decisions.</w:t>
      </w:r>
    </w:p>
    <w:p>
      <w:pPr>
        <w:spacing w:after="0" w:line="15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l. </w:t>
      </w:r>
      <w:r>
        <w:rPr>
          <w:rFonts w:ascii="Times New Roman" w:cs="Times New Roman" w:eastAsia="Times New Roman" w:hAnsi="Times New Roman"/>
          <w:sz w:val="16"/>
          <w:szCs w:val="16"/>
          <w:color w:val="auto"/>
        </w:rPr>
        <w:t>In summary, the Issuer engaged in conduct that would have affected the transparency of the securities market by failing to disclose</w:t>
      </w:r>
      <w:r>
        <w:rPr>
          <w:rFonts w:ascii="Times New Roman" w:cs="Times New Roman" w:eastAsia="Times New Roman" w:hAnsi="Times New Roman"/>
          <w:sz w:val="16"/>
          <w:szCs w:val="16"/>
          <w:b w:val="1"/>
          <w:bCs w:val="1"/>
          <w:color w:val="auto"/>
        </w:rPr>
        <w:t xml:space="preserve"> THE 2016 AGREEMENT </w:t>
      </w:r>
      <w:r>
        <w:rPr>
          <w:rFonts w:ascii="Times New Roman" w:cs="Times New Roman" w:eastAsia="Times New Roman" w:hAnsi="Times New Roman"/>
          <w:sz w:val="16"/>
          <w:szCs w:val="16"/>
          <w:color w:val="auto"/>
        </w:rPr>
        <w:t xml:space="preserve">relating to the contributions made to the political campaign of </w:t>
      </w:r>
      <w:r>
        <w:rPr>
          <w:rFonts w:ascii="Times New Roman" w:cs="Times New Roman" w:eastAsia="Times New Roman" w:hAnsi="Times New Roman"/>
          <w:sz w:val="16"/>
          <w:szCs w:val="16"/>
          <w:b w:val="1"/>
          <w:bCs w:val="1"/>
          <w:color w:val="auto"/>
        </w:rPr>
        <w:t>PERUANOS POR EL KAMBIO.</w:t>
      </w:r>
      <w:r>
        <w:rPr>
          <w:rFonts w:ascii="Times New Roman" w:cs="Times New Roman" w:eastAsia="Times New Roman" w:hAnsi="Times New Roman"/>
          <w:sz w:val="16"/>
          <w:szCs w:val="16"/>
          <w:color w:val="auto"/>
        </w:rPr>
        <w:t xml:space="preserve"> This concealment of information—constituting a permanent infraction —ceased only with its disclosure through the corresponding material event.</w:t>
      </w:r>
    </w:p>
    <w:p>
      <w:pPr>
        <w:spacing w:after="0" w:line="154" w:lineRule="exact"/>
        <w:rPr>
          <w:sz w:val="20"/>
          <w:szCs w:val="20"/>
          <w:color w:val="auto"/>
        </w:rPr>
      </w:pPr>
    </w:p>
    <w:p>
      <w:pPr>
        <w:jc w:val="both"/>
        <w:ind w:right="20"/>
        <w:spacing w:after="0" w:line="217" w:lineRule="exact"/>
        <w:rPr>
          <w:sz w:val="20"/>
          <w:szCs w:val="20"/>
          <w:color w:val="auto"/>
        </w:rPr>
      </w:pPr>
      <w:r>
        <w:rPr>
          <w:rFonts w:ascii="Times New Roman" w:cs="Times New Roman" w:eastAsia="Times New Roman" w:hAnsi="Times New Roman"/>
          <w:sz w:val="16"/>
          <w:szCs w:val="16"/>
          <w:b w:val="1"/>
          <w:bCs w:val="1"/>
          <w:color w:val="auto"/>
        </w:rPr>
        <w:t xml:space="preserve">m. </w:t>
      </w:r>
      <w:r>
        <w:rPr>
          <w:rFonts w:ascii="Times New Roman" w:cs="Times New Roman" w:eastAsia="Times New Roman" w:hAnsi="Times New Roman"/>
          <w:sz w:val="16"/>
          <w:szCs w:val="16"/>
          <w:color w:val="auto"/>
        </w:rPr>
        <w:t>Furthermore, independently of the facts underlying the charges, it is relevant to note that the Issuer has corporate policies, disseminated to the market, which express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corporation’s self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regulatory commitments; however, these policies are inconsistent with the facts that were not disclosed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200025</wp:posOffset>
            </wp:positionV>
            <wp:extent cx="7146290"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1" w:right="319" w:bottom="1440" w:gutter="0" w:footer="0" w:header="0"/>
        </w:sectPr>
      </w:pPr>
    </w:p>
    <w:bookmarkStart w:id="145" w:name="page146"/>
    <w:bookmarkEnd w:id="145"/>
    <w:p>
      <w:pPr>
        <w:jc w:val="both"/>
        <w:ind w:left="283" w:firstLine="8"/>
        <w:spacing w:after="0" w:line="196" w:lineRule="exact"/>
        <w:tabs>
          <w:tab w:leader="none" w:pos="525" w:val="left"/>
        </w:tabs>
        <w:numPr>
          <w:ilvl w:val="0"/>
          <w:numId w:val="1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Regarding the circumstances surrounding the commission of the two (02) infractions by the Issuer, it must be noted that, in the Issuer’s responses to the information requests made by the IGSC through Official Letter No. 5714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SMV/11.1 of December 3, 2019, concerning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greater detail can be observed regarding how the facts occurred and how certain actions, evaluated individually and collectively, demonstrate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greater clarity that the Issuer deliberately concealed the information and had no will or intention to disclose it to the market at any time. The only reason the information is publicly known today is because an investigation by the Public Prosecutor’s Office—exercising its legal authority—forced such information to be declared or acknowledged. Indeed, as indicated previously, item 74 of this PAS file contains the IGSC Report, which describes, one by one, the Issuer’s responses to the information requests, providing documentary evidence of such details. These include, among others, that a voluntary decision was made to keep the information—particularly </w:t>
      </w:r>
      <w:r>
        <w:rPr>
          <w:rFonts w:ascii="Times New Roman" w:cs="Times New Roman" w:eastAsia="Times New Roman" w:hAnsi="Times New Roman"/>
          <w:sz w:val="16"/>
          <w:szCs w:val="16"/>
          <w:b w:val="1"/>
          <w:b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2011 INFORMATION</w:t>
      </w:r>
      <w:r>
        <w:rPr>
          <w:rFonts w:ascii="Times New Roman" w:cs="Times New Roman" w:eastAsia="Times New Roman" w:hAnsi="Times New Roman"/>
          <w:sz w:val="16"/>
          <w:szCs w:val="16"/>
          <w:color w:val="auto"/>
        </w:rPr>
        <w:t>—hidden from the market, and even concealed from other internal bodies or executives of the Issuer whose roles involved internal control,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regulatory compliance, and risk management. Notably, for example, the contributions referenced in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were not banked—there were no transfers between bank accounts; they were delivered outside the Issuer’s corporate offices or the offices of any of its three subsidiaries; in cash; in briefcases; among other details shown in the Issuer’s responses.</w:t>
      </w:r>
    </w:p>
    <w:p>
      <w:pPr>
        <w:spacing w:after="0" w:line="178" w:lineRule="exact"/>
        <w:rPr>
          <w:rFonts w:ascii="Times New Roman" w:cs="Times New Roman" w:eastAsia="Times New Roman" w:hAnsi="Times New Roman"/>
          <w:sz w:val="16"/>
          <w:szCs w:val="16"/>
          <w:b w:val="1"/>
          <w:bCs w:val="1"/>
          <w:color w:val="auto"/>
        </w:rPr>
      </w:pPr>
    </w:p>
    <w:p>
      <w:pPr>
        <w:jc w:val="both"/>
        <w:ind w:left="283" w:right="20" w:firstLine="8"/>
        <w:spacing w:after="0" w:line="246" w:lineRule="exact"/>
        <w:tabs>
          <w:tab w:leader="none" w:pos="534"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Additionally, regarding the circumstances surrounding the commission of the infraction relating to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it must be noted that the Issuer’s Internal Conduct Rules (NICs), in force during 2010 and 2011 and submitted on March 27, 2003 as a material event (Case File No. 2003005798), pursuant to Article 13 of the Regulation on Material Events then in force (approved by CONASEV Resolution No. 107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w:t>
      </w:r>
      <w:r>
        <w:rPr>
          <w:rFonts w:ascii="Times New Roman" w:cs="Times New Roman" w:eastAsia="Times New Roman" w:hAnsi="Times New Roman"/>
          <w:sz w:val="26"/>
          <w:szCs w:val="26"/>
          <w:color w:val="auto"/>
          <w:vertAlign w:val="superscript"/>
        </w:rPr>
        <w:t>62</w:t>
      </w:r>
      <w:r>
        <w:rPr>
          <w:rFonts w:ascii="Times New Roman" w:cs="Times New Roman" w:eastAsia="Times New Roman" w:hAnsi="Times New Roman"/>
          <w:sz w:val="16"/>
          <w:szCs w:val="16"/>
          <w:color w:val="auto"/>
        </w:rPr>
        <w:t>, established the following:</w:t>
      </w:r>
    </w:p>
    <w:p>
      <w:pPr>
        <w:spacing w:after="0" w:line="39"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b w:val="1"/>
          <w:bCs w:val="1"/>
          <w:i w:val="1"/>
          <w:iCs w:val="1"/>
          <w:color w:val="auto"/>
        </w:rPr>
        <w:t>Corporate Policies – Credicorp</w:t>
      </w:r>
    </w:p>
    <w:p>
      <w:pPr>
        <w:spacing w:after="0" w:line="30"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b w:val="1"/>
          <w:bCs w:val="1"/>
          <w:i w:val="1"/>
          <w:iCs w:val="1"/>
          <w:color w:val="auto"/>
        </w:rPr>
        <w:t>Policies</w:t>
      </w:r>
    </w:p>
    <w:p>
      <w:pPr>
        <w:spacing w:after="0" w:line="10"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b w:val="1"/>
          <w:bCs w:val="1"/>
          <w:i w:val="1"/>
          <w:iCs w:val="1"/>
          <w:color w:val="auto"/>
        </w:rPr>
        <w:t>General Policies</w:t>
      </w:r>
    </w:p>
    <w:p>
      <w:pPr>
        <w:spacing w:after="0" w:line="185"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6"/>
          <w:szCs w:val="16"/>
          <w:b w:val="1"/>
          <w:bCs w:val="1"/>
          <w:i w:val="1"/>
          <w:iCs w:val="1"/>
          <w:color w:val="auto"/>
        </w:rPr>
        <w:t>1. Basic Characteristics</w:t>
      </w:r>
    </w:p>
    <w:p>
      <w:pPr>
        <w:spacing w:after="0" w:line="206" w:lineRule="exact"/>
        <w:rPr>
          <w:sz w:val="20"/>
          <w:szCs w:val="20"/>
          <w:color w:val="auto"/>
        </w:rPr>
      </w:pPr>
    </w:p>
    <w:p>
      <w:pPr>
        <w:ind w:left="463" w:hanging="172"/>
        <w:spacing w:after="0"/>
        <w:tabs>
          <w:tab w:leader="none" w:pos="463" w:val="left"/>
        </w:tabs>
        <w:numPr>
          <w:ilvl w:val="0"/>
          <w:numId w:val="17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They shall frame the organizational dimensions of CREDICORP in matters of policies, functional structure, and procedures.</w:t>
      </w:r>
    </w:p>
    <w:p>
      <w:pPr>
        <w:spacing w:after="0" w:line="204" w:lineRule="exact"/>
        <w:rPr>
          <w:rFonts w:ascii="Times New Roman" w:cs="Times New Roman" w:eastAsia="Times New Roman" w:hAnsi="Times New Roman"/>
          <w:sz w:val="16"/>
          <w:szCs w:val="16"/>
          <w:i w:val="1"/>
          <w:iCs w:val="1"/>
          <w:color w:val="auto"/>
        </w:rPr>
      </w:pPr>
    </w:p>
    <w:p>
      <w:pPr>
        <w:ind w:left="463" w:hanging="172"/>
        <w:spacing w:after="0"/>
        <w:tabs>
          <w:tab w:leader="none" w:pos="463" w:val="left"/>
        </w:tabs>
        <w:numPr>
          <w:ilvl w:val="0"/>
          <w:numId w:val="17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They shall comply with the policies issued by the shareholders and imparted by the Board of Directors for their application in all CREDICORP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195580</wp:posOffset>
            </wp:positionV>
            <wp:extent cx="1788160"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68" w:lineRule="exact"/>
        <w:rPr>
          <w:sz w:val="20"/>
          <w:szCs w:val="20"/>
          <w:color w:val="auto"/>
        </w:rPr>
      </w:pPr>
    </w:p>
    <w:p>
      <w:pPr>
        <w:ind w:left="183" w:hanging="183"/>
        <w:spacing w:after="0"/>
        <w:tabs>
          <w:tab w:leader="none" w:pos="183" w:val="left"/>
        </w:tabs>
        <w:numPr>
          <w:ilvl w:val="0"/>
          <w:numId w:val="18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i w:val="1"/>
          <w:iCs w:val="1"/>
          <w:color w:val="auto"/>
        </w:rPr>
        <w:t>“Article 13 – INTERNAL RULES OF CONDUCT</w:t>
      </w:r>
    </w:p>
    <w:p>
      <w:pPr>
        <w:spacing w:after="0" w:line="2" w:lineRule="exact"/>
        <w:rPr>
          <w:sz w:val="20"/>
          <w:szCs w:val="20"/>
          <w:color w:val="auto"/>
        </w:rPr>
      </w:pPr>
    </w:p>
    <w:p>
      <w:pPr>
        <w:ind w:left="3" w:right="20"/>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The issuer shall establish </w:t>
      </w:r>
      <w:r>
        <w:rPr>
          <w:rFonts w:ascii="Times New Roman" w:cs="Times New Roman" w:eastAsia="Times New Roman" w:hAnsi="Times New Roman"/>
          <w:sz w:val="16"/>
          <w:szCs w:val="16"/>
          <w:i w:val="1"/>
          <w:iCs w:val="1"/>
          <w:u w:val="single" w:color="auto"/>
          <w:color w:val="auto"/>
        </w:rPr>
        <w:t>Internal Rules of Conduct</w:t>
      </w:r>
      <w:r>
        <w:rPr>
          <w:rFonts w:ascii="Times New Roman" w:cs="Times New Roman" w:eastAsia="Times New Roman" w:hAnsi="Times New Roman"/>
          <w:sz w:val="16"/>
          <w:szCs w:val="16"/>
          <w:i w:val="1"/>
          <w:iCs w:val="1"/>
          <w:color w:val="auto"/>
        </w:rPr>
        <w:t xml:space="preserve"> through which it implements the procedures and mechanisms necessary to comply with the provisions of this Regulation, which must include at least the following:</w:t>
      </w:r>
    </w:p>
    <w:p>
      <w:pPr>
        <w:ind w:left="583" w:hanging="292"/>
        <w:spacing w:after="0"/>
        <w:tabs>
          <w:tab w:leader="none" w:pos="583" w:val="left"/>
        </w:tabs>
        <w:numPr>
          <w:ilvl w:val="0"/>
          <w:numId w:val="18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Procedures to safeguard the confidentiality of reserved or privileged information;</w:t>
      </w:r>
    </w:p>
    <w:p>
      <w:pPr>
        <w:spacing w:after="0" w:line="10" w:lineRule="exact"/>
        <w:rPr>
          <w:rFonts w:ascii="Times New Roman" w:cs="Times New Roman" w:eastAsia="Times New Roman" w:hAnsi="Times New Roman"/>
          <w:sz w:val="16"/>
          <w:szCs w:val="16"/>
          <w:i w:val="1"/>
          <w:iCs w:val="1"/>
          <w:color w:val="auto"/>
        </w:rPr>
      </w:pPr>
    </w:p>
    <w:p>
      <w:pPr>
        <w:ind w:left="583" w:hanging="292"/>
        <w:spacing w:after="0"/>
        <w:tabs>
          <w:tab w:leader="none" w:pos="583" w:val="left"/>
        </w:tabs>
        <w:numPr>
          <w:ilvl w:val="0"/>
          <w:numId w:val="18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u w:val="single" w:color="auto"/>
          <w:color w:val="auto"/>
        </w:rPr>
        <w:t>An internal procedure for the preparation and communication of material events</w:t>
      </w:r>
      <w:r>
        <w:rPr>
          <w:rFonts w:ascii="Times New Roman" w:cs="Times New Roman" w:eastAsia="Times New Roman" w:hAnsi="Times New Roman"/>
          <w:sz w:val="16"/>
          <w:szCs w:val="16"/>
          <w:i w:val="1"/>
          <w:iCs w:val="1"/>
          <w:color w:val="auto"/>
        </w:rPr>
        <w:t>, based on the provisions set forth in Annex II of this Regulation;</w:t>
      </w:r>
    </w:p>
    <w:p>
      <w:pPr>
        <w:spacing w:after="0" w:line="10" w:lineRule="exact"/>
        <w:rPr>
          <w:rFonts w:ascii="Times New Roman" w:cs="Times New Roman" w:eastAsia="Times New Roman" w:hAnsi="Times New Roman"/>
          <w:sz w:val="16"/>
          <w:szCs w:val="16"/>
          <w:i w:val="1"/>
          <w:iCs w:val="1"/>
          <w:color w:val="auto"/>
        </w:rPr>
      </w:pPr>
    </w:p>
    <w:p>
      <w:pPr>
        <w:ind w:left="583" w:right="20" w:hanging="292"/>
        <w:spacing w:after="0" w:line="253" w:lineRule="auto"/>
        <w:tabs>
          <w:tab w:leader="none" w:pos="583" w:val="left"/>
        </w:tabs>
        <w:numPr>
          <w:ilvl w:val="0"/>
          <w:numId w:val="18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 description of the functions and responsibilities of the persons in charge of preparing and/or communicating material events and reserved information to CONASEV and, when applicable, to the Exchange or to the entity responsible for the corresponding centralized trading mechanism.</w:t>
      </w:r>
    </w:p>
    <w:p>
      <w:pPr>
        <w:spacing w:after="0" w:line="1" w:lineRule="exact"/>
        <w:rPr>
          <w:sz w:val="20"/>
          <w:szCs w:val="20"/>
          <w:color w:val="auto"/>
        </w:rPr>
      </w:pPr>
    </w:p>
    <w:p>
      <w:pPr>
        <w:ind w:left="3"/>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The </w:t>
      </w:r>
      <w:r>
        <w:rPr>
          <w:rFonts w:ascii="Times New Roman" w:cs="Times New Roman" w:eastAsia="Times New Roman" w:hAnsi="Times New Roman"/>
          <w:sz w:val="16"/>
          <w:szCs w:val="16"/>
          <w:i w:val="1"/>
          <w:iCs w:val="1"/>
          <w:u w:val="single" w:color="auto"/>
          <w:color w:val="auto"/>
        </w:rPr>
        <w:t>Internal Rules of Conduct must be approved by the corresponding corporate body</w:t>
      </w:r>
      <w:r>
        <w:rPr>
          <w:rFonts w:ascii="Times New Roman" w:cs="Times New Roman" w:eastAsia="Times New Roman" w:hAnsi="Times New Roman"/>
          <w:sz w:val="16"/>
          <w:szCs w:val="16"/>
          <w:i w:val="1"/>
          <w:iCs w:val="1"/>
          <w:color w:val="auto"/>
        </w:rPr>
        <w:t xml:space="preserve"> and submitted to CONASEV and to the Exchange or to the entity responsible for the corresponding centralized trading mechanism.</w:t>
      </w:r>
    </w:p>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Any amendment to the aforementioned Internal Rules of Conduct must be communicated within two (02) business days following its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146290"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146" w:name="page147"/>
    <w:bookmarkEnd w:id="146"/>
    <w:p>
      <w:pPr>
        <w:ind w:right="20" w:firstLine="8"/>
        <w:spacing w:after="0" w:line="265" w:lineRule="auto"/>
        <w:tabs>
          <w:tab w:leader="none" w:pos="178" w:val="left"/>
        </w:tabs>
        <w:numPr>
          <w:ilvl w:val="0"/>
          <w:numId w:val="18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u w:val="single" w:color="auto"/>
          <w:color w:val="auto"/>
        </w:rPr>
        <w:t>They shall comply with provisions that affect CREDICORP as a whole, as well as national provisions that particularly affect the subsidiaries in their country of origin</w:t>
      </w:r>
      <w:r>
        <w:rPr>
          <w:rFonts w:ascii="Times New Roman" w:cs="Times New Roman" w:eastAsia="Times New Roman" w:hAnsi="Times New Roman"/>
          <w:sz w:val="16"/>
          <w:szCs w:val="16"/>
          <w:i w:val="1"/>
          <w:iCs w:val="1"/>
          <w:color w:val="auto"/>
        </w:rPr>
        <w:t>.</w:t>
      </w:r>
    </w:p>
    <w:p>
      <w:pPr>
        <w:spacing w:after="0" w:line="379" w:lineRule="exact"/>
        <w:rPr>
          <w:rFonts w:ascii="Times New Roman" w:cs="Times New Roman" w:eastAsia="Times New Roman" w:hAnsi="Times New Roman"/>
          <w:sz w:val="16"/>
          <w:szCs w:val="16"/>
          <w:i w:val="1"/>
          <w:iCs w:val="1"/>
          <w:color w:val="auto"/>
        </w:rPr>
      </w:pPr>
    </w:p>
    <w:p>
      <w:pPr>
        <w:ind w:right="20" w:firstLine="8"/>
        <w:spacing w:after="0" w:line="290" w:lineRule="auto"/>
        <w:tabs>
          <w:tab w:leader="none" w:pos="218" w:val="left"/>
        </w:tabs>
        <w:numPr>
          <w:ilvl w:val="0"/>
          <w:numId w:val="18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They shall ensure that the subsidiaries operate under standardized parameters with the purpose of consolidating CREDICORP, so that their development demonstrates organizational behavior based on its Institutional Values.</w:t>
      </w:r>
    </w:p>
    <w:p>
      <w:pPr>
        <w:spacing w:after="0" w:line="138" w:lineRule="exact"/>
        <w:rPr>
          <w:rFonts w:ascii="Times New Roman" w:cs="Times New Roman" w:eastAsia="Times New Roman" w:hAnsi="Times New Roman"/>
          <w:sz w:val="16"/>
          <w:szCs w:val="16"/>
          <w:i w:val="1"/>
          <w:iCs w:val="1"/>
          <w:color w:val="auto"/>
        </w:rPr>
      </w:pPr>
    </w:p>
    <w:p>
      <w:pPr>
        <w:jc w:val="both"/>
        <w:ind w:firstLine="8"/>
        <w:spacing w:after="0" w:line="265" w:lineRule="auto"/>
        <w:tabs>
          <w:tab w:leader="none" w:pos="196" w:val="left"/>
        </w:tabs>
        <w:numPr>
          <w:ilvl w:val="0"/>
          <w:numId w:val="18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They shall establish the policies that CREDICORP subsidiaries must implement in compliance with current laws regulating the securities market at both the international and national levels. It is important to note that the policies established in this regulation align with the Sarbanes–Oxley Act, enacted on July 30, 2002 in the United States, which requires compliance with various obligations by publicly listed companies, whether local or foreign, and their auditing firms, with the purpose of ensuring greater transparency in the conduct of their business.</w:t>
      </w:r>
    </w:p>
    <w:p>
      <w:pPr>
        <w:spacing w:after="0" w:line="158" w:lineRule="exact"/>
        <w:rPr>
          <w:rFonts w:ascii="Times New Roman" w:cs="Times New Roman" w:eastAsia="Times New Roman" w:hAnsi="Times New Roman"/>
          <w:sz w:val="16"/>
          <w:szCs w:val="16"/>
          <w:i w:val="1"/>
          <w:iCs w:val="1"/>
          <w:color w:val="auto"/>
        </w:rPr>
      </w:pPr>
    </w:p>
    <w:p>
      <w:pPr>
        <w:ind w:left="140" w:hanging="132"/>
        <w:spacing w:after="0"/>
        <w:tabs>
          <w:tab w:leader="none" w:pos="140" w:val="left"/>
        </w:tabs>
        <w:numPr>
          <w:ilvl w:val="0"/>
          <w:numId w:val="18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u w:val="single" w:color="auto"/>
          <w:color w:val="auto"/>
        </w:rPr>
        <w:t>They must be complied with by the Directors, Management, Officers, and personnel of CREDICORP and its subsidiaries</w:t>
      </w:r>
      <w:r>
        <w:rPr>
          <w:rFonts w:ascii="Times New Roman" w:cs="Times New Roman" w:eastAsia="Times New Roman" w:hAnsi="Times New Roman"/>
          <w:sz w:val="16"/>
          <w:szCs w:val="16"/>
          <w:i w:val="1"/>
          <w:iCs w:val="1"/>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Policies – Credicorp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Policies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Control Policies – Provisions of the Sarbanes–Oxley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1. Obligation of CREDICORP in its capacity as a corporation issuing securities registered in the United States</w:t>
      </w:r>
    </w:p>
    <w:p>
      <w:pPr>
        <w:spacing w:after="0" w:line="206" w:lineRule="exact"/>
        <w:rPr>
          <w:sz w:val="20"/>
          <w:szCs w:val="20"/>
          <w:color w:val="auto"/>
        </w:rPr>
      </w:pPr>
    </w:p>
    <w:p>
      <w:pPr>
        <w:ind w:left="180" w:hanging="172"/>
        <w:spacing w:after="0"/>
        <w:tabs>
          <w:tab w:leader="none" w:pos="180" w:val="left"/>
        </w:tabs>
        <w:numPr>
          <w:ilvl w:val="0"/>
          <w:numId w:val="18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u w:val="single" w:color="auto"/>
          <w:color w:val="auto"/>
        </w:rPr>
        <w:t>CREDICORP shall be required to demonstrate the highest level of transparency in the conduct of its business</w:t>
      </w:r>
      <w:r>
        <w:rPr>
          <w:rFonts w:ascii="Times New Roman" w:cs="Times New Roman" w:eastAsia="Times New Roman" w:hAnsi="Times New Roman"/>
          <w:sz w:val="16"/>
          <w:szCs w:val="16"/>
          <w:i w:val="1"/>
          <w:iCs w:val="1"/>
          <w:color w:val="auto"/>
        </w:rPr>
        <w:t>.</w:t>
      </w:r>
    </w:p>
    <w:p>
      <w:pPr>
        <w:spacing w:after="0" w:line="204" w:lineRule="exact"/>
        <w:rPr>
          <w:rFonts w:ascii="Times New Roman" w:cs="Times New Roman" w:eastAsia="Times New Roman" w:hAnsi="Times New Roman"/>
          <w:sz w:val="16"/>
          <w:szCs w:val="16"/>
          <w:i w:val="1"/>
          <w:iCs w:val="1"/>
          <w:color w:val="auto"/>
        </w:rPr>
      </w:pPr>
    </w:p>
    <w:p>
      <w:pPr>
        <w:ind w:left="180" w:hanging="172"/>
        <w:spacing w:after="0"/>
        <w:tabs>
          <w:tab w:leader="none" w:pos="180" w:val="left"/>
        </w:tabs>
        <w:numPr>
          <w:ilvl w:val="0"/>
          <w:numId w:val="18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It must align its actions in accordance with the following principles:</w:t>
      </w:r>
    </w:p>
    <w:p>
      <w:pPr>
        <w:spacing w:after="0" w:line="28" w:lineRule="exact"/>
        <w:rPr>
          <w:sz w:val="20"/>
          <w:szCs w:val="20"/>
          <w:color w:val="auto"/>
        </w:rPr>
      </w:pPr>
    </w:p>
    <w:p>
      <w:pPr>
        <w:ind w:left="100" w:hanging="92"/>
        <w:spacing w:after="0"/>
        <w:tabs>
          <w:tab w:leader="none" w:pos="100" w:val="left"/>
        </w:tabs>
        <w:numPr>
          <w:ilvl w:val="0"/>
          <w:numId w:val="18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Control and management with a clear sense of responsibility and compliance with regulations.</w:t>
      </w:r>
    </w:p>
    <w:p>
      <w:pPr>
        <w:spacing w:after="0" w:line="10" w:lineRule="exact"/>
        <w:rPr>
          <w:rFonts w:ascii="Times New Roman" w:cs="Times New Roman" w:eastAsia="Times New Roman" w:hAnsi="Times New Roman"/>
          <w:sz w:val="16"/>
          <w:szCs w:val="16"/>
          <w:i w:val="1"/>
          <w:iCs w:val="1"/>
          <w:color w:val="auto"/>
        </w:rPr>
      </w:pPr>
    </w:p>
    <w:p>
      <w:pPr>
        <w:ind w:left="100" w:hanging="92"/>
        <w:spacing w:after="0"/>
        <w:tabs>
          <w:tab w:leader="none" w:pos="100" w:val="left"/>
        </w:tabs>
        <w:numPr>
          <w:ilvl w:val="0"/>
          <w:numId w:val="18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 strong orientation toward maximizing value creation, protecting the interests of all economic stakeholders involved.</w:t>
      </w:r>
    </w:p>
    <w:p>
      <w:pPr>
        <w:spacing w:after="0" w:line="10" w:lineRule="exact"/>
        <w:rPr>
          <w:rFonts w:ascii="Times New Roman" w:cs="Times New Roman" w:eastAsia="Times New Roman" w:hAnsi="Times New Roman"/>
          <w:sz w:val="16"/>
          <w:szCs w:val="16"/>
          <w:i w:val="1"/>
          <w:iCs w:val="1"/>
          <w:color w:val="auto"/>
        </w:rPr>
      </w:pPr>
    </w:p>
    <w:p>
      <w:pPr>
        <w:ind w:left="100" w:hanging="92"/>
        <w:spacing w:after="0"/>
        <w:tabs>
          <w:tab w:leader="none" w:pos="100" w:val="left"/>
        </w:tabs>
        <w:numPr>
          <w:ilvl w:val="0"/>
          <w:numId w:val="18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Effective relationships between the Corporation’s Management, its Board of Directors, its Shareholders, and other economic agents with an interest in the Company.</w:t>
      </w:r>
    </w:p>
    <w:p>
      <w:pPr>
        <w:spacing w:after="0" w:line="10" w:lineRule="exact"/>
        <w:rPr>
          <w:rFonts w:ascii="Times New Roman" w:cs="Times New Roman" w:eastAsia="Times New Roman" w:hAnsi="Times New Roman"/>
          <w:sz w:val="16"/>
          <w:szCs w:val="16"/>
          <w:i w:val="1"/>
          <w:iCs w:val="1"/>
          <w:color w:val="auto"/>
        </w:rPr>
      </w:pPr>
    </w:p>
    <w:p>
      <w:pPr>
        <w:ind w:left="100" w:hanging="92"/>
        <w:spacing w:after="0"/>
        <w:tabs>
          <w:tab w:leader="none" w:pos="100" w:val="left"/>
        </w:tabs>
        <w:numPr>
          <w:ilvl w:val="0"/>
          <w:numId w:val="18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 management structure that ensures the establishment of objectives, the means to achieve them, and the corresponding monitoring.</w:t>
      </w:r>
    </w:p>
    <w:p>
      <w:pPr>
        <w:spacing w:after="0" w:line="186" w:lineRule="exact"/>
        <w:rPr>
          <w:rFonts w:ascii="Times New Roman" w:cs="Times New Roman" w:eastAsia="Times New Roman" w:hAnsi="Times New Roman"/>
          <w:sz w:val="16"/>
          <w:szCs w:val="16"/>
          <w:i w:val="1"/>
          <w:iCs w:val="1"/>
          <w:color w:val="auto"/>
        </w:rPr>
      </w:pPr>
    </w:p>
    <w:p>
      <w:pPr>
        <w:ind w:right="20" w:firstLine="49"/>
        <w:spacing w:after="0" w:line="290" w:lineRule="auto"/>
        <w:tabs>
          <w:tab w:leader="none" w:pos="138" w:val="left"/>
        </w:tabs>
        <w:numPr>
          <w:ilvl w:val="1"/>
          <w:numId w:val="18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u w:val="single" w:color="auto"/>
          <w:color w:val="auto"/>
        </w:rPr>
        <w:t>Transparency, corporate fairness, and fulfillment of responsibilities that ensure the precise, clear, swift, and timely disclosure of any matter of importance or interest to the parties involved</w:t>
      </w:r>
      <w:r>
        <w:rPr>
          <w:rFonts w:ascii="Times New Roman" w:cs="Times New Roman" w:eastAsia="Times New Roman" w:hAnsi="Times New Roman"/>
          <w:sz w:val="16"/>
          <w:szCs w:val="16"/>
          <w:i w:val="1"/>
          <w:iCs w:val="1"/>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Policies – Credicorp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Policies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Control Policies – Internal Control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222885</wp:posOffset>
            </wp:positionV>
            <wp:extent cx="714629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21"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b w:val="1"/>
          <w:bCs w:val="1"/>
          <w:i w:val="1"/>
          <w:iCs w:val="1"/>
          <w:color w:val="auto"/>
        </w:rPr>
        <w:t>1. Responsibilities at CREDICORP</w:t>
      </w:r>
    </w:p>
    <w:p>
      <w:pPr>
        <w:spacing w:after="0" w:line="206" w:lineRule="exact"/>
        <w:rPr>
          <w:sz w:val="20"/>
          <w:szCs w:val="20"/>
          <w:color w:val="auto"/>
        </w:rPr>
      </w:pPr>
    </w:p>
    <w:p>
      <w:pPr>
        <w:jc w:val="both"/>
        <w:ind w:right="20" w:firstLine="8"/>
        <w:spacing w:after="0" w:line="271" w:lineRule="auto"/>
        <w:tabs>
          <w:tab w:leader="none" w:pos="182" w:val="left"/>
        </w:tabs>
        <w:numPr>
          <w:ilvl w:val="0"/>
          <w:numId w:val="18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General Management, Management teams, and Officers of the Corporation and its subsidiaries, in order to comply with subsection (a) of numeral 3 of the rule “Control Policies – General Provisions of the Sarbanes–Oxley Act,” regarding internal controls related to the preparation of financial reports, shall apply the following procedures:</w:t>
      </w:r>
    </w:p>
    <w:p>
      <w:pPr>
        <w:spacing w:after="0" w:line="154" w:lineRule="exact"/>
        <w:rPr>
          <w:sz w:val="20"/>
          <w:szCs w:val="20"/>
          <w:color w:val="auto"/>
        </w:rPr>
      </w:pPr>
    </w:p>
    <w:p>
      <w:pPr>
        <w:ind w:right="20" w:firstLine="8"/>
        <w:spacing w:after="0" w:line="290" w:lineRule="auto"/>
        <w:tabs>
          <w:tab w:leader="none" w:pos="99" w:val="left"/>
        </w:tabs>
        <w:numPr>
          <w:ilvl w:val="0"/>
          <w:numId w:val="18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Report any significant deficiencies in the design, administration, or operation of the Internal Control System that may affect the proper recording of transactions, their processing, or the aggregation needed to generate financial reports, or any circumstance that demonstrates its fragility.</w:t>
      </w:r>
    </w:p>
    <w:p>
      <w:pPr>
        <w:spacing w:after="0" w:line="138" w:lineRule="exact"/>
        <w:rPr>
          <w:rFonts w:ascii="Times New Roman" w:cs="Times New Roman" w:eastAsia="Times New Roman" w:hAnsi="Times New Roman"/>
          <w:sz w:val="16"/>
          <w:szCs w:val="16"/>
          <w:i w:val="1"/>
          <w:iCs w:val="1"/>
          <w:color w:val="auto"/>
        </w:rPr>
      </w:pPr>
    </w:p>
    <w:p>
      <w:pPr>
        <w:ind w:right="20" w:firstLine="8"/>
        <w:spacing w:after="0" w:line="290" w:lineRule="auto"/>
        <w:tabs>
          <w:tab w:leader="none" w:pos="106" w:val="left"/>
        </w:tabs>
        <w:numPr>
          <w:ilvl w:val="0"/>
          <w:numId w:val="18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Report any fraud, whether significant or not, that involves managers, officers, or employees who have an important role in the design and administration of internal controls.</w:t>
      </w:r>
    </w:p>
    <w:p>
      <w:pPr>
        <w:spacing w:after="0" w:line="138" w:lineRule="exact"/>
        <w:rPr>
          <w:rFonts w:ascii="Times New Roman" w:cs="Times New Roman" w:eastAsia="Times New Roman" w:hAnsi="Times New Roman"/>
          <w:sz w:val="16"/>
          <w:szCs w:val="16"/>
          <w:i w:val="1"/>
          <w:iCs w:val="1"/>
          <w:color w:val="auto"/>
        </w:rPr>
      </w:pPr>
    </w:p>
    <w:p>
      <w:pPr>
        <w:ind w:right="20" w:firstLine="8"/>
        <w:spacing w:after="0" w:line="290" w:lineRule="auto"/>
        <w:tabs>
          <w:tab w:leader="none" w:pos="100" w:val="left"/>
        </w:tabs>
        <w:numPr>
          <w:ilvl w:val="0"/>
          <w:numId w:val="18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Carry out the evaluation of the Internal Control System and the procedures established for preparing financial reports, in the various aspects detailed in item 2 below, at the close of each fiscal year.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 Internal Control Policies and Their Evaluation</w:t>
      </w:r>
    </w:p>
    <w:p>
      <w:pPr>
        <w:spacing w:after="0" w:line="20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i w:val="1"/>
          <w:iCs w:val="1"/>
          <w:color w:val="auto"/>
        </w:rPr>
        <w:t>The evaluation of the Internal Control System shall follow the specifications and guidelines that will be established under the regulation of Section 404 of the Sarbanes– Oxley Act, which will soon be issued by the SEC.</w:t>
      </w:r>
    </w:p>
    <w:p>
      <w:pPr>
        <w:spacing w:after="0" w:line="138"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CREDICORP’s Internal Control System, and its corresponding evaluation, will involve the different functional levels of each subsidiary and will be guided by the following principles: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a)The objectives must be oriented toward:</w:t>
      </w:r>
    </w:p>
    <w:p>
      <w:pPr>
        <w:spacing w:after="0" w:line="17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i w:val="1"/>
          <w:iCs w:val="1"/>
          <w:color w:val="auto"/>
        </w:rPr>
        <w:t>•Effectiveness and efficiency of operations, safeguarding the company’s assets and third</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party property.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•Sufficiency and reliability of financial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i w:val="1"/>
          <w:iCs w:val="1"/>
          <w:u w:val="single" w:color="auto"/>
          <w:color w:val="auto"/>
        </w:rPr>
        <w:t>Compliance with external regulations and internal rules</w:t>
      </w:r>
      <w:r>
        <w:rPr>
          <w:rFonts w:ascii="Times New Roman" w:cs="Times New Roman" w:eastAsia="Times New Roman" w:hAnsi="Times New Roman"/>
          <w:sz w:val="16"/>
          <w:szCs w:val="16"/>
          <w:i w:val="1"/>
          <w:iCs w:val="1"/>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b)The Control Environment, as a component of CREDICORP’s Internal Control System, shall include the following: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•Performance and competency of personnel within the organization.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responsibility of personnel regarding control.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•Integrity and ethical values, as evidenced in the Code of Ethics.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management philosophy and operating style.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organizational structure and the assignment of authority and responsibility by Management.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•Guidelines on behavior regarding control and fraud prevention, especially for personnel whose duties may affect the Internal Control System.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60" w:hanging="152"/>
        <w:spacing w:after="0"/>
        <w:tabs>
          <w:tab w:leader="none" w:pos="160" w:val="left"/>
        </w:tabs>
        <w:numPr>
          <w:ilvl w:val="0"/>
          <w:numId w:val="18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Information and Communication</w:t>
      </w:r>
      <w:r>
        <w:rPr>
          <w:rFonts w:ascii="Times New Roman" w:cs="Times New Roman" w:eastAsia="Times New Roman" w:hAnsi="Times New Roman"/>
          <w:sz w:val="16"/>
          <w:szCs w:val="16"/>
          <w:i w:val="1"/>
          <w:iCs w:val="1"/>
          <w:color w:val="auto"/>
        </w:rPr>
        <w:t>, as a component of CREDICORP’s Internal Control System, shall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235585</wp:posOffset>
            </wp:positionV>
            <wp:extent cx="714629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80"/>
          </w:cols>
          <w:pgMar w:left="600" w:top="119" w:right="319" w:bottom="1440" w:gutter="0" w:footer="0" w:header="0"/>
        </w:sectPr>
      </w:pPr>
    </w:p>
    <w:bookmarkStart w:id="148" w:name="page149"/>
    <w:bookmarkEnd w:id="148"/>
    <w:p>
      <w:pPr>
        <w:ind w:left="280"/>
        <w:spacing w:after="0"/>
        <w:rPr>
          <w:sz w:val="20"/>
          <w:szCs w:val="20"/>
          <w:color w:val="auto"/>
        </w:rPr>
      </w:pPr>
      <w:r>
        <w:rPr>
          <w:rFonts w:ascii="Times New Roman" w:cs="Times New Roman" w:eastAsia="Times New Roman" w:hAnsi="Times New Roman"/>
          <w:sz w:val="16"/>
          <w:szCs w:val="16"/>
          <w:i w:val="1"/>
          <w:iCs w:val="1"/>
          <w:color w:val="auto"/>
        </w:rPr>
        <w:t>•Establish relevant information to be collected and communicated in a manner and within a timeframe that enables the parties involved to fulfill their responsibilities.</w:t>
      </w:r>
    </w:p>
    <w:p>
      <w:pPr>
        <w:spacing w:after="0" w:line="204" w:lineRule="exact"/>
        <w:rPr>
          <w:sz w:val="20"/>
          <w:szCs w:val="20"/>
          <w:color w:val="auto"/>
        </w:rPr>
      </w:pPr>
    </w:p>
    <w:p>
      <w:pPr>
        <w:ind w:left="280"/>
        <w:spacing w:after="0" w:line="290" w:lineRule="auto"/>
        <w:rPr>
          <w:sz w:val="20"/>
          <w:szCs w:val="20"/>
          <w:color w:val="auto"/>
        </w:rPr>
      </w:pPr>
      <w:r>
        <w:rPr>
          <w:rFonts w:ascii="Times New Roman" w:cs="Times New Roman" w:eastAsia="Times New Roman" w:hAnsi="Times New Roman"/>
          <w:sz w:val="16"/>
          <w:szCs w:val="16"/>
          <w:i w:val="1"/>
          <w:iCs w:val="1"/>
          <w:color w:val="auto"/>
        </w:rPr>
        <w:t>•Ensure that information systems generate operational, financial, and compliance reports that allow Management to direct business activities and provide information to and from all entities that have an interest in or are related to the corresponding information, enabling the performance of the necessary controls.</w:t>
      </w:r>
    </w:p>
    <w:p>
      <w:pPr>
        <w:spacing w:after="0" w:line="104" w:lineRule="exact"/>
        <w:rPr>
          <w:sz w:val="20"/>
          <w:szCs w:val="20"/>
          <w:color w:val="auto"/>
        </w:rPr>
      </w:pPr>
    </w:p>
    <w:p>
      <w:pPr>
        <w:ind w:left="280"/>
        <w:spacing w:after="0" w:line="184" w:lineRule="exact"/>
        <w:rPr>
          <w:sz w:val="20"/>
          <w:szCs w:val="20"/>
          <w:color w:val="auto"/>
        </w:rPr>
      </w:pPr>
      <w:r>
        <w:rPr>
          <w:rFonts w:ascii="Times New Roman" w:cs="Times New Roman" w:eastAsia="Times New Roman" w:hAnsi="Times New Roman"/>
          <w:sz w:val="16"/>
          <w:szCs w:val="16"/>
          <w:i w:val="1"/>
          <w:iCs w:val="1"/>
          <w:color w:val="auto"/>
        </w:rPr>
        <w:t>•Ensure that reports include information on incidents, activities, and external conditions necessary for decision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making and for producing relevant reports.</w:t>
      </w:r>
    </w:p>
    <w:p>
      <w:pPr>
        <w:spacing w:after="0" w:line="238" w:lineRule="exact"/>
        <w:rPr>
          <w:sz w:val="20"/>
          <w:szCs w:val="20"/>
          <w:color w:val="auto"/>
        </w:rPr>
      </w:pPr>
    </w:p>
    <w:p>
      <w:pPr>
        <w:ind w:left="280" w:right="20"/>
        <w:spacing w:after="0" w:line="290" w:lineRule="auto"/>
        <w:rPr>
          <w:sz w:val="20"/>
          <w:szCs w:val="20"/>
          <w:color w:val="auto"/>
        </w:rPr>
      </w:pPr>
      <w:r>
        <w:rPr>
          <w:rFonts w:ascii="Times New Roman" w:cs="Times New Roman" w:eastAsia="Times New Roman" w:hAnsi="Times New Roman"/>
          <w:sz w:val="16"/>
          <w:szCs w:val="16"/>
          <w:i w:val="1"/>
          <w:iCs w:val="1"/>
          <w:color w:val="auto"/>
        </w:rPr>
        <w:t>•Establish effective communication that guarantees multidirectional circulation within CREDICORP’s subsidiaries and even with shareholders, clients, suppliers, and supervisory bodies.</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Policies – Credicorp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Policies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Control Policies – Exposure Controls and Procedures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1. Responsibilities Established in the Certifications – Sarbanes–Oxley Act</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i w:val="1"/>
          <w:iCs w:val="1"/>
          <w:color w:val="auto"/>
        </w:rPr>
        <w:t>a)The Management teams and Officers involved from the subsidiaries and the corresponding General Management, in order to comply with subsection (a) of numeral 3 of the rule “Control Policies – General Provisions of the Sarbanes–Oxley Act,” regarding the procedures and controls for preparing financial reports and disclosures, shall apply the following procedures: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•Certify that the procedures lead to an accurate presentation of the Company’s financial position and operating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•Certify that they are responsible for having designed the controls and disclosure procedures that ensure the information is adequately gathered for the annual report.</w:t>
      </w:r>
    </w:p>
    <w:p>
      <w:pPr>
        <w:spacing w:after="0" w:line="20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•Report any relevant events, truthfully, sufficiently, and in a timely manner, to the Finance and Accounting Management of CREDICORP, following the guidelines referenced in Section 3.</w:t>
      </w:r>
    </w:p>
    <w:p>
      <w:pPr>
        <w:spacing w:after="0" w:line="10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i w:val="1"/>
          <w:iCs w:val="1"/>
          <w:color w:val="auto"/>
        </w:rPr>
        <w:t>•Evaluate the effectiveness of the controls and disclosure procedures within ninety days prior to the submission of the annual Form 20</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F report.</w:t>
      </w:r>
    </w:p>
    <w:p>
      <w:pPr>
        <w:spacing w:after="0" w:line="2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i w:val="1"/>
          <w:iCs w:val="1"/>
          <w:color w:val="auto"/>
        </w:rPr>
        <w:t>•This evaluation shall follow the principles set forth in Section 2 of “Control Policies – Internal Control Guidelines,” regarding any additional details that may arise from the Section 404 regulations of the Sarbanes–Oxley Act once published.</w:t>
      </w:r>
    </w:p>
    <w:p>
      <w:pPr>
        <w:spacing w:after="0" w:line="104" w:lineRule="exact"/>
        <w:rPr>
          <w:sz w:val="20"/>
          <w:szCs w:val="20"/>
          <w:color w:val="auto"/>
        </w:rPr>
      </w:pPr>
    </w:p>
    <w:p>
      <w:pPr>
        <w:jc w:val="both"/>
        <w:ind w:right="20"/>
        <w:spacing w:after="0" w:line="221" w:lineRule="exact"/>
        <w:rPr>
          <w:sz w:val="20"/>
          <w:szCs w:val="20"/>
          <w:color w:val="auto"/>
        </w:rPr>
      </w:pPr>
      <w:r>
        <w:rPr>
          <w:rFonts w:ascii="Times New Roman" w:cs="Times New Roman" w:eastAsia="Times New Roman" w:hAnsi="Times New Roman"/>
          <w:sz w:val="16"/>
          <w:szCs w:val="16"/>
          <w:i w:val="1"/>
          <w:iCs w:val="1"/>
          <w:color w:val="auto"/>
        </w:rPr>
        <w:t>b)In accordance with the requirements for the Certification (Forms – Form 20</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F Certification) that is part of the annual Form 20</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F submitted to the SEC, the Executive Chairman and the Finance and Accounting Manager shall verify compliance with the established procedures and information requirements described in subsection (a).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3. Material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146290"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9" w:name="page150"/>
    <w:bookmarkEnd w:id="149"/>
    <w:p>
      <w:pPr>
        <w:ind w:left="183" w:hanging="183"/>
        <w:spacing w:after="0"/>
        <w:tabs>
          <w:tab w:leader="none" w:pos="183" w:val="left"/>
        </w:tabs>
        <w:numPr>
          <w:ilvl w:val="0"/>
          <w:numId w:val="18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General Management of the subsidiaries must report material events, truthfully, sufficiently, and in a timely manner, to the Finance and Accounting Management of</w:t>
      </w:r>
    </w:p>
    <w:p>
      <w:pPr>
        <w:spacing w:after="0" w:line="28" w:lineRule="exact"/>
        <w:rPr>
          <w:rFonts w:ascii="Times New Roman" w:cs="Times New Roman" w:eastAsia="Times New Roman" w:hAnsi="Times New Roman"/>
          <w:sz w:val="16"/>
          <w:szCs w:val="16"/>
          <w:i w:val="1"/>
          <w:iCs w:val="1"/>
          <w:color w:val="auto"/>
        </w:rPr>
      </w:pPr>
    </w:p>
    <w:p>
      <w:pPr>
        <w:ind w:left="3"/>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CREDICORP.</w:t>
      </w:r>
    </w:p>
    <w:p>
      <w:pPr>
        <w:spacing w:after="0" w:line="152" w:lineRule="exact"/>
        <w:rPr>
          <w:rFonts w:ascii="Times New Roman" w:cs="Times New Roman" w:eastAsia="Times New Roman" w:hAnsi="Times New Roman"/>
          <w:sz w:val="16"/>
          <w:szCs w:val="16"/>
          <w:i w:val="1"/>
          <w:iCs w:val="1"/>
          <w:color w:val="auto"/>
        </w:rPr>
      </w:pPr>
    </w:p>
    <w:p>
      <w:pPr>
        <w:ind w:left="183" w:hanging="183"/>
        <w:spacing w:after="0" w:line="184" w:lineRule="exact"/>
        <w:tabs>
          <w:tab w:leader="none" w:pos="183" w:val="left"/>
        </w:tabs>
        <w:numPr>
          <w:ilvl w:val="0"/>
          <w:numId w:val="18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 Material Event shall be considered any event, under external or internal circumstances involving sector</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specific or business</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related risks, that may:</w:t>
      </w:r>
    </w:p>
    <w:p>
      <w:pPr>
        <w:spacing w:after="0" w:line="23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•Significantly influence the operation or management of the Corporation;</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•Affect the structure and execution of the Corporation’s policies; or</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t>
      </w:r>
    </w:p>
    <w:p>
      <w:pPr>
        <w:spacing w:after="0" w:line="202" w:lineRule="exact"/>
        <w:rPr>
          <w:sz w:val="20"/>
          <w:szCs w:val="20"/>
          <w:color w:val="auto"/>
        </w:rPr>
      </w:pPr>
    </w:p>
    <w:p>
      <w:pPr>
        <w:ind w:left="3" w:right="1760" w:hanging="3"/>
        <w:spacing w:after="0" w:line="506" w:lineRule="auto"/>
        <w:tabs>
          <w:tab w:leader="none" w:pos="100" w:val="left"/>
        </w:tabs>
        <w:numPr>
          <w:ilvl w:val="0"/>
          <w:numId w:val="18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Influence a diligent investor in deciding whether to invest or not in the different financial instruments issued by CREDICORP or its subsidiaries. c) Among the events that must be reported, as soon as they occur or become known, are changes or circumstances related to:</w:t>
      </w:r>
    </w:p>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•the legal structure,</w:t>
      </w:r>
    </w:p>
    <w:p>
      <w:pPr>
        <w:spacing w:after="0" w:line="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•the composition of its boards of directors,</w:t>
      </w:r>
    </w:p>
    <w:p>
      <w:pPr>
        <w:spacing w:after="0" w:line="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•the operation of the Corporation,</w:t>
      </w:r>
    </w:p>
    <w:p>
      <w:pPr>
        <w:spacing w:after="0" w:line="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•the financial statements and annual report,</w:t>
      </w:r>
    </w:p>
    <w:p>
      <w:pPr>
        <w:spacing w:after="0" w:line="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 the capital stock.</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63" w:hanging="163"/>
        <w:spacing w:after="0"/>
        <w:tabs>
          <w:tab w:leader="none" w:pos="163" w:val="left"/>
        </w:tabs>
        <w:numPr>
          <w:ilvl w:val="0"/>
          <w:numId w:val="19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Operation of the Audit Committee</w:t>
      </w:r>
    </w:p>
    <w:p>
      <w:pPr>
        <w:spacing w:after="0" w:line="204" w:lineRule="exact"/>
        <w:rPr>
          <w:rFonts w:ascii="Times New Roman" w:cs="Times New Roman" w:eastAsia="Times New Roman" w:hAnsi="Times New Roman"/>
          <w:sz w:val="16"/>
          <w:szCs w:val="16"/>
          <w:b w:val="1"/>
          <w:bCs w:val="1"/>
          <w:i w:val="1"/>
          <w:iCs w:val="1"/>
          <w:color w:val="auto"/>
        </w:rPr>
      </w:pPr>
    </w:p>
    <w:p>
      <w:pPr>
        <w:ind w:left="3" w:right="9900" w:hanging="3"/>
        <w:spacing w:after="0" w:line="508" w:lineRule="auto"/>
        <w:tabs>
          <w:tab w:leader="none" w:pos="286" w:val="left"/>
        </w:tabs>
        <w:numPr>
          <w:ilvl w:val="0"/>
          <w:numId w:val="19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Its Composition a)Members:</w:t>
      </w:r>
    </w:p>
    <w:p>
      <w:pPr>
        <w:ind w:left="3"/>
        <w:spacing w:after="0"/>
        <w:rPr>
          <w:sz w:val="20"/>
          <w:szCs w:val="20"/>
          <w:color w:val="auto"/>
        </w:rPr>
      </w:pPr>
      <w:r>
        <w:rPr>
          <w:rFonts w:ascii="Times New Roman" w:cs="Times New Roman" w:eastAsia="Times New Roman" w:hAnsi="Times New Roman"/>
          <w:sz w:val="16"/>
          <w:szCs w:val="16"/>
          <w:i w:val="1"/>
          <w:iCs w:val="1"/>
          <w:color w:val="auto"/>
        </w:rPr>
        <w:t>•A minimum of 4 members of the Board of Directors.</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•One of the members shall be the Chair.</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 A Secretary and an Assistant Secretary shall be elected from among the others.</w:t>
      </w:r>
    </w:p>
    <w:p>
      <w:pPr>
        <w:spacing w:after="0" w:line="2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b)Requirements:</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•They must be “independent” officers of CREDICORP.</w:t>
      </w:r>
    </w:p>
    <w:p>
      <w:pPr>
        <w:spacing w:after="0" w:line="204" w:lineRule="exact"/>
        <w:rPr>
          <w:sz w:val="20"/>
          <w:szCs w:val="20"/>
          <w:color w:val="auto"/>
        </w:rPr>
      </w:pPr>
    </w:p>
    <w:p>
      <w:pPr>
        <w:ind w:left="3" w:hanging="3"/>
        <w:spacing w:after="0" w:line="290" w:lineRule="auto"/>
        <w:tabs>
          <w:tab w:leader="none" w:pos="101" w:val="left"/>
        </w:tabs>
        <w:numPr>
          <w:ilvl w:val="0"/>
          <w:numId w:val="19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If there is no Audit Committee, it shall be understood that the entire Board assumes its functions. The above implies that the Committee shall be composed of Directors, but all Directors who make it up must be independent from CREDICORP.</w:t>
      </w:r>
    </w:p>
    <w:p>
      <w:pPr>
        <w:spacing w:after="0" w:line="138" w:lineRule="exact"/>
        <w:rPr>
          <w:rFonts w:ascii="Times New Roman" w:cs="Times New Roman" w:eastAsia="Times New Roman" w:hAnsi="Times New Roman"/>
          <w:sz w:val="16"/>
          <w:szCs w:val="16"/>
          <w:i w:val="1"/>
          <w:iCs w:val="1"/>
          <w:color w:val="auto"/>
        </w:rPr>
      </w:pPr>
    </w:p>
    <w:p>
      <w:pPr>
        <w:ind w:left="3" w:hanging="3"/>
        <w:spacing w:after="0" w:line="290" w:lineRule="auto"/>
        <w:tabs>
          <w:tab w:leader="none" w:pos="111" w:val="left"/>
        </w:tabs>
        <w:numPr>
          <w:ilvl w:val="0"/>
          <w:numId w:val="19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accordance with the Sarbanes–Oxley Act, no later than April 26, 2003, it must be ensured that all members of the Audit Committee are “independent,” meaning that they do not receive any additional compensation from CREDICORP other than fees for their service on the Board and/or the Committee.</w:t>
      </w:r>
    </w:p>
    <w:p>
      <w:pPr>
        <w:spacing w:after="0" w:line="138" w:lineRule="exact"/>
        <w:rPr>
          <w:rFonts w:ascii="Times New Roman" w:cs="Times New Roman" w:eastAsia="Times New Roman" w:hAnsi="Times New Roman"/>
          <w:sz w:val="16"/>
          <w:szCs w:val="16"/>
          <w:i w:val="1"/>
          <w:iCs w:val="1"/>
          <w:color w:val="auto"/>
        </w:rPr>
      </w:pPr>
    </w:p>
    <w:p>
      <w:pPr>
        <w:ind w:left="103" w:hanging="103"/>
        <w:spacing w:after="0"/>
        <w:tabs>
          <w:tab w:leader="none" w:pos="103" w:val="left"/>
        </w:tabs>
        <w:numPr>
          <w:ilvl w:val="0"/>
          <w:numId w:val="19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They must have knowledge of finance and basic accounting, which shall be evaluated by the Board based on their education or experience in this business area.</w:t>
      </w:r>
    </w:p>
    <w:p>
      <w:pPr>
        <w:spacing w:after="0" w:line="204" w:lineRule="exact"/>
        <w:rPr>
          <w:rFonts w:ascii="Times New Roman" w:cs="Times New Roman" w:eastAsia="Times New Roman" w:hAnsi="Times New Roman"/>
          <w:sz w:val="16"/>
          <w:szCs w:val="16"/>
          <w:i w:val="1"/>
          <w:iCs w:val="1"/>
          <w:color w:val="auto"/>
        </w:rPr>
      </w:pPr>
    </w:p>
    <w:p>
      <w:pPr>
        <w:ind w:left="3" w:hanging="3"/>
        <w:spacing w:after="0" w:line="290" w:lineRule="auto"/>
        <w:tabs>
          <w:tab w:leader="none" w:pos="105" w:val="left"/>
        </w:tabs>
        <w:numPr>
          <w:ilvl w:val="0"/>
          <w:numId w:val="19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accordance with the Sarbanes–Oxley Act, no later than January 26, 2003, it must be disclosed whether at least one of the members is a financial expert, or the reasons why such designation does not apply, within the criteria established by the SEC.</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146290"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150" w:name="page151"/>
    <w:bookmarkEnd w:id="150"/>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e) Prohibitions:</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Members of the Audit Committee may not include:</w:t>
      </w:r>
    </w:p>
    <w:p>
      <w:pPr>
        <w:spacing w:after="0" w:line="2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Employees</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•Those who, while serving as Directors, work at CREDICORP.</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•Those who are Managers or Officers of a subsidiary.</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•This restriction remains in effect for up to 5 years after the termination of the employment relationship.</w:t>
      </w:r>
    </w:p>
    <w:p>
      <w:pPr>
        <w:spacing w:after="0" w:line="2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Director</w:t>
      </w:r>
    </w:p>
    <w:p>
      <w:pPr>
        <w:spacing w:after="0" w:line="206" w:lineRule="exact"/>
        <w:rPr>
          <w:sz w:val="20"/>
          <w:szCs w:val="20"/>
          <w:color w:val="auto"/>
        </w:rPr>
      </w:pPr>
    </w:p>
    <w:p>
      <w:pPr>
        <w:ind w:left="3" w:right="3600" w:hanging="3"/>
        <w:spacing w:after="0" w:line="506" w:lineRule="auto"/>
        <w:tabs>
          <w:tab w:leader="none" w:pos="100" w:val="left"/>
        </w:tabs>
        <w:numPr>
          <w:ilvl w:val="0"/>
          <w:numId w:val="19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Any Director who is a partner, majority shareholder, or executive officer of a subsidiary or affiliate of CREDICORP. •Anyone who has a direct business relationship with CREDICORP.</w:t>
      </w:r>
    </w:p>
    <w:p>
      <w:pPr>
        <w:spacing w:after="0" w:line="1" w:lineRule="exact"/>
        <w:rPr>
          <w:rFonts w:ascii="Times New Roman" w:cs="Times New Roman" w:eastAsia="Times New Roman" w:hAnsi="Times New Roman"/>
          <w:sz w:val="16"/>
          <w:szCs w:val="16"/>
          <w:i w:val="1"/>
          <w:iCs w:val="1"/>
          <w:color w:val="auto"/>
        </w:rPr>
      </w:pPr>
    </w:p>
    <w:p>
      <w:pPr>
        <w:ind w:left="103" w:hanging="103"/>
        <w:spacing w:after="0"/>
        <w:tabs>
          <w:tab w:leader="none" w:pos="103" w:val="left"/>
        </w:tabs>
        <w:numPr>
          <w:ilvl w:val="0"/>
          <w:numId w:val="19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Anyone who performs advisory functions, unless the Company’s Board determines that such a relationship does not interfere with the Director’s independent judgment.</w:t>
      </w:r>
    </w:p>
    <w:p>
      <w:pPr>
        <w:spacing w:after="0" w:line="204" w:lineRule="exact"/>
        <w:rPr>
          <w:rFonts w:ascii="Times New Roman" w:cs="Times New Roman" w:eastAsia="Times New Roman" w:hAnsi="Times New Roman"/>
          <w:sz w:val="16"/>
          <w:szCs w:val="16"/>
          <w:i w:val="1"/>
          <w:iCs w:val="1"/>
          <w:color w:val="auto"/>
        </w:rPr>
      </w:pPr>
    </w:p>
    <w:p>
      <w:pPr>
        <w:ind w:left="3" w:hanging="3"/>
        <w:spacing w:after="0" w:line="290" w:lineRule="auto"/>
        <w:tabs>
          <w:tab w:leader="none" w:pos="119" w:val="left"/>
        </w:tabs>
        <w:numPr>
          <w:ilvl w:val="0"/>
          <w:numId w:val="19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Anyone who has immediate family members, up to the second degree of consanguinity, who are executive officers of CREDICORP or its subsidiaries. This restriction remains in effect for up to 5 years after the termination of the employment relationship.</w:t>
      </w:r>
    </w:p>
    <w:p>
      <w:pPr>
        <w:spacing w:after="0" w:line="13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No member of the Audit Committee may simultaneously serve in such capacity on the Audit Committees of more than two companies.</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Corporate Policies – Credicorp</w:t>
      </w:r>
    </w:p>
    <w:p>
      <w:pPr>
        <w:spacing w:after="0" w:line="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Policies</w:t>
      </w:r>
    </w:p>
    <w:p>
      <w:pPr>
        <w:spacing w:after="0" w:line="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Code of Ethics</w:t>
      </w:r>
    </w:p>
    <w:p>
      <w:pPr>
        <w:spacing w:after="0" w:line="18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1. Scope</w:t>
      </w:r>
    </w:p>
    <w:p>
      <w:pPr>
        <w:spacing w:after="0" w:line="206" w:lineRule="exact"/>
        <w:rPr>
          <w:sz w:val="20"/>
          <w:szCs w:val="20"/>
          <w:color w:val="auto"/>
        </w:rPr>
      </w:pPr>
    </w:p>
    <w:p>
      <w:pPr>
        <w:ind w:left="3"/>
        <w:spacing w:after="0" w:line="290" w:lineRule="auto"/>
        <w:rPr>
          <w:sz w:val="20"/>
          <w:szCs w:val="20"/>
          <w:color w:val="auto"/>
        </w:rPr>
      </w:pPr>
      <w:r>
        <w:rPr>
          <w:rFonts w:ascii="Times New Roman" w:cs="Times New Roman" w:eastAsia="Times New Roman" w:hAnsi="Times New Roman"/>
          <w:sz w:val="16"/>
          <w:szCs w:val="16"/>
          <w:i w:val="1"/>
          <w:iCs w:val="1"/>
          <w:color w:val="auto"/>
        </w:rPr>
        <w:t>The Directors, the Executive Chairman, the Finance and Accounting Manager, as well as Management, Executive Officers, and the personnel of CREDICORP and its subsidiaries, shall comply with the provisions of this Code in the following:</w:t>
      </w:r>
    </w:p>
    <w:p>
      <w:pPr>
        <w:spacing w:after="0" w:line="138" w:lineRule="exact"/>
        <w:rPr>
          <w:sz w:val="20"/>
          <w:szCs w:val="20"/>
          <w:color w:val="auto"/>
        </w:rPr>
      </w:pPr>
    </w:p>
    <w:p>
      <w:pPr>
        <w:ind w:left="103" w:hanging="103"/>
        <w:spacing w:after="0"/>
        <w:tabs>
          <w:tab w:leader="none" w:pos="103" w:val="left"/>
        </w:tabs>
        <w:numPr>
          <w:ilvl w:val="0"/>
          <w:numId w:val="19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their professional performance, consistently striving to achieve maximum levels or standards.</w:t>
      </w:r>
    </w:p>
    <w:p>
      <w:pPr>
        <w:spacing w:after="0" w:line="204" w:lineRule="exact"/>
        <w:rPr>
          <w:rFonts w:ascii="Times New Roman" w:cs="Times New Roman" w:eastAsia="Times New Roman" w:hAnsi="Times New Roman"/>
          <w:sz w:val="16"/>
          <w:szCs w:val="16"/>
          <w:i w:val="1"/>
          <w:iCs w:val="1"/>
          <w:color w:val="auto"/>
        </w:rPr>
      </w:pPr>
    </w:p>
    <w:p>
      <w:pPr>
        <w:ind w:left="103" w:hanging="103"/>
        <w:spacing w:after="0"/>
        <w:tabs>
          <w:tab w:leader="none" w:pos="103" w:val="left"/>
        </w:tabs>
        <w:numPr>
          <w:ilvl w:val="0"/>
          <w:numId w:val="19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their ethical conduct of obedience and respect for the laws of the cities and countries in which CREDICORP operates.</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3. Ethical Principles</w:t>
      </w:r>
    </w:p>
    <w:p>
      <w:pPr>
        <w:spacing w:after="0" w:line="206" w:lineRule="exact"/>
        <w:rPr>
          <w:sz w:val="20"/>
          <w:szCs w:val="20"/>
          <w:color w:val="auto"/>
        </w:rPr>
      </w:pPr>
    </w:p>
    <w:p>
      <w:pPr>
        <w:ind w:left="183" w:hanging="183"/>
        <w:spacing w:after="0"/>
        <w:tabs>
          <w:tab w:leader="none" w:pos="183" w:val="left"/>
        </w:tabs>
        <w:numPr>
          <w:ilvl w:val="0"/>
          <w:numId w:val="19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have full knowledge of the objectives of this Code and of the business.</w:t>
      </w:r>
    </w:p>
    <w:p>
      <w:pPr>
        <w:spacing w:after="0" w:line="204" w:lineRule="exact"/>
        <w:rPr>
          <w:rFonts w:ascii="Times New Roman" w:cs="Times New Roman" w:eastAsia="Times New Roman" w:hAnsi="Times New Roman"/>
          <w:sz w:val="16"/>
          <w:szCs w:val="16"/>
          <w:i w:val="1"/>
          <w:iCs w:val="1"/>
          <w:color w:val="auto"/>
        </w:rPr>
      </w:pPr>
    </w:p>
    <w:p>
      <w:pPr>
        <w:ind w:left="3" w:hanging="3"/>
        <w:spacing w:after="0" w:line="217" w:lineRule="exact"/>
        <w:tabs>
          <w:tab w:leader="none" w:pos="201" w:val="left"/>
        </w:tabs>
        <w:numPr>
          <w:ilvl w:val="0"/>
          <w:numId w:val="19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contribute to ensuring that CREDICORP continues in the development of its business strategy, strengthens its leadership in the activities it carries out, delivers high</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quality service, and achieves adequate satisfaction for our clients.</w:t>
      </w:r>
    </w:p>
    <w:p>
      <w:pPr>
        <w:spacing w:after="0" w:line="150" w:lineRule="exact"/>
        <w:rPr>
          <w:rFonts w:ascii="Times New Roman" w:cs="Times New Roman" w:eastAsia="Times New Roman" w:hAnsi="Times New Roman"/>
          <w:sz w:val="16"/>
          <w:szCs w:val="16"/>
          <w:i w:val="1"/>
          <w:iCs w:val="1"/>
          <w:color w:val="auto"/>
        </w:rPr>
      </w:pPr>
    </w:p>
    <w:p>
      <w:pPr>
        <w:ind w:left="163" w:hanging="163"/>
        <w:spacing w:after="0"/>
        <w:tabs>
          <w:tab w:leader="none" w:pos="163" w:val="left"/>
        </w:tabs>
        <w:numPr>
          <w:ilvl w:val="0"/>
          <w:numId w:val="19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uphold CREDICORP’s good name, social and corporate responsibility through honest, fair, lawful, and transparent results.</w:t>
      </w:r>
    </w:p>
    <w:p>
      <w:pPr>
        <w:spacing w:after="0" w:line="204" w:lineRule="exact"/>
        <w:rPr>
          <w:rFonts w:ascii="Times New Roman" w:cs="Times New Roman" w:eastAsia="Times New Roman" w:hAnsi="Times New Roman"/>
          <w:sz w:val="16"/>
          <w:szCs w:val="16"/>
          <w:i w:val="1"/>
          <w:iCs w:val="1"/>
          <w:color w:val="auto"/>
        </w:rPr>
      </w:pPr>
    </w:p>
    <w:p>
      <w:pPr>
        <w:ind w:left="183" w:hanging="183"/>
        <w:spacing w:after="0"/>
        <w:tabs>
          <w:tab w:leader="none" w:pos="183" w:val="left"/>
        </w:tabs>
        <w:numPr>
          <w:ilvl w:val="0"/>
          <w:numId w:val="19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compete fairly and honestly, with a sense of justice, through efficient, effective, ethical, and lawful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7146290"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19" w:right="339" w:bottom="1440" w:gutter="0" w:footer="0" w:header="0"/>
        </w:sectPr>
      </w:pPr>
    </w:p>
    <w:bookmarkStart w:id="151" w:name="page152"/>
    <w:bookmarkEnd w:id="151"/>
    <w:p>
      <w:pPr>
        <w:ind w:left="3" w:right="20" w:hanging="3"/>
        <w:spacing w:after="0" w:line="290" w:lineRule="auto"/>
        <w:tabs>
          <w:tab w:leader="none" w:pos="191" w:val="left"/>
        </w:tabs>
        <w:numPr>
          <w:ilvl w:val="0"/>
          <w:numId w:val="19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avoid obtaining advantages through manipulation, concealment, abuse of privileged information, distortion of material facts, or any other unfair and intentional business practice.</w:t>
      </w:r>
    </w:p>
    <w:p>
      <w:pPr>
        <w:spacing w:after="0" w:line="138" w:lineRule="exact"/>
        <w:rPr>
          <w:rFonts w:ascii="Times New Roman" w:cs="Times New Roman" w:eastAsia="Times New Roman" w:hAnsi="Times New Roman"/>
          <w:sz w:val="16"/>
          <w:szCs w:val="16"/>
          <w:i w:val="1"/>
          <w:iCs w:val="1"/>
          <w:color w:val="auto"/>
        </w:rPr>
      </w:pPr>
    </w:p>
    <w:p>
      <w:pPr>
        <w:ind w:left="143" w:hanging="143"/>
        <w:spacing w:after="0"/>
        <w:tabs>
          <w:tab w:leader="none" w:pos="143" w:val="left"/>
        </w:tabs>
        <w:numPr>
          <w:ilvl w:val="0"/>
          <w:numId w:val="19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ensure that financial reports issued are transparent, complete, reach accurate conclusions, and are submitted in a timely manner to the requesting authorities.</w:t>
      </w:r>
    </w:p>
    <w:p>
      <w:pPr>
        <w:spacing w:after="0" w:line="204" w:lineRule="exact"/>
        <w:rPr>
          <w:rFonts w:ascii="Times New Roman" w:cs="Times New Roman" w:eastAsia="Times New Roman" w:hAnsi="Times New Roman"/>
          <w:sz w:val="16"/>
          <w:szCs w:val="16"/>
          <w:i w:val="1"/>
          <w:iCs w:val="1"/>
          <w:color w:val="auto"/>
        </w:rPr>
      </w:pPr>
    </w:p>
    <w:p>
      <w:pPr>
        <w:ind w:left="3" w:right="20" w:hanging="3"/>
        <w:spacing w:after="0" w:line="290" w:lineRule="auto"/>
        <w:tabs>
          <w:tab w:leader="none" w:pos="192" w:val="left"/>
        </w:tabs>
        <w:numPr>
          <w:ilvl w:val="0"/>
          <w:numId w:val="19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highlight that the work performed requires practicing values of integrity, confidentiality, and loyalty, as well as respect and appreciation for human beings in their privacy, individuality, and dignity.</w:t>
      </w:r>
    </w:p>
    <w:p>
      <w:pPr>
        <w:spacing w:after="0" w:line="104" w:lineRule="exact"/>
        <w:rPr>
          <w:rFonts w:ascii="Times New Roman" w:cs="Times New Roman" w:eastAsia="Times New Roman" w:hAnsi="Times New Roman"/>
          <w:sz w:val="16"/>
          <w:szCs w:val="16"/>
          <w:i w:val="1"/>
          <w:iCs w:val="1"/>
          <w:color w:val="auto"/>
        </w:rPr>
      </w:pPr>
    </w:p>
    <w:p>
      <w:pPr>
        <w:ind w:left="3" w:right="20" w:hanging="3"/>
        <w:spacing w:after="0" w:line="221" w:lineRule="exact"/>
        <w:tabs>
          <w:tab w:leader="none" w:pos="186" w:val="left"/>
        </w:tabs>
        <w:numPr>
          <w:ilvl w:val="0"/>
          <w:numId w:val="19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consider unacceptable any attitude related to prejudice—whether racial, religious, social, gender</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based, color</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based, disability</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based, or age</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based—as well as any other type or form of discrimination.</w:t>
      </w:r>
    </w:p>
    <w:p>
      <w:pPr>
        <w:spacing w:after="0" w:line="1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4. Principles of Relations with Other Persons</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a) Avoid any situation in which a person’s private interests interfere with the interests of the Corporation. Among these cases, we include the following:</w:t>
      </w:r>
    </w:p>
    <w:p>
      <w:pPr>
        <w:spacing w:after="0" w:line="204" w:lineRule="exact"/>
        <w:rPr>
          <w:sz w:val="20"/>
          <w:szCs w:val="20"/>
          <w:color w:val="auto"/>
        </w:rPr>
      </w:pPr>
    </w:p>
    <w:p>
      <w:pPr>
        <w:ind w:left="3" w:hanging="3"/>
        <w:spacing w:after="0" w:line="265" w:lineRule="auto"/>
        <w:tabs>
          <w:tab w:leader="none" w:pos="112" w:val="left"/>
        </w:tabs>
        <w:numPr>
          <w:ilvl w:val="0"/>
          <w:numId w:val="19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When any Director, Manager, Officer, or Employee takes any action or has any interest that could make another person’s work in the company difficult, objectively and effectively.</w:t>
      </w:r>
    </w:p>
    <w:p>
      <w:pPr>
        <w:ind w:left="3" w:right="20" w:hanging="3"/>
        <w:spacing w:after="0" w:line="266" w:lineRule="auto"/>
        <w:tabs>
          <w:tab w:leader="none" w:pos="102" w:val="left"/>
        </w:tabs>
        <w:numPr>
          <w:ilvl w:val="0"/>
          <w:numId w:val="19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When a Director, Manager, Officer, or Employee—or members of their family—receives improper personal benefits as a result of the position that such person holds within the Corporation.</w:t>
      </w:r>
    </w:p>
    <w:p>
      <w:pPr>
        <w:spacing w:after="0" w:line="157" w:lineRule="exact"/>
        <w:rPr>
          <w:sz w:val="20"/>
          <w:szCs w:val="20"/>
          <w:color w:val="auto"/>
        </w:rPr>
      </w:pPr>
    </w:p>
    <w:p>
      <w:pPr>
        <w:ind w:left="3" w:right="20" w:hanging="3"/>
        <w:spacing w:after="0" w:line="290" w:lineRule="auto"/>
        <w:tabs>
          <w:tab w:leader="none" w:pos="191" w:val="left"/>
        </w:tabs>
        <w:numPr>
          <w:ilvl w:val="0"/>
          <w:numId w:val="19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Do not receive gifts or refrain from participating in events that reveal the donor’s intent to influence an employee or compensate them for any business or transaction carried out with CREDICORP, whether before or after such transaction has taken place.</w:t>
      </w:r>
    </w:p>
    <w:p>
      <w:pPr>
        <w:spacing w:after="0" w:line="138" w:lineRule="exact"/>
        <w:rPr>
          <w:rFonts w:ascii="Times New Roman" w:cs="Times New Roman" w:eastAsia="Times New Roman" w:hAnsi="Times New Roman"/>
          <w:sz w:val="16"/>
          <w:szCs w:val="16"/>
          <w:i w:val="1"/>
          <w:iCs w:val="1"/>
          <w:color w:val="auto"/>
        </w:rPr>
      </w:pPr>
    </w:p>
    <w:p>
      <w:pPr>
        <w:ind w:left="163" w:hanging="163"/>
        <w:spacing w:after="0"/>
        <w:tabs>
          <w:tab w:leader="none" w:pos="163" w:val="left"/>
        </w:tabs>
        <w:numPr>
          <w:ilvl w:val="0"/>
          <w:numId w:val="19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No CREDICORP employee may request, ask for, or accept gifts as a condition for generating business transactions with the Corporation.</w:t>
      </w:r>
    </w:p>
    <w:p>
      <w:pPr>
        <w:spacing w:after="0" w:line="204" w:lineRule="exact"/>
        <w:rPr>
          <w:rFonts w:ascii="Times New Roman" w:cs="Times New Roman" w:eastAsia="Times New Roman" w:hAnsi="Times New Roman"/>
          <w:sz w:val="16"/>
          <w:szCs w:val="16"/>
          <w:i w:val="1"/>
          <w:iCs w:val="1"/>
          <w:color w:val="auto"/>
        </w:rPr>
      </w:pPr>
    </w:p>
    <w:p>
      <w:pPr>
        <w:ind w:left="3" w:right="20" w:hanging="3"/>
        <w:spacing w:after="0" w:line="290" w:lineRule="auto"/>
        <w:tabs>
          <w:tab w:leader="none" w:pos="209" w:val="left"/>
        </w:tabs>
        <w:numPr>
          <w:ilvl w:val="0"/>
          <w:numId w:val="19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our relations with clients, maintain the commitment to satisfy them while respecting their rights and seeking solutions that align with their interests and with CREDICORP’s objectives.</w:t>
      </w:r>
    </w:p>
    <w:p>
      <w:pPr>
        <w:spacing w:after="0" w:line="138" w:lineRule="exact"/>
        <w:rPr>
          <w:rFonts w:ascii="Times New Roman" w:cs="Times New Roman" w:eastAsia="Times New Roman" w:hAnsi="Times New Roman"/>
          <w:sz w:val="16"/>
          <w:szCs w:val="16"/>
          <w:i w:val="1"/>
          <w:iCs w:val="1"/>
          <w:color w:val="auto"/>
        </w:rPr>
      </w:pPr>
    </w:p>
    <w:p>
      <w:pPr>
        <w:ind w:left="163" w:hanging="163"/>
        <w:spacing w:after="0"/>
        <w:tabs>
          <w:tab w:leader="none" w:pos="163" w:val="left"/>
        </w:tabs>
        <w:numPr>
          <w:ilvl w:val="0"/>
          <w:numId w:val="19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relations with our colleagues, offer respect and courtesy, to strengthen within CREDICORP the practice of values aimed at fostering teamwork, loyalty, and trust.</w:t>
      </w:r>
    </w:p>
    <w:p>
      <w:pPr>
        <w:spacing w:after="0" w:line="170" w:lineRule="exact"/>
        <w:rPr>
          <w:rFonts w:ascii="Times New Roman" w:cs="Times New Roman" w:eastAsia="Times New Roman" w:hAnsi="Times New Roman"/>
          <w:sz w:val="16"/>
          <w:szCs w:val="16"/>
          <w:i w:val="1"/>
          <w:iCs w:val="1"/>
          <w:color w:val="auto"/>
        </w:rPr>
      </w:pPr>
    </w:p>
    <w:p>
      <w:pPr>
        <w:ind w:left="3" w:right="20" w:hanging="3"/>
        <w:spacing w:after="0" w:line="221" w:lineRule="exact"/>
        <w:tabs>
          <w:tab w:leader="none" w:pos="149" w:val="left"/>
        </w:tabs>
        <w:numPr>
          <w:ilvl w:val="0"/>
          <w:numId w:val="19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our relations with the public sector, observe the highest standards of honesty and integrity in all interactions with public</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sector administrators and employees, always avoiding any conduct that may appear improper.</w:t>
      </w:r>
    </w:p>
    <w:p>
      <w:pPr>
        <w:spacing w:after="0" w:line="176" w:lineRule="exact"/>
        <w:rPr>
          <w:rFonts w:ascii="Times New Roman" w:cs="Times New Roman" w:eastAsia="Times New Roman" w:hAnsi="Times New Roman"/>
          <w:sz w:val="16"/>
          <w:szCs w:val="16"/>
          <w:i w:val="1"/>
          <w:iCs w:val="1"/>
          <w:color w:val="auto"/>
        </w:rPr>
      </w:pPr>
    </w:p>
    <w:p>
      <w:pPr>
        <w:ind w:left="183" w:hanging="183"/>
        <w:spacing w:after="0"/>
        <w:tabs>
          <w:tab w:leader="none" w:pos="183" w:val="left"/>
        </w:tabs>
        <w:numPr>
          <w:ilvl w:val="0"/>
          <w:numId w:val="19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our relations with competitors, develop fair competition in our operations and interactions with other companies in the market.</w:t>
      </w:r>
    </w:p>
    <w:p>
      <w:pPr>
        <w:spacing w:after="0" w:line="204" w:lineRule="exact"/>
        <w:rPr>
          <w:sz w:val="20"/>
          <w:szCs w:val="20"/>
          <w:color w:val="auto"/>
        </w:rPr>
      </w:pPr>
    </w:p>
    <w:p>
      <w:pPr>
        <w:jc w:val="both"/>
        <w:ind w:left="3" w:hanging="3"/>
        <w:spacing w:after="0" w:line="265" w:lineRule="auto"/>
        <w:tabs>
          <w:tab w:leader="none" w:pos="250" w:val="left"/>
        </w:tabs>
        <w:numPr>
          <w:ilvl w:val="0"/>
          <w:numId w:val="1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Furthermore, regarding the circumstances surrounding the commission of the infraction related to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it must be noted that the Issuer’s Internal Conduct Rules (NICs) were amended, as evidenced in the material event submitted on June 26, 2014 (Case File No. 2014024298), and remained in force during the year</w:t>
      </w:r>
    </w:p>
    <w:p>
      <w:pPr>
        <w:ind w:left="3"/>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2016. These NICs of the Issuer for 2016 established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146290"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b w:val="1"/>
          <w:bCs w:val="1"/>
          <w:i w:val="1"/>
          <w:iCs w:val="1"/>
          <w:color w:val="auto"/>
        </w:rPr>
        <w:t>II. SCOPE OF APPLICATION</w:t>
      </w:r>
    </w:p>
    <w:p>
      <w:pPr>
        <w:spacing w:after="0" w:line="20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The Company, in the exercise of its activities, its representatives, and the persons who directly or indirectly are related to them must observe the following Internal Rules of Conduct, as well as follow the procedures established therein.</w:t>
      </w:r>
    </w:p>
    <w:p>
      <w:pPr>
        <w:spacing w:after="0" w:line="13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i w:val="1"/>
          <w:iCs w:val="1"/>
          <w:u w:val="single" w:color="auto"/>
          <w:color w:val="auto"/>
        </w:rPr>
        <w:t>The purpose of these Internal Rules of Conduct is to contribute to better compliance with the regulations in force regarding Material Events and Reserved Information, through the establishment of procedures and mechanisms that: i) ensure the confidentiality of reserved or privileged information, and ii) enable the preparation and communication of Material Events to be reported to the SMV</w:t>
      </w:r>
      <w:r>
        <w:rPr>
          <w:rFonts w:ascii="Times New Roman" w:cs="Times New Roman" w:eastAsia="Times New Roman" w:hAnsi="Times New Roman"/>
          <w:sz w:val="16"/>
          <w:szCs w:val="16"/>
          <w:i w:val="1"/>
          <w:iCs w:val="1"/>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These Internal Rules of Conduct have the following scope of application: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w:t>
      </w:r>
      <w:r>
        <w:rPr>
          <w:rFonts w:ascii="Times New Roman" w:cs="Times New Roman" w:eastAsia="Times New Roman" w:hAnsi="Times New Roman"/>
          <w:sz w:val="16"/>
          <w:szCs w:val="16"/>
          <w:i w:val="1"/>
          <w:iCs w:val="1"/>
          <w:u w:val="single" w:color="auto"/>
          <w:color w:val="auto"/>
        </w:rPr>
        <w:t>Covered Persons (persons subject to these Rules)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Employees who, by virtue of their duties, may be considered subject to these Internal Rules of Conduct.</w:t>
      </w:r>
    </w:p>
    <w:p>
      <w:pPr>
        <w:spacing w:after="0" w:line="187"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Advisors to the Company are also considered covered persons, as well as any individuals identified in previous sections who, due to their functions, services rendered to the Company, or access to Privileged Information, have a relationship with the covered securities.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VI. </w:t>
      </w:r>
      <w:r>
        <w:rPr>
          <w:rFonts w:ascii="Times New Roman" w:cs="Times New Roman" w:eastAsia="Times New Roman" w:hAnsi="Times New Roman"/>
          <w:sz w:val="16"/>
          <w:szCs w:val="16"/>
          <w:b w:val="1"/>
          <w:bCs w:val="1"/>
          <w:i w:val="1"/>
          <w:iCs w:val="1"/>
          <w:u w:val="single" w:color="auto"/>
          <w:color w:val="auto"/>
        </w:rPr>
        <w:t>CLASSIFICATION OF MATERIAL EVENTS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It is the responsibility of the Manager who becomes aware of the event, occurrence, or incident to evaluate its scope and determine its classification as a Material Event.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i w:val="1"/>
          <w:iCs w:val="1"/>
          <w:color w:val="auto"/>
        </w:rPr>
        <w:t>The classification of an event, occurrence, or incident as a Material Event, as defined in these Internal Rules and in the Regulations, must be carried out in accordance with the guidelines established by the Regulations. In case of doubt, the Manager must consult with their immediate superior, in coordination with the Office of the Corporate Secretary or the Legal Division, regarding the classification of the event as a Material Event.</w:t>
      </w:r>
    </w:p>
    <w:p>
      <w:pPr>
        <w:spacing w:after="0" w:line="15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i w:val="1"/>
          <w:iCs w:val="1"/>
          <w:color w:val="auto"/>
        </w:rPr>
        <w:t>To assess the capacity of the information to significantly influence and its possible classification as a Material Event, the relevance of the act, agreement, fact, ongoing negotiation, decision, or set of circumstances in its activity, assets, results, financial situation, or business or commercial position in general must be considered, as well as its impact on the securities or on their supply; and on the price or trading of such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annex to this document includes an illustrative list of facts, acts, agreements, and decisions that could qualify as a Material Event.</w:t>
      </w:r>
    </w:p>
    <w:p>
      <w:pPr>
        <w:spacing w:after="0" w:line="20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Managers are responsible for classifying Material Events and must instruct the personnel under their supervision to immediately report to their superiors any event or incident that may constitute a Material Event and of which they become aware in the course of their duties.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general principles governing actions related to Material Events are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234315</wp:posOffset>
            </wp:positionV>
            <wp:extent cx="7146290"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9" w:right="319" w:bottom="1440" w:gutter="0" w:footer="0" w:header="0"/>
        </w:sectPr>
      </w:pPr>
    </w:p>
    <w:bookmarkStart w:id="153" w:name="page154"/>
    <w:bookmarkEnd w:id="153"/>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a)Confidentiality</w:t>
      </w:r>
    </w:p>
    <w:p>
      <w:pPr>
        <w:spacing w:after="0" w:line="206" w:lineRule="exact"/>
        <w:rPr>
          <w:sz w:val="20"/>
          <w:szCs w:val="20"/>
          <w:color w:val="auto"/>
        </w:rPr>
      </w:pPr>
    </w:p>
    <w:p>
      <w:pPr>
        <w:jc w:val="both"/>
        <w:ind w:left="3" w:right="20"/>
        <w:spacing w:after="0" w:line="290" w:lineRule="auto"/>
        <w:rPr>
          <w:sz w:val="20"/>
          <w:szCs w:val="20"/>
          <w:color w:val="auto"/>
        </w:rPr>
      </w:pPr>
      <w:r>
        <w:rPr>
          <w:rFonts w:ascii="Times New Roman" w:cs="Times New Roman" w:eastAsia="Times New Roman" w:hAnsi="Times New Roman"/>
          <w:sz w:val="16"/>
          <w:szCs w:val="16"/>
          <w:i w:val="1"/>
          <w:iCs w:val="1"/>
          <w:color w:val="auto"/>
        </w:rPr>
        <w:t>During the period of preparation, planning, or analysis of a decision that may give rise to a material event, the Company shall maintain a stance of confidentiality in order to avoid confusion and the creation of false expectations in the markets.</w:t>
      </w:r>
    </w:p>
    <w:p>
      <w:pPr>
        <w:spacing w:after="0" w:line="13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b)Transparency</w:t>
      </w:r>
    </w:p>
    <w:p>
      <w:pPr>
        <w:spacing w:after="0" w:line="206" w:lineRule="exact"/>
        <w:rPr>
          <w:sz w:val="20"/>
          <w:szCs w:val="20"/>
          <w:color w:val="auto"/>
        </w:rPr>
      </w:pPr>
    </w:p>
    <w:p>
      <w:pPr>
        <w:jc w:val="both"/>
        <w:ind w:left="3"/>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The Company shall provide the highest level of transparency regarding information that is relevant to investors or to the market in general, </w:t>
      </w:r>
      <w:r>
        <w:rPr>
          <w:rFonts w:ascii="Times New Roman" w:cs="Times New Roman" w:eastAsia="Times New Roman" w:hAnsi="Times New Roman"/>
          <w:sz w:val="16"/>
          <w:szCs w:val="16"/>
          <w:i w:val="1"/>
          <w:iCs w:val="1"/>
          <w:u w:val="single" w:color="auto"/>
          <w:color w:val="auto"/>
        </w:rPr>
        <w:t>with the purpose of contributing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to the accurate disclosure of material events that must be communicated in accordance with the provisions of the Regulations, all persons subject to these Rules are required to take an active role in this regard</w:t>
      </w:r>
      <w:r>
        <w:rPr>
          <w:rFonts w:ascii="Times New Roman" w:cs="Times New Roman" w:eastAsia="Times New Roman" w:hAnsi="Times New Roman"/>
          <w:sz w:val="16"/>
          <w:szCs w:val="16"/>
          <w:i w:val="1"/>
          <w:iCs w:val="1"/>
          <w:color w:val="auto"/>
        </w:rPr>
        <w:t>.</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c)Neutrality</w:t>
      </w:r>
    </w:p>
    <w:p>
      <w:pPr>
        <w:spacing w:after="0" w:line="206" w:lineRule="exact"/>
        <w:rPr>
          <w:sz w:val="20"/>
          <w:szCs w:val="20"/>
          <w:color w:val="auto"/>
        </w:rPr>
      </w:pPr>
    </w:p>
    <w:p>
      <w:pPr>
        <w:jc w:val="both"/>
        <w:ind w:left="3" w:right="20"/>
        <w:spacing w:after="0" w:line="290" w:lineRule="auto"/>
        <w:rPr>
          <w:sz w:val="20"/>
          <w:szCs w:val="20"/>
          <w:color w:val="auto"/>
        </w:rPr>
      </w:pPr>
      <w:r>
        <w:rPr>
          <w:rFonts w:ascii="Times New Roman" w:cs="Times New Roman" w:eastAsia="Times New Roman" w:hAnsi="Times New Roman"/>
          <w:sz w:val="16"/>
          <w:szCs w:val="16"/>
          <w:i w:val="1"/>
          <w:iCs w:val="1"/>
          <w:color w:val="auto"/>
        </w:rPr>
        <w:t>Whenever possible, both the communication of Material Events and the periodic public information must be presented objectively, in such a way that no subjective comments are included.</w:t>
      </w:r>
    </w:p>
    <w:p>
      <w:pPr>
        <w:spacing w:after="0" w:line="13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d)</w:t>
      </w:r>
      <w:r>
        <w:rPr>
          <w:rFonts w:ascii="Times New Roman" w:cs="Times New Roman" w:eastAsia="Times New Roman" w:hAnsi="Times New Roman"/>
          <w:sz w:val="16"/>
          <w:szCs w:val="16"/>
          <w:b w:val="1"/>
          <w:bCs w:val="1"/>
          <w:i w:val="1"/>
          <w:iCs w:val="1"/>
          <w:u w:val="single" w:color="auto"/>
          <w:color w:val="auto"/>
        </w:rPr>
        <w:t>Cooperation</w:t>
      </w:r>
    </w:p>
    <w:p>
      <w:pPr>
        <w:spacing w:after="0" w:line="206" w:lineRule="exact"/>
        <w:rPr>
          <w:sz w:val="20"/>
          <w:szCs w:val="20"/>
          <w:color w:val="auto"/>
        </w:rPr>
      </w:pPr>
    </w:p>
    <w:p>
      <w:pPr>
        <w:jc w:val="both"/>
        <w:ind w:left="3" w:right="20"/>
        <w:spacing w:after="0" w:line="290" w:lineRule="auto"/>
        <w:rPr>
          <w:sz w:val="20"/>
          <w:szCs w:val="20"/>
          <w:color w:val="auto"/>
        </w:rPr>
      </w:pPr>
      <w:r>
        <w:rPr>
          <w:rFonts w:ascii="Times New Roman" w:cs="Times New Roman" w:eastAsia="Times New Roman" w:hAnsi="Times New Roman"/>
          <w:sz w:val="16"/>
          <w:szCs w:val="16"/>
          <w:i w:val="1"/>
          <w:iCs w:val="1"/>
          <w:u w:val="single" w:color="auto"/>
          <w:color w:val="auto"/>
        </w:rPr>
        <w:t>All persons covered by these Rules must provide, at all times, their fullest cooperation to the supervisory and regulatory authorities of the markets, as well as to the Securities Representative</w:t>
      </w:r>
      <w:r>
        <w:rPr>
          <w:rFonts w:ascii="Times New Roman" w:cs="Times New Roman" w:eastAsia="Times New Roman" w:hAnsi="Times New Roman"/>
          <w:sz w:val="16"/>
          <w:szCs w:val="16"/>
          <w:i w:val="1"/>
          <w:iCs w:val="1"/>
          <w:color w:val="auto"/>
        </w:rPr>
        <w:t>.</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t>
      </w:r>
    </w:p>
    <w:p>
      <w:pPr>
        <w:spacing w:after="0" w:line="202" w:lineRule="exact"/>
        <w:rPr>
          <w:sz w:val="20"/>
          <w:szCs w:val="20"/>
          <w:color w:val="auto"/>
        </w:rPr>
      </w:pPr>
    </w:p>
    <w:p>
      <w:pPr>
        <w:jc w:val="both"/>
        <w:ind w:left="3" w:right="20"/>
        <w:spacing w:after="0" w:line="290" w:lineRule="auto"/>
        <w:rPr>
          <w:sz w:val="20"/>
          <w:szCs w:val="20"/>
          <w:color w:val="auto"/>
        </w:rPr>
      </w:pPr>
      <w:r>
        <w:rPr>
          <w:rFonts w:ascii="Times New Roman" w:cs="Times New Roman" w:eastAsia="Times New Roman" w:hAnsi="Times New Roman"/>
          <w:sz w:val="16"/>
          <w:szCs w:val="16"/>
          <w:i w:val="1"/>
          <w:iCs w:val="1"/>
          <w:color w:val="auto"/>
        </w:rPr>
        <w:t>This document, together with a copy of the legal provisions in force referred to in the previous section, shall be made known to the persons who fall within the scope of application of the Internal Rules of Conduct through the Company’s website.</w:t>
      </w:r>
    </w:p>
    <w:p>
      <w:pPr>
        <w:spacing w:after="0" w:line="13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APPROVAL OF THE INTERNAL RULES OF CONDUCT</w:t>
      </w:r>
    </w:p>
    <w:p>
      <w:pPr>
        <w:spacing w:after="0" w:line="206" w:lineRule="exact"/>
        <w:rPr>
          <w:sz w:val="20"/>
          <w:szCs w:val="20"/>
          <w:color w:val="auto"/>
        </w:rPr>
      </w:pPr>
    </w:p>
    <w:p>
      <w:pPr>
        <w:jc w:val="both"/>
        <w:ind w:left="3" w:right="20"/>
        <w:spacing w:after="0" w:line="290" w:lineRule="auto"/>
        <w:rPr>
          <w:sz w:val="20"/>
          <w:szCs w:val="20"/>
          <w:color w:val="auto"/>
        </w:rPr>
      </w:pPr>
      <w:r>
        <w:rPr>
          <w:rFonts w:ascii="Times New Roman" w:cs="Times New Roman" w:eastAsia="Times New Roman" w:hAnsi="Times New Roman"/>
          <w:sz w:val="16"/>
          <w:szCs w:val="16"/>
          <w:i w:val="1"/>
          <w:iCs w:val="1"/>
          <w:color w:val="auto"/>
        </w:rPr>
        <w:t>The Company’s Board of Directors approved, in its session held on June 25, 2014, the Internal Rules of Conduct, which establish the procedures, bodies, and mechanisms that must be applied to ensure compliance with the Regulations on Material Events and Reserved Information.</w:t>
      </w:r>
    </w:p>
    <w:p>
      <w:pPr>
        <w:spacing w:after="0" w:line="138" w:lineRule="exact"/>
        <w:rPr>
          <w:sz w:val="20"/>
          <w:szCs w:val="20"/>
          <w:color w:val="auto"/>
        </w:rPr>
      </w:pPr>
    </w:p>
    <w:p>
      <w:pPr>
        <w:jc w:val="both"/>
        <w:ind w:left="3" w:right="20" w:hanging="3"/>
        <w:spacing w:after="0" w:line="271" w:lineRule="auto"/>
        <w:tabs>
          <w:tab w:leader="none" w:pos="257" w:val="left"/>
        </w:tabs>
        <w:numPr>
          <w:ilvl w:val="0"/>
          <w:numId w:val="2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As shown in the texts above, the Issuer’s NICs in force during 2010, 2011, and 2016—the years in which the infractions related to </w:t>
      </w:r>
      <w:r>
        <w:rPr>
          <w:rFonts w:ascii="Times New Roman" w:cs="Times New Roman" w:eastAsia="Times New Roman" w:hAnsi="Times New Roman"/>
          <w:sz w:val="16"/>
          <w:szCs w:val="16"/>
          <w:b w:val="1"/>
          <w:bCs w:val="1"/>
          <w:color w:val="auto"/>
        </w:rPr>
        <w:t>THE 2011 INFORMATION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 xml:space="preserve">THE 2016 AGREEMENT </w:t>
      </w:r>
      <w:r>
        <w:rPr>
          <w:rFonts w:ascii="Times New Roman" w:cs="Times New Roman" w:eastAsia="Times New Roman" w:hAnsi="Times New Roman"/>
          <w:sz w:val="16"/>
          <w:szCs w:val="16"/>
          <w:color w:val="auto"/>
        </w:rPr>
        <w:t>occurred—formally established all provisions necessary to ensure proper compliance with the Issuer’s obligation to disclose material events.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However, the evidence and documentation in the case file demonstrate that these NICs were not followed with respect to these two relevant pieces of information.</w:t>
      </w:r>
    </w:p>
    <w:p>
      <w:pPr>
        <w:spacing w:after="0" w:line="153" w:lineRule="exact"/>
        <w:rPr>
          <w:rFonts w:ascii="Times New Roman" w:cs="Times New Roman" w:eastAsia="Times New Roman" w:hAnsi="Times New Roman"/>
          <w:sz w:val="16"/>
          <w:szCs w:val="16"/>
          <w:b w:val="1"/>
          <w:bCs w:val="1"/>
          <w:color w:val="auto"/>
        </w:rPr>
      </w:pPr>
    </w:p>
    <w:p>
      <w:pPr>
        <w:jc w:val="both"/>
        <w:ind w:left="3" w:right="20" w:hanging="3"/>
        <w:spacing w:after="0" w:line="262" w:lineRule="auto"/>
        <w:tabs>
          <w:tab w:leader="none" w:pos="257" w:val="left"/>
        </w:tabs>
        <w:numPr>
          <w:ilvl w:val="0"/>
          <w:numId w:val="2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Regarding the </w:t>
      </w:r>
      <w:r>
        <w:rPr>
          <w:rFonts w:ascii="Times New Roman" w:cs="Times New Roman" w:eastAsia="Times New Roman" w:hAnsi="Times New Roman"/>
          <w:sz w:val="16"/>
          <w:szCs w:val="16"/>
          <w:b w:val="1"/>
          <w:bCs w:val="1"/>
          <w:u w:val="single" w:color="auto"/>
          <w:color w:val="auto"/>
        </w:rPr>
        <w:t>economic harm caused and its repercussion in the market</w:t>
      </w:r>
      <w:r>
        <w:rPr>
          <w:rFonts w:ascii="Times New Roman" w:cs="Times New Roman" w:eastAsia="Times New Roman" w:hAnsi="Times New Roman"/>
          <w:sz w:val="16"/>
          <w:szCs w:val="16"/>
          <w:color w:val="auto"/>
        </w:rPr>
        <w:t xml:space="preserve">, given the passage of time since the Issuer decided to conceal the </w:t>
      </w:r>
      <w:r>
        <w:rPr>
          <w:rFonts w:ascii="Times New Roman" w:cs="Times New Roman" w:eastAsia="Times New Roman" w:hAnsi="Times New Roman"/>
          <w:sz w:val="16"/>
          <w:szCs w:val="16"/>
          <w:b w:val="1"/>
          <w:bCs w:val="1"/>
          <w:color w:val="auto"/>
        </w:rPr>
        <w:t>cash contributions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FUERZA 2011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THE 2016 AGREEMENT</w:t>
      </w:r>
      <w:r>
        <w:rPr>
          <w:rFonts w:ascii="Times New Roman" w:cs="Times New Roman" w:eastAsia="Times New Roman" w:hAnsi="Times New Roman"/>
          <w:sz w:val="16"/>
          <w:szCs w:val="16"/>
          <w:color w:val="auto"/>
        </w:rPr>
        <w:t>, it is difficult to precisely determine the economic harm that may have occurred when such information should have been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disclosed. However, despite the time elapsed, indicators show that even though the concealment was revealed late, the conduct did impact trading behavior of the Issuer’s securities on both the NYSE and the BVL. Therefore, it is reasonable to conclude that the impact may have been greater had the information been disclosed in 2011 and 2016. Nonetheless, the late disclosure still produced market repercussions, in addition to the media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7146290"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19" w:right="319" w:bottom="1440" w:gutter="0" w:footer="0" w:header="0"/>
        </w:sectPr>
      </w:pPr>
    </w:p>
    <w:bookmarkStart w:id="154" w:name="page155"/>
    <w:bookmarkEnd w:id="154"/>
    <w:p>
      <w:pPr>
        <w:ind w:left="3" w:right="20" w:hanging="3"/>
        <w:spacing w:after="0" w:line="290" w:lineRule="auto"/>
        <w:tabs>
          <w:tab w:leader="none" w:pos="245" w:val="left"/>
        </w:tabs>
        <w:numPr>
          <w:ilvl w:val="0"/>
          <w:numId w:val="2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Regarding any </w:t>
      </w:r>
      <w:r>
        <w:rPr>
          <w:rFonts w:ascii="Times New Roman" w:cs="Times New Roman" w:eastAsia="Times New Roman" w:hAnsi="Times New Roman"/>
          <w:sz w:val="16"/>
          <w:szCs w:val="16"/>
          <w:b w:val="1"/>
          <w:bCs w:val="1"/>
          <w:u w:val="single" w:color="auto"/>
          <w:color w:val="auto"/>
        </w:rPr>
        <w:t>unlawful benefit resulting from the infraction</w:t>
      </w:r>
      <w:r>
        <w:rPr>
          <w:rFonts w:ascii="Times New Roman" w:cs="Times New Roman" w:eastAsia="Times New Roman" w:hAnsi="Times New Roman"/>
          <w:sz w:val="16"/>
          <w:szCs w:val="16"/>
          <w:color w:val="auto"/>
        </w:rPr>
        <w:t xml:space="preserve">, it can be stated that there is no evidence that the </w:t>
      </w:r>
      <w:r>
        <w:rPr>
          <w:rFonts w:ascii="Times New Roman" w:cs="Times New Roman" w:eastAsia="Times New Roman" w:hAnsi="Times New Roman"/>
          <w:sz w:val="16"/>
          <w:szCs w:val="16"/>
          <w:b w:val="1"/>
          <w:bCs w:val="1"/>
          <w:color w:val="auto"/>
        </w:rPr>
        <w:t>cash contributions to FUERZA 2011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THE 2016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AGREEMENT </w:t>
      </w:r>
      <w:r>
        <w:rPr>
          <w:rFonts w:ascii="Times New Roman" w:cs="Times New Roman" w:eastAsia="Times New Roman" w:hAnsi="Times New Roman"/>
          <w:sz w:val="16"/>
          <w:szCs w:val="16"/>
          <w:color w:val="auto"/>
        </w:rPr>
        <w:t>resulted in any unlawful benefit for the Issuer.</w:t>
      </w:r>
    </w:p>
    <w:p>
      <w:pPr>
        <w:spacing w:after="0" w:line="138" w:lineRule="exact"/>
        <w:rPr>
          <w:rFonts w:ascii="Times New Roman" w:cs="Times New Roman" w:eastAsia="Times New Roman" w:hAnsi="Times New Roman"/>
          <w:sz w:val="16"/>
          <w:szCs w:val="16"/>
          <w:b w:val="1"/>
          <w:bCs w:val="1"/>
          <w:color w:val="auto"/>
        </w:rPr>
      </w:pPr>
    </w:p>
    <w:p>
      <w:pPr>
        <w:jc w:val="both"/>
        <w:ind w:left="3" w:right="20" w:hanging="3"/>
        <w:spacing w:after="0" w:line="265" w:lineRule="auto"/>
        <w:tabs>
          <w:tab w:leader="none" w:pos="257" w:val="left"/>
        </w:tabs>
        <w:numPr>
          <w:ilvl w:val="0"/>
          <w:numId w:val="2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Regarding the </w:t>
      </w:r>
      <w:r>
        <w:rPr>
          <w:rFonts w:ascii="Times New Roman" w:cs="Times New Roman" w:eastAsia="Times New Roman" w:hAnsi="Times New Roman"/>
          <w:sz w:val="16"/>
          <w:szCs w:val="16"/>
          <w:b w:val="1"/>
          <w:bCs w:val="1"/>
          <w:u w:val="single" w:color="auto"/>
          <w:color w:val="auto"/>
        </w:rPr>
        <w:t>likelihood of detection of the infraction</w:t>
      </w:r>
      <w:r>
        <w:rPr>
          <w:rFonts w:ascii="Times New Roman" w:cs="Times New Roman" w:eastAsia="Times New Roman" w:hAnsi="Times New Roman"/>
          <w:sz w:val="16"/>
          <w:szCs w:val="16"/>
          <w:color w:val="auto"/>
        </w:rPr>
        <w:t xml:space="preserve">, it must be noted that the concealment only ceased when the Issuer—through Mr. Romero—was obliged to disclose, as a material event, the </w:t>
      </w:r>
      <w:r>
        <w:rPr>
          <w:rFonts w:ascii="Times New Roman" w:cs="Times New Roman" w:eastAsia="Times New Roman" w:hAnsi="Times New Roman"/>
          <w:sz w:val="16"/>
          <w:szCs w:val="16"/>
          <w:b w:val="1"/>
          <w:bCs w:val="1"/>
          <w:color w:val="auto"/>
        </w:rPr>
        <w:t>cash contributions to FUERZA 2011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Had the Public Prosecutor not summoned Mr. Romero, the concealment would likely have persisted indefinitely. Therefore, it can be concluded that the probability that the SMV could detect the infractions was practically zero, as the information was deliberately kept hidden and only came to the SMV’s attention as a result of the prosecutor’s investigation.</w:t>
      </w:r>
    </w:p>
    <w:p>
      <w:pPr>
        <w:spacing w:after="0" w:line="158" w:lineRule="exact"/>
        <w:rPr>
          <w:rFonts w:ascii="Times New Roman" w:cs="Times New Roman" w:eastAsia="Times New Roman" w:hAnsi="Times New Roman"/>
          <w:sz w:val="16"/>
          <w:szCs w:val="16"/>
          <w:b w:val="1"/>
          <w:bCs w:val="1"/>
          <w:color w:val="auto"/>
        </w:rPr>
      </w:pPr>
    </w:p>
    <w:p>
      <w:pPr>
        <w:ind w:left="3" w:right="20" w:hanging="3"/>
        <w:spacing w:after="0" w:line="290" w:lineRule="auto"/>
        <w:tabs>
          <w:tab w:leader="none" w:pos="257" w:val="left"/>
        </w:tabs>
        <w:numPr>
          <w:ilvl w:val="0"/>
          <w:numId w:val="2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Regarding the </w:t>
      </w:r>
      <w:r>
        <w:rPr>
          <w:rFonts w:ascii="Times New Roman" w:cs="Times New Roman" w:eastAsia="Times New Roman" w:hAnsi="Times New Roman"/>
          <w:sz w:val="16"/>
          <w:szCs w:val="16"/>
          <w:b w:val="1"/>
          <w:bCs w:val="1"/>
          <w:u w:val="single" w:color="auto"/>
          <w:color w:val="auto"/>
        </w:rPr>
        <w:t>seriousness of harm to the public interest and/or the protected legal interest</w:t>
      </w:r>
      <w:r>
        <w:rPr>
          <w:rFonts w:ascii="Times New Roman" w:cs="Times New Roman" w:eastAsia="Times New Roman" w:hAnsi="Times New Roman"/>
          <w:sz w:val="16"/>
          <w:szCs w:val="16"/>
          <w:color w:val="auto"/>
        </w:rPr>
        <w:t>, it is considered that there is significant harm to the protected legal interest—transparency of the securities market—because concealment of information directly affects market integrity and investor confidence.</w:t>
      </w:r>
    </w:p>
    <w:p>
      <w:pPr>
        <w:spacing w:after="0" w:line="138" w:lineRule="exact"/>
        <w:rPr>
          <w:rFonts w:ascii="Times New Roman" w:cs="Times New Roman" w:eastAsia="Times New Roman" w:hAnsi="Times New Roman"/>
          <w:sz w:val="16"/>
          <w:szCs w:val="16"/>
          <w:b w:val="1"/>
          <w:bCs w:val="1"/>
          <w:color w:val="auto"/>
        </w:rPr>
      </w:pPr>
    </w:p>
    <w:p>
      <w:pPr>
        <w:ind w:left="3" w:right="20" w:hanging="3"/>
        <w:spacing w:after="0" w:line="290" w:lineRule="auto"/>
        <w:tabs>
          <w:tab w:leader="none" w:pos="270" w:val="left"/>
        </w:tabs>
        <w:numPr>
          <w:ilvl w:val="0"/>
          <w:numId w:val="2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previously noted, Article 10 of the LMV provides: “</w:t>
      </w:r>
      <w:r>
        <w:rPr>
          <w:rFonts w:ascii="Times New Roman" w:cs="Times New Roman" w:eastAsia="Times New Roman" w:hAnsi="Times New Roman"/>
          <w:sz w:val="16"/>
          <w:szCs w:val="16"/>
          <w:i w:val="1"/>
          <w:iCs w:val="1"/>
          <w:color w:val="auto"/>
        </w:rPr>
        <w:t>All information that by disposition of this law must be submitted to CONASEV, the exchange, the entities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responsible for centralized mechanisms, or investors must be </w:t>
      </w:r>
      <w:r>
        <w:rPr>
          <w:rFonts w:ascii="Times New Roman" w:cs="Times New Roman" w:eastAsia="Times New Roman" w:hAnsi="Times New Roman"/>
          <w:sz w:val="16"/>
          <w:szCs w:val="16"/>
          <w:b w:val="1"/>
          <w:bCs w:val="1"/>
          <w:i w:val="1"/>
          <w:iCs w:val="1"/>
          <w:u w:val="single" w:color="auto"/>
          <w:color w:val="auto"/>
        </w:rPr>
        <w:t>truthful, sufficient, and timely</w:t>
      </w:r>
      <w:r>
        <w:rPr>
          <w:rFonts w:ascii="Times New Roman" w:cs="Times New Roman" w:eastAsia="Times New Roman" w:hAnsi="Times New Roman"/>
          <w:sz w:val="16"/>
          <w:szCs w:val="16"/>
          <w:i w:val="1"/>
          <w:iCs w:val="1"/>
          <w:color w:val="auto"/>
        </w:rPr>
        <w:t>. Once received, it must be immediately made available to the public</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b w:val="1"/>
          <w:bCs w:val="1"/>
          <w:color w:val="auto"/>
        </w:rPr>
      </w:pPr>
    </w:p>
    <w:p>
      <w:pPr>
        <w:jc w:val="both"/>
        <w:ind w:left="3" w:hanging="3"/>
        <w:spacing w:after="0" w:line="270" w:lineRule="auto"/>
        <w:tabs>
          <w:tab w:leader="none" w:pos="245" w:val="left"/>
        </w:tabs>
        <w:numPr>
          <w:ilvl w:val="0"/>
          <w:numId w:val="2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purpose of this provision is to safeguard the principle of information transparency, which is a fundamental pillar of the functioning and development of the securities market. This principle requires issuers to disclose all relevant information that they generate or become aware of, ensuring it is truthful, sufficient, and timely, promoting efficient and transparent markets and improving investor protection. Compliance with these standards reinforces market integrity and enables proper price formation.</w:t>
      </w:r>
    </w:p>
    <w:p>
      <w:pPr>
        <w:spacing w:after="0" w:line="156" w:lineRule="exact"/>
        <w:rPr>
          <w:rFonts w:ascii="Times New Roman" w:cs="Times New Roman" w:eastAsia="Times New Roman" w:hAnsi="Times New Roman"/>
          <w:sz w:val="16"/>
          <w:szCs w:val="16"/>
          <w:b w:val="1"/>
          <w:bCs w:val="1"/>
          <w:color w:val="auto"/>
        </w:rPr>
      </w:pPr>
    </w:p>
    <w:p>
      <w:pPr>
        <w:jc w:val="both"/>
        <w:ind w:left="3" w:right="20" w:hanging="3"/>
        <w:spacing w:after="0" w:line="270" w:lineRule="auto"/>
        <w:tabs>
          <w:tab w:leader="none" w:pos="245" w:val="left"/>
        </w:tabs>
        <w:numPr>
          <w:ilvl w:val="0"/>
          <w:numId w:val="2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this regard, transparency of information provided to investors is crucial not only for evaluating the securities traded but also for assessing the overall condition of the company—not only financially but operationally, including regulatory compliance. Transparency ensures that investors are able to correctly value securities and make informed investment decisions.</w:t>
      </w:r>
    </w:p>
    <w:p>
      <w:pPr>
        <w:spacing w:after="0" w:line="156" w:lineRule="exact"/>
        <w:rPr>
          <w:rFonts w:ascii="Times New Roman" w:cs="Times New Roman" w:eastAsia="Times New Roman" w:hAnsi="Times New Roman"/>
          <w:sz w:val="16"/>
          <w:szCs w:val="16"/>
          <w:b w:val="1"/>
          <w:bCs w:val="1"/>
          <w:color w:val="auto"/>
        </w:rPr>
      </w:pPr>
    </w:p>
    <w:p>
      <w:pPr>
        <w:jc w:val="both"/>
        <w:ind w:left="3" w:right="20" w:hanging="3"/>
        <w:spacing w:after="0" w:line="270" w:lineRule="auto"/>
        <w:tabs>
          <w:tab w:leader="none" w:pos="245" w:val="left"/>
        </w:tabs>
        <w:numPr>
          <w:ilvl w:val="0"/>
          <w:numId w:val="2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this reason, it is essential to maintain such transparency through the disclosure of information to investors so that securities markets function efficiently. Investors need accurate information about the issuer to properly assess the risks associated with their investment decisions. Only then can surplus resources be allocated optimally, enabling investors to make better decisions.</w:t>
      </w:r>
    </w:p>
    <w:p>
      <w:pPr>
        <w:spacing w:after="0" w:line="156" w:lineRule="exact"/>
        <w:rPr>
          <w:rFonts w:ascii="Times New Roman" w:cs="Times New Roman" w:eastAsia="Times New Roman" w:hAnsi="Times New Roman"/>
          <w:sz w:val="16"/>
          <w:szCs w:val="16"/>
          <w:b w:val="1"/>
          <w:bCs w:val="1"/>
          <w:color w:val="auto"/>
        </w:rPr>
      </w:pPr>
    </w:p>
    <w:p>
      <w:pPr>
        <w:jc w:val="both"/>
        <w:ind w:left="3" w:right="20" w:hanging="3"/>
        <w:spacing w:after="0" w:line="270" w:lineRule="auto"/>
        <w:tabs>
          <w:tab w:leader="none" w:pos="245" w:val="left"/>
        </w:tabs>
        <w:numPr>
          <w:ilvl w:val="0"/>
          <w:numId w:val="2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Accordingly, the disclosure of truthful, complete, timely, and accurate information by issuers is an international standard in securities markets. Compliance is a necessary condition for market functioning and investor confidence. Consistent with this, the LMV and its regulations establish that the registration of a security in the RPMV obliges the issuer to make all relevant information available to the market, establishing a series of information requirements.</w:t>
      </w:r>
    </w:p>
    <w:p>
      <w:pPr>
        <w:spacing w:after="0" w:line="156" w:lineRule="exact"/>
        <w:rPr>
          <w:rFonts w:ascii="Times New Roman" w:cs="Times New Roman" w:eastAsia="Times New Roman" w:hAnsi="Times New Roman"/>
          <w:sz w:val="16"/>
          <w:szCs w:val="16"/>
          <w:b w:val="1"/>
          <w:bCs w:val="1"/>
          <w:color w:val="auto"/>
        </w:rPr>
      </w:pPr>
    </w:p>
    <w:p>
      <w:pPr>
        <w:jc w:val="both"/>
        <w:ind w:left="3" w:right="20" w:hanging="3"/>
        <w:spacing w:after="0" w:line="198" w:lineRule="exact"/>
        <w:tabs>
          <w:tab w:leader="none" w:pos="257" w:val="left"/>
        </w:tabs>
        <w:numPr>
          <w:ilvl w:val="0"/>
          <w:numId w:val="2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Therefore, the information presented by issuers must meet standards of truthfulness, sufficiency, and timeliness to reduce information asymmetry and ensure that all market participants and investors are on equal footing when making investment decisions. For this purpose, the SMV has supervisory powers and, when detecting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may impose corresponding sanctions to discourage conduct contrary to regulation and prevent future violations. All this is necessary for the protection of market transparency—the protected legal interest—which in this case was violated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146290"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55" w:name="page156"/>
    <w:bookmarkEnd w:id="155"/>
    <w:p>
      <w:pPr>
        <w:ind w:left="3" w:right="20" w:hanging="3"/>
        <w:spacing w:after="0" w:line="290" w:lineRule="auto"/>
        <w:tabs>
          <w:tab w:leader="none" w:pos="270" w:val="left"/>
        </w:tabs>
        <w:numPr>
          <w:ilvl w:val="0"/>
          <w:numId w:val="2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Based on the charges formulated, the Issuer—through its concealment of the </w:t>
      </w:r>
      <w:r>
        <w:rPr>
          <w:rFonts w:ascii="Times New Roman" w:cs="Times New Roman" w:eastAsia="Times New Roman" w:hAnsi="Times New Roman"/>
          <w:sz w:val="16"/>
          <w:szCs w:val="16"/>
          <w:b w:val="1"/>
          <w:bCs w:val="1"/>
          <w:color w:val="auto"/>
        </w:rPr>
        <w:t>cash contributions to FUERZA 2011</w:t>
      </w:r>
      <w:r>
        <w:rPr>
          <w:rFonts w:ascii="Times New Roman" w:cs="Times New Roman" w:eastAsia="Times New Roman" w:hAnsi="Times New Roman"/>
          <w:sz w:val="16"/>
          <w:szCs w:val="16"/>
          <w:color w:val="auto"/>
        </w:rPr>
        <w:t xml:space="preserve"> and through the concealment of </w:t>
      </w:r>
      <w:r>
        <w:rPr>
          <w:rFonts w:ascii="Times New Roman" w:cs="Times New Roman" w:eastAsia="Times New Roman" w:hAnsi="Times New Roman"/>
          <w:sz w:val="16"/>
          <w:szCs w:val="16"/>
          <w:b w:val="1"/>
          <w:bCs w:val="1"/>
          <w:color w:val="auto"/>
        </w:rPr>
        <w:t>THE 2016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—demonstrated conduct that affected the public interest and/or the protected legal interest.</w:t>
      </w:r>
    </w:p>
    <w:p>
      <w:pPr>
        <w:spacing w:after="0" w:line="138" w:lineRule="exact"/>
        <w:rPr>
          <w:rFonts w:ascii="Times New Roman" w:cs="Times New Roman" w:eastAsia="Times New Roman" w:hAnsi="Times New Roman"/>
          <w:sz w:val="16"/>
          <w:szCs w:val="16"/>
          <w:b w:val="1"/>
          <w:bCs w:val="1"/>
          <w:color w:val="auto"/>
        </w:rPr>
      </w:pPr>
    </w:p>
    <w:p>
      <w:pPr>
        <w:jc w:val="both"/>
        <w:ind w:left="3" w:right="20" w:hanging="3"/>
        <w:spacing w:after="0" w:line="271" w:lineRule="auto"/>
        <w:tabs>
          <w:tab w:leader="none" w:pos="257" w:val="left"/>
        </w:tabs>
        <w:numPr>
          <w:ilvl w:val="0"/>
          <w:numId w:val="2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Regarding </w:t>
      </w:r>
      <w:r>
        <w:rPr>
          <w:rFonts w:ascii="Times New Roman" w:cs="Times New Roman" w:eastAsia="Times New Roman" w:hAnsi="Times New Roman"/>
          <w:sz w:val="16"/>
          <w:szCs w:val="16"/>
          <w:b w:val="1"/>
          <w:bCs w:val="1"/>
          <w:u w:val="single" w:color="auto"/>
          <w:color w:val="auto"/>
        </w:rPr>
        <w:t>intentionality in the infringing conduct</w:t>
      </w:r>
      <w:r>
        <w:rPr>
          <w:rFonts w:ascii="Times New Roman" w:cs="Times New Roman" w:eastAsia="Times New Roman" w:hAnsi="Times New Roman"/>
          <w:sz w:val="16"/>
          <w:szCs w:val="16"/>
          <w:color w:val="auto"/>
        </w:rPr>
        <w:t>, the detailed facts and conduct in this case clearly show a continuous effort to conceal the information. In this specific case, intentional concealment (</w:t>
      </w:r>
      <w:r>
        <w:rPr>
          <w:rFonts w:ascii="Times New Roman" w:cs="Times New Roman" w:eastAsia="Times New Roman" w:hAnsi="Times New Roman"/>
          <w:sz w:val="16"/>
          <w:szCs w:val="16"/>
          <w:i w:val="1"/>
          <w:iCs w:val="1"/>
          <w:color w:val="auto"/>
        </w:rPr>
        <w:t>dolo</w:t>
      </w:r>
      <w:r>
        <w:rPr>
          <w:rFonts w:ascii="Times New Roman" w:cs="Times New Roman" w:eastAsia="Times New Roman" w:hAnsi="Times New Roman"/>
          <w:sz w:val="16"/>
          <w:szCs w:val="16"/>
          <w:color w:val="auto"/>
        </w:rPr>
        <w:t>) is evident, particularly because the information only became known when Mr. Romero’s statements before the Public Prosecutor were made public.</w:t>
      </w:r>
    </w:p>
    <w:p>
      <w:pPr>
        <w:spacing w:after="0" w:line="155" w:lineRule="exact"/>
        <w:rPr>
          <w:rFonts w:ascii="Times New Roman" w:cs="Times New Roman" w:eastAsia="Times New Roman" w:hAnsi="Times New Roman"/>
          <w:sz w:val="16"/>
          <w:szCs w:val="16"/>
          <w:b w:val="1"/>
          <w:bCs w:val="1"/>
          <w:color w:val="auto"/>
        </w:rPr>
      </w:pPr>
    </w:p>
    <w:p>
      <w:pPr>
        <w:ind w:left="3" w:right="20" w:hanging="3"/>
        <w:spacing w:after="0" w:line="287" w:lineRule="auto"/>
        <w:tabs>
          <w:tab w:leader="none" w:pos="245" w:val="left"/>
        </w:tabs>
        <w:numPr>
          <w:ilvl w:val="0"/>
          <w:numId w:val="2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Accordingly, throughout the evaluation of both charges and the Issuer’s defenses, it has been established that the decision to maintain a pattern of concealment of the cash contributions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and of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was deliberate and therefore intentional.</w:t>
      </w:r>
    </w:p>
    <w:p>
      <w:pPr>
        <w:spacing w:after="0" w:line="142" w:lineRule="exact"/>
        <w:rPr>
          <w:rFonts w:ascii="Times New Roman" w:cs="Times New Roman" w:eastAsia="Times New Roman" w:hAnsi="Times New Roman"/>
          <w:sz w:val="16"/>
          <w:szCs w:val="16"/>
          <w:b w:val="1"/>
          <w:bCs w:val="1"/>
          <w:color w:val="auto"/>
        </w:rPr>
      </w:pPr>
    </w:p>
    <w:p>
      <w:pPr>
        <w:jc w:val="both"/>
        <w:ind w:left="3" w:right="20" w:hanging="3"/>
        <w:spacing w:after="0" w:line="270" w:lineRule="auto"/>
        <w:tabs>
          <w:tab w:leader="none" w:pos="245" w:val="left"/>
        </w:tabs>
        <w:numPr>
          <w:ilvl w:val="0"/>
          <w:numId w:val="2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As demonstrated in the Issuer’s own chronology of events, the decision to make the contributions did not involve the Issuer’s main corporate bodies or internal entities such as Board Committees, internal audit, or compliance bodies—whether regarding the cash contributions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executed through its subsidiaries.</w:t>
      </w:r>
    </w:p>
    <w:p>
      <w:pPr>
        <w:spacing w:after="0" w:line="154" w:lineRule="exact"/>
        <w:rPr>
          <w:rFonts w:ascii="Times New Roman" w:cs="Times New Roman" w:eastAsia="Times New Roman" w:hAnsi="Times New Roman"/>
          <w:sz w:val="16"/>
          <w:szCs w:val="16"/>
          <w:b w:val="1"/>
          <w:bCs w:val="1"/>
          <w:color w:val="auto"/>
        </w:rPr>
      </w:pPr>
    </w:p>
    <w:p>
      <w:pPr>
        <w:jc w:val="both"/>
        <w:ind w:left="3" w:right="20" w:hanging="3"/>
        <w:spacing w:after="0" w:line="271" w:lineRule="auto"/>
        <w:tabs>
          <w:tab w:leader="none" w:pos="245" w:val="left"/>
        </w:tabs>
        <w:numPr>
          <w:ilvl w:val="0"/>
          <w:numId w:val="2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In the information disseminated by the company itself between November 18 and 21, 2019, the </w:t>
      </w:r>
      <w:r>
        <w:rPr>
          <w:rFonts w:ascii="Times New Roman" w:cs="Times New Roman" w:eastAsia="Times New Roman" w:hAnsi="Times New Roman"/>
          <w:sz w:val="16"/>
          <w:szCs w:val="16"/>
          <w:b w:val="1"/>
          <w:bCs w:val="1"/>
          <w:color w:val="auto"/>
        </w:rPr>
        <w:t>cash contributions to FUERZA 2011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THE 2016 AGREEMENT</w:t>
      </w:r>
      <w:r>
        <w:rPr>
          <w:rFonts w:ascii="Times New Roman" w:cs="Times New Roman" w:eastAsia="Times New Roman" w:hAnsi="Times New Roman"/>
          <w:sz w:val="16"/>
          <w:szCs w:val="16"/>
          <w:color w:val="auto"/>
        </w:rPr>
        <w:t xml:space="preserve"> were publicly disclosed for the first time. This clearly demonstrates an intent to conceal relevant information which, under the principle of culpability, constitutes intentional conduct.</w:t>
      </w:r>
    </w:p>
    <w:p>
      <w:pPr>
        <w:spacing w:after="0" w:line="153" w:lineRule="exact"/>
        <w:rPr>
          <w:rFonts w:ascii="Times New Roman" w:cs="Times New Roman" w:eastAsia="Times New Roman" w:hAnsi="Times New Roman"/>
          <w:sz w:val="16"/>
          <w:szCs w:val="16"/>
          <w:b w:val="1"/>
          <w:bCs w:val="1"/>
          <w:color w:val="auto"/>
        </w:rPr>
      </w:pPr>
    </w:p>
    <w:p>
      <w:pPr>
        <w:jc w:val="both"/>
        <w:ind w:left="3" w:hanging="3"/>
        <w:spacing w:after="0" w:line="260" w:lineRule="auto"/>
        <w:tabs>
          <w:tab w:leader="none" w:pos="257" w:val="left"/>
        </w:tabs>
        <w:numPr>
          <w:ilvl w:val="0"/>
          <w:numId w:val="2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In relation specifically to the cash contribution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it should be noted—as described in the Instruction Report and in this Resolution—that another indicator of concealment is the fact that the contributions were delivered in cash through seventeen (17) transactions involving BCP and Atlantic Security Bank, under orders from the Issuer. As shown in the table (see page 27), these transactions were made between November 2, 2010, and May 20, 2011, in amounts ranging from US$100,000 to US$500,000, totaling US$3,650,000. This method of cash withdrawals in smaller, less noticeable amounts clearly demonstrates an intention to conceal the contribution. Based on this flow of transfers carried out to deliver the cash contributions to FUERZA 2011, the Issuer’s conduct corresponds to the very serious infraction typified in subsection 1.6, numeral 1 of Annex I of the Sanctions Regulation.</w:t>
      </w:r>
    </w:p>
    <w:p>
      <w:pPr>
        <w:spacing w:after="0" w:line="1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u w:val="single" w:color="auto"/>
          <w:color w:val="auto"/>
        </w:rPr>
        <w:t>PROPOSED SANCTION FOR THE FIRST CHARGE:</w:t>
      </w:r>
    </w:p>
    <w:p>
      <w:pPr>
        <w:spacing w:after="0" w:line="206" w:lineRule="exact"/>
        <w:rPr>
          <w:sz w:val="20"/>
          <w:szCs w:val="20"/>
          <w:color w:val="auto"/>
        </w:rPr>
      </w:pPr>
    </w:p>
    <w:p>
      <w:pPr>
        <w:ind w:left="3" w:right="20" w:hanging="3"/>
        <w:spacing w:after="0" w:line="287" w:lineRule="auto"/>
        <w:tabs>
          <w:tab w:leader="none" w:pos="249" w:val="left"/>
        </w:tabs>
        <w:numPr>
          <w:ilvl w:val="0"/>
          <w:numId w:val="2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As previously indicated, this PAS concerns the Issuer’s conduct in having kept hidden for more than eight (8) years—and in failing to disclose to the market in due time as a material event—the cash contributions totaling US$ 3.65 million to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w:t>
      </w:r>
    </w:p>
    <w:p>
      <w:pPr>
        <w:spacing w:after="0" w:line="142" w:lineRule="exact"/>
        <w:rPr>
          <w:rFonts w:ascii="Times New Roman" w:cs="Times New Roman" w:eastAsia="Times New Roman" w:hAnsi="Times New Roman"/>
          <w:sz w:val="16"/>
          <w:szCs w:val="16"/>
          <w:b w:val="1"/>
          <w:bCs w:val="1"/>
          <w:color w:val="auto"/>
        </w:rPr>
      </w:pPr>
    </w:p>
    <w:p>
      <w:pPr>
        <w:ind w:left="283" w:hanging="283"/>
        <w:spacing w:after="0"/>
        <w:tabs>
          <w:tab w:leader="none" w:pos="283" w:val="left"/>
        </w:tabs>
        <w:numPr>
          <w:ilvl w:val="0"/>
          <w:numId w:val="2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infraction imputed to the Issuer is typified in subsection 1.6, numeral 1, of Annex I of the Sanctions Regulation, approved by CONASEV Resolution No.</w:t>
      </w:r>
    </w:p>
    <w:p>
      <w:pPr>
        <w:spacing w:after="0" w:line="26" w:lineRule="exact"/>
        <w:rPr>
          <w:rFonts w:ascii="Times New Roman" w:cs="Times New Roman" w:eastAsia="Times New Roman" w:hAnsi="Times New Roman"/>
          <w:sz w:val="16"/>
          <w:szCs w:val="16"/>
          <w:b w:val="1"/>
          <w:bCs w:val="1"/>
          <w:color w:val="auto"/>
        </w:rPr>
      </w:pPr>
    </w:p>
    <w:p>
      <w:pPr>
        <w:jc w:val="both"/>
        <w:ind w:left="3"/>
        <w:spacing w:after="0" w:line="194" w:lineRule="exact"/>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EF/94.10, in force at the time of the commission of the infraction. For sanctioning purposes, Articles 343 and 349 of the LMV must be taken into account, which provided that very serious infractions were punishable with a fine of not less than fifty (50) UIT and up to three hundred (300) UIT. It should be noted that this maximum limit was later modified by Law No. 30050, the Securities Market Promotion Law, published in the Official Gazette </w:t>
      </w:r>
      <w:r>
        <w:rPr>
          <w:rFonts w:ascii="Times New Roman" w:cs="Times New Roman" w:eastAsia="Times New Roman" w:hAnsi="Times New Roman"/>
          <w:sz w:val="16"/>
          <w:szCs w:val="16"/>
          <w:i w:val="1"/>
          <w:iCs w:val="1"/>
          <w:color w:val="auto"/>
        </w:rPr>
        <w:t>El Peruano</w:t>
      </w:r>
      <w:r>
        <w:rPr>
          <w:rFonts w:ascii="Times New Roman" w:cs="Times New Roman" w:eastAsia="Times New Roman" w:hAnsi="Times New Roman"/>
          <w:sz w:val="16"/>
          <w:szCs w:val="16"/>
          <w:color w:val="auto"/>
        </w:rPr>
        <w:t xml:space="preserve"> on June 26, 2013, by which subparagraph (b) of Article 343 of the LMV was amended, increasing the maximum fine for very serious infractions to seven hundred (700) UIT as of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146290"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56" w:name="page157"/>
    <w:bookmarkEnd w:id="156"/>
    <w:p>
      <w:pPr>
        <w:jc w:val="both"/>
        <w:ind w:left="3" w:right="20" w:hanging="3"/>
        <w:spacing w:after="0" w:line="264" w:lineRule="auto"/>
        <w:tabs>
          <w:tab w:leader="none" w:pos="246" w:val="left"/>
        </w:tabs>
        <w:numPr>
          <w:ilvl w:val="0"/>
          <w:numId w:val="2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In the present case, the relevant events occurred between November and May of 2010 and 2011, the dates on which the cash contributions totaling US$ 3.65 million were made in favor of the political party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Although these facts were only disclosed in November 2019—meaning that the concealment ceased upon the dissemination of the corresponding material event—pursuant to numeral 5 of Article 248 of the TUO of the LPAG, the applicable sanction for this infraction is the fine range more favorable to the Issuer, namely: no less than fifty (50) UIT and up to three hundred (300) UIT.</w:t>
      </w:r>
    </w:p>
    <w:p>
      <w:pPr>
        <w:spacing w:after="0" w:line="161" w:lineRule="exact"/>
        <w:rPr>
          <w:rFonts w:ascii="Times New Roman" w:cs="Times New Roman" w:eastAsia="Times New Roman" w:hAnsi="Times New Roman"/>
          <w:sz w:val="16"/>
          <w:szCs w:val="16"/>
          <w:b w:val="1"/>
          <w:bCs w:val="1"/>
          <w:color w:val="auto"/>
        </w:rPr>
      </w:pPr>
    </w:p>
    <w:p>
      <w:pPr>
        <w:jc w:val="both"/>
        <w:ind w:left="3" w:hanging="3"/>
        <w:spacing w:after="0" w:line="228" w:lineRule="auto"/>
        <w:tabs>
          <w:tab w:leader="none" w:pos="251" w:val="left"/>
        </w:tabs>
        <w:numPr>
          <w:ilvl w:val="0"/>
          <w:numId w:val="2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Taking into account the circumstances of the facts already described, the sanction proposal formulated by the IGCC, the analysis conducted in this Resolution regarding the charges brought, the defenses and arguments presented by the Issuer, and also the Issuer’s willful concealment for more than eight (8) years of its failure to disclose in due time as a material event the cash contributions totaling US$ 3.65 million to </w:t>
      </w:r>
      <w:r>
        <w:rPr>
          <w:rFonts w:ascii="Times New Roman" w:cs="Times New Roman" w:eastAsia="Times New Roman" w:hAnsi="Times New Roman"/>
          <w:sz w:val="16"/>
          <w:szCs w:val="16"/>
          <w:b w:val="1"/>
          <w:bCs w:val="1"/>
          <w:color w:val="auto"/>
        </w:rPr>
        <w:t>FUERZA 2011</w:t>
      </w:r>
      <w:r>
        <w:rPr>
          <w:rFonts w:ascii="Times New Roman" w:cs="Times New Roman" w:eastAsia="Times New Roman" w:hAnsi="Times New Roman"/>
          <w:sz w:val="16"/>
          <w:szCs w:val="16"/>
          <w:color w:val="auto"/>
        </w:rPr>
        <w:t>, this Deputy Superintendence considers that the fine to be imposed for this infraction should be the maximum permitted at the time the events began—three hundred (300) UIT</w:t>
      </w:r>
      <w:r>
        <w:rPr>
          <w:rFonts w:ascii="Times New Roman" w:cs="Times New Roman" w:eastAsia="Times New Roman" w:hAnsi="Times New Roman"/>
          <w:sz w:val="26"/>
          <w:szCs w:val="26"/>
          <w:color w:val="auto"/>
          <w:vertAlign w:val="superscript"/>
        </w:rPr>
        <w:t>63</w:t>
      </w:r>
      <w:r>
        <w:rPr>
          <w:rFonts w:ascii="Times New Roman" w:cs="Times New Roman" w:eastAsia="Times New Roman" w:hAnsi="Times New Roman"/>
          <w:sz w:val="16"/>
          <w:szCs w:val="16"/>
          <w:color w:val="auto"/>
        </w:rPr>
        <w:t>, equivalent to S/ 1,080,000.00 (One Million Eighty Thousand and 00/100 Soles), taking into account the UIT in force at the beginning of the commission of the infraction.</w:t>
      </w:r>
    </w:p>
    <w:p>
      <w:pPr>
        <w:spacing w:after="0" w:line="1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u w:val="single" w:color="auto"/>
          <w:color w:val="auto"/>
        </w:rPr>
        <w:t>PROPOSED SANCTION FOR THE SECOND CHARGE:</w:t>
      </w:r>
    </w:p>
    <w:p>
      <w:pPr>
        <w:spacing w:after="0" w:line="206" w:lineRule="exact"/>
        <w:rPr>
          <w:sz w:val="20"/>
          <w:szCs w:val="20"/>
          <w:color w:val="auto"/>
        </w:rPr>
      </w:pPr>
    </w:p>
    <w:p>
      <w:pPr>
        <w:jc w:val="both"/>
        <w:ind w:left="3" w:hanging="3"/>
        <w:spacing w:after="0" w:line="205" w:lineRule="exact"/>
        <w:tabs>
          <w:tab w:leader="none" w:pos="275" w:val="left"/>
        </w:tabs>
        <w:numPr>
          <w:ilvl w:val="0"/>
          <w:numId w:val="2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Likewise, as previously stated, this administrative sanctioning proceeding concerns the Issuer’s conduct in having kept hidden for more than three (3) years the agreement whereby the Issuer’s Board of Directors decided that its subsidiaries —BCP, PACIFICO and MIBANCO— would each make a contribution of sixty (60) UIT to the </w:t>
      </w:r>
      <w:r>
        <w:rPr>
          <w:rFonts w:ascii="Times New Roman" w:cs="Times New Roman" w:eastAsia="Times New Roman" w:hAnsi="Times New Roman"/>
          <w:sz w:val="16"/>
          <w:szCs w:val="16"/>
          <w:b w:val="1"/>
          <w:bCs w:val="1"/>
          <w:color w:val="auto"/>
        </w:rPr>
        <w:t>political party PERUANOS POR EL KAMBIO</w:t>
      </w:r>
      <w:r>
        <w:rPr>
          <w:rFonts w:ascii="Times New Roman" w:cs="Times New Roman" w:eastAsia="Times New Roman" w:hAnsi="Times New Roman"/>
          <w:sz w:val="16"/>
          <w:szCs w:val="16"/>
          <w:color w:val="auto"/>
        </w:rPr>
        <w:t>. This agreement remained concealed and was not disclosed to the market, despite constituting relevant information for investor decision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making.</w:t>
      </w:r>
    </w:p>
    <w:p>
      <w:pPr>
        <w:spacing w:after="0" w:line="152" w:lineRule="exact"/>
        <w:rPr>
          <w:rFonts w:ascii="Times New Roman" w:cs="Times New Roman" w:eastAsia="Times New Roman" w:hAnsi="Times New Roman"/>
          <w:sz w:val="16"/>
          <w:szCs w:val="16"/>
          <w:b w:val="1"/>
          <w:bCs w:val="1"/>
          <w:color w:val="auto"/>
        </w:rPr>
      </w:pPr>
    </w:p>
    <w:p>
      <w:pPr>
        <w:ind w:left="283" w:hanging="283"/>
        <w:spacing w:after="0"/>
        <w:tabs>
          <w:tab w:leader="none" w:pos="283" w:val="left"/>
        </w:tabs>
        <w:numPr>
          <w:ilvl w:val="0"/>
          <w:numId w:val="2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infraction imputed to the Issuer is typified in subsection 1.5, numeral 1, of Annex I of the Sanctions Regulation, approved by CONASEV Resolution No.</w:t>
      </w:r>
    </w:p>
    <w:p>
      <w:pPr>
        <w:spacing w:after="0" w:line="26" w:lineRule="exact"/>
        <w:rPr>
          <w:rFonts w:ascii="Times New Roman" w:cs="Times New Roman" w:eastAsia="Times New Roman" w:hAnsi="Times New Roman"/>
          <w:sz w:val="16"/>
          <w:szCs w:val="16"/>
          <w:b w:val="1"/>
          <w:bCs w:val="1"/>
          <w:color w:val="auto"/>
        </w:rPr>
      </w:pPr>
    </w:p>
    <w:p>
      <w:pPr>
        <w:jc w:val="both"/>
        <w:ind w:left="3" w:right="20"/>
        <w:spacing w:after="0" w:line="194" w:lineRule="exact"/>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in force at the beginning of the commission of the infraction. For sanctioning purposes, Articles 343 and 349 of the LMV must be considered, which state that very serious infractions are punishable with a fine not less than fifty (50) UIT and up to seven hundred (700) UIT, which was the maximum in force at the beginning of the infraction.</w:t>
      </w:r>
    </w:p>
    <w:p>
      <w:pPr>
        <w:spacing w:after="0" w:line="179" w:lineRule="exact"/>
        <w:rPr>
          <w:rFonts w:ascii="Times New Roman" w:cs="Times New Roman" w:eastAsia="Times New Roman" w:hAnsi="Times New Roman"/>
          <w:sz w:val="16"/>
          <w:szCs w:val="16"/>
          <w:b w:val="1"/>
          <w:bCs w:val="1"/>
          <w:color w:val="auto"/>
        </w:rPr>
      </w:pPr>
    </w:p>
    <w:p>
      <w:pPr>
        <w:jc w:val="both"/>
        <w:ind w:left="3" w:right="20" w:hanging="3"/>
        <w:spacing w:after="0" w:line="261" w:lineRule="auto"/>
        <w:tabs>
          <w:tab w:leader="none" w:pos="271" w:val="left"/>
        </w:tabs>
        <w:numPr>
          <w:ilvl w:val="0"/>
          <w:numId w:val="2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Taking into account the circumstances of the facts already described, as well as the analysis conducted in this Resolution regarding the charges and the defenses presented by the Issuer, and considering also that although the Issuer did not disclose the Board’s agreement in due time, for sanctioning purposes it must be taken into account that: there was a formal agreement; this agreement was approved by the Board; it was communicated to the subsidiaries so that they could execute it; and it was in some manner reflected in the information disclosed by the corresponding electoral authority regarding the contributions made by BCP, MIBANCO and PACIFICO. These elements operate as mitigating factors for the sanction to be imposed. However, it is also true that the Issuer breached its obligation to disclose this decision at the time, and that this agreement clearly had an impact on the securities market when it was made, as previously noted, given the inherent significance of such decisions, regardless of any constitutional right to political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1788160"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33" w:lineRule="exact"/>
        <w:rPr>
          <w:sz w:val="20"/>
          <w:szCs w:val="20"/>
          <w:color w:val="auto"/>
        </w:rPr>
      </w:pPr>
    </w:p>
    <w:p>
      <w:pPr>
        <w:ind w:left="183" w:hanging="183"/>
        <w:spacing w:after="0"/>
        <w:tabs>
          <w:tab w:leader="none" w:pos="183" w:val="left"/>
        </w:tabs>
        <w:numPr>
          <w:ilvl w:val="0"/>
          <w:numId w:val="20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D.S. N° 252-2010-EF 2010 y D.S. N° 311-2009-EF (UIT: S/ 3,600).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7146290"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157" w:name="page158"/>
    <w:bookmarkEnd w:id="157"/>
    <w:p>
      <w:pPr>
        <w:ind w:left="3" w:hanging="3"/>
        <w:spacing w:after="0" w:line="290" w:lineRule="auto"/>
        <w:tabs>
          <w:tab w:leader="none" w:pos="249" w:val="left"/>
        </w:tabs>
        <w:numPr>
          <w:ilvl w:val="0"/>
          <w:numId w:val="2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Additionally, investors should have been informed of the Issuer’s decision to support, through its subsidiaries, contributions to the political party </w:t>
      </w:r>
      <w:r>
        <w:rPr>
          <w:rFonts w:ascii="Times New Roman" w:cs="Times New Roman" w:eastAsia="Times New Roman" w:hAnsi="Times New Roman"/>
          <w:sz w:val="16"/>
          <w:szCs w:val="16"/>
          <w:b w:val="1"/>
          <w:bCs w:val="1"/>
          <w:color w:val="auto"/>
        </w:rPr>
        <w:t>PERUANOS POR EL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KAMBIO</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b w:val="1"/>
          <w:bCs w:val="1"/>
          <w:color w:val="auto"/>
        </w:rPr>
      </w:pPr>
    </w:p>
    <w:p>
      <w:pPr>
        <w:jc w:val="both"/>
        <w:ind w:left="3" w:hanging="3"/>
        <w:spacing w:after="0" w:line="198" w:lineRule="exact"/>
        <w:tabs>
          <w:tab w:leader="none" w:pos="254" w:val="left"/>
        </w:tabs>
        <w:numPr>
          <w:ilvl w:val="0"/>
          <w:numId w:val="2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Taking into account the circumstances of the facts already described, the sanction proposal formulated by the IGCC, the analysis made in this Resolution regarding the charge, and the defenses and arguments presented by the Issuer, this Deputy Superintendency considers that the fine to be imposed on the Issuer for this second infraction should be two hundred ten (210) UIT</w:t>
      </w:r>
      <w:r>
        <w:rPr>
          <w:rFonts w:ascii="Times New Roman" w:cs="Times New Roman" w:eastAsia="Times New Roman" w:hAnsi="Times New Roman"/>
          <w:sz w:val="26"/>
          <w:szCs w:val="26"/>
          <w:color w:val="auto"/>
          <w:vertAlign w:val="superscript"/>
        </w:rPr>
        <w:t>64</w:t>
      </w:r>
      <w:r>
        <w:rPr>
          <w:rFonts w:ascii="Times New Roman" w:cs="Times New Roman" w:eastAsia="Times New Roman" w:hAnsi="Times New Roman"/>
          <w:sz w:val="16"/>
          <w:szCs w:val="16"/>
          <w:color w:val="auto"/>
        </w:rPr>
        <w:t>, equivalent to S/ 829,500.00 (Eight Hundred Twenty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Nine Thousand Five Hundred and 00/100 Soles), taking into account the UIT in force at the beginning of the commission of the infraction, which corresponds to 30% of the maximum scale for this type of infraction; and,</w:t>
      </w:r>
    </w:p>
    <w:p>
      <w:pPr>
        <w:spacing w:after="0" w:line="145" w:lineRule="exact"/>
        <w:rPr>
          <w:sz w:val="20"/>
          <w:szCs w:val="20"/>
          <w:color w:val="auto"/>
        </w:rPr>
      </w:pPr>
    </w:p>
    <w:p>
      <w:pPr>
        <w:ind w:left="3"/>
        <w:spacing w:after="0" w:line="184" w:lineRule="exact"/>
        <w:rPr>
          <w:sz w:val="20"/>
          <w:szCs w:val="20"/>
          <w:color w:val="auto"/>
        </w:rPr>
      </w:pPr>
      <w:r>
        <w:rPr>
          <w:rFonts w:ascii="Times New Roman" w:cs="Times New Roman" w:eastAsia="Times New Roman" w:hAnsi="Times New Roman"/>
          <w:sz w:val="16"/>
          <w:szCs w:val="16"/>
          <w:color w:val="auto"/>
        </w:rPr>
        <w:t>In accordance with numeral 13 of Article 43 of the Regulation on Organization and Functions of the SMV, approved by Supreme Decree No. 216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w:t>
      </w:r>
    </w:p>
    <w:p>
      <w:pPr>
        <w:spacing w:after="0" w:line="23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RESOLVES:</w:t>
      </w:r>
    </w:p>
    <w:p>
      <w:pPr>
        <w:spacing w:after="0" w:line="204" w:lineRule="exact"/>
        <w:rPr>
          <w:sz w:val="20"/>
          <w:szCs w:val="20"/>
          <w:color w:val="auto"/>
        </w:rPr>
      </w:pPr>
    </w:p>
    <w:p>
      <w:pPr>
        <w:jc w:val="both"/>
        <w:ind w:left="3"/>
        <w:spacing w:after="0" w:line="199" w:lineRule="exact"/>
        <w:rPr>
          <w:sz w:val="20"/>
          <w:szCs w:val="20"/>
          <w:color w:val="auto"/>
        </w:rPr>
      </w:pPr>
      <w:r>
        <w:rPr>
          <w:rFonts w:ascii="Times New Roman" w:cs="Times New Roman" w:eastAsia="Times New Roman" w:hAnsi="Times New Roman"/>
          <w:sz w:val="16"/>
          <w:szCs w:val="16"/>
          <w:b w:val="1"/>
          <w:bCs w:val="1"/>
          <w:color w:val="auto"/>
        </w:rPr>
        <w:t xml:space="preserve">Article 1. </w:t>
      </w:r>
      <w:r>
        <w:rPr>
          <w:rFonts w:ascii="Times New Roman" w:cs="Times New Roman" w:eastAsia="Times New Roman" w:hAnsi="Times New Roman"/>
          <w:sz w:val="16"/>
          <w:szCs w:val="16"/>
          <w:color w:val="auto"/>
        </w:rPr>
        <w:t>– Declare that Credicorp LTD. has incurred a very serious infraction typified in subsection 1.6, numeral 1 of Annex I of the Sanctions Regulation, approved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EF/94.10, in force at the time of the events, for engaging in conduct involving the concealment of information that affected the transparency of the securities market, by failing to disclose relevant information to said market regarding the cash contributions made to the political party </w:t>
      </w:r>
      <w:r>
        <w:rPr>
          <w:rFonts w:ascii="Times New Roman" w:cs="Times New Roman" w:eastAsia="Times New Roman" w:hAnsi="Times New Roman"/>
          <w:sz w:val="16"/>
          <w:szCs w:val="16"/>
          <w:i w:val="1"/>
          <w:iCs w:val="1"/>
          <w:color w:val="auto"/>
        </w:rPr>
        <w:t>Fuerza 2011</w:t>
      </w:r>
      <w:r>
        <w:rPr>
          <w:rFonts w:ascii="Times New Roman" w:cs="Times New Roman" w:eastAsia="Times New Roman" w:hAnsi="Times New Roman"/>
          <w:sz w:val="16"/>
          <w:szCs w:val="16"/>
          <w:color w:val="auto"/>
        </w:rPr>
        <w:t xml:space="preserve"> during the 2011 presidential campaign.</w:t>
      </w:r>
    </w:p>
    <w:p>
      <w:pPr>
        <w:spacing w:after="0" w:line="177" w:lineRule="exact"/>
        <w:rPr>
          <w:sz w:val="20"/>
          <w:szCs w:val="20"/>
          <w:color w:val="auto"/>
        </w:rPr>
      </w:pPr>
    </w:p>
    <w:p>
      <w:pPr>
        <w:jc w:val="both"/>
        <w:ind w:left="3"/>
        <w:spacing w:after="0" w:line="199" w:lineRule="exact"/>
        <w:rPr>
          <w:sz w:val="20"/>
          <w:szCs w:val="20"/>
          <w:color w:val="auto"/>
        </w:rPr>
      </w:pPr>
      <w:r>
        <w:rPr>
          <w:rFonts w:ascii="Times New Roman" w:cs="Times New Roman" w:eastAsia="Times New Roman" w:hAnsi="Times New Roman"/>
          <w:sz w:val="16"/>
          <w:szCs w:val="16"/>
          <w:b w:val="1"/>
          <w:bCs w:val="1"/>
          <w:color w:val="auto"/>
        </w:rPr>
        <w:t xml:space="preserve">Article 2. </w:t>
      </w:r>
      <w:r>
        <w:rPr>
          <w:rFonts w:ascii="Times New Roman" w:cs="Times New Roman" w:eastAsia="Times New Roman" w:hAnsi="Times New Roman"/>
          <w:sz w:val="16"/>
          <w:szCs w:val="16"/>
          <w:color w:val="auto"/>
        </w:rPr>
        <w:t>– Declare that Credicorp LTD. has incurred a very serious infraction typified in subsection 1.5, numeral 1 of Annex I of the Sanctions Regulation, approved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CONASEV Resolution No.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amended by SMV Resolution No.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SMV/01, in force at the time of the events, for engaging in conduct involving the concealment of information that affected the transparency of the securities market, by failing to disclose relevant information regarding the decision of its Executive Committee to make, through its subsidiaries, contributions to the political party </w:t>
      </w:r>
      <w:r>
        <w:rPr>
          <w:rFonts w:ascii="Times New Roman" w:cs="Times New Roman" w:eastAsia="Times New Roman" w:hAnsi="Times New Roman"/>
          <w:sz w:val="16"/>
          <w:szCs w:val="16"/>
          <w:i w:val="1"/>
          <w:iCs w:val="1"/>
          <w:color w:val="auto"/>
        </w:rPr>
        <w:t>Peruanos Por El Kambio</w:t>
      </w:r>
      <w:r>
        <w:rPr>
          <w:rFonts w:ascii="Times New Roman" w:cs="Times New Roman" w:eastAsia="Times New Roman" w:hAnsi="Times New Roman"/>
          <w:sz w:val="16"/>
          <w:szCs w:val="16"/>
          <w:color w:val="auto"/>
        </w:rPr>
        <w:t xml:space="preserve"> during the 2016 presidential campaign.</w:t>
      </w:r>
    </w:p>
    <w:p>
      <w:pPr>
        <w:spacing w:after="0" w:line="177" w:lineRule="exact"/>
        <w:rPr>
          <w:sz w:val="20"/>
          <w:szCs w:val="20"/>
          <w:color w:val="auto"/>
        </w:rPr>
      </w:pPr>
    </w:p>
    <w:p>
      <w:pPr>
        <w:jc w:val="both"/>
        <w:ind w:left="3"/>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Article 3. </w:t>
      </w:r>
      <w:r>
        <w:rPr>
          <w:rFonts w:ascii="Times New Roman" w:cs="Times New Roman" w:eastAsia="Times New Roman" w:hAnsi="Times New Roman"/>
          <w:sz w:val="16"/>
          <w:szCs w:val="16"/>
          <w:color w:val="auto"/>
        </w:rPr>
        <w:t>– Sanction Credicorp LTD. with a fine of three hundred (300) UIT, equivalent to S/ 1,080,000.00 (One Million Eighty Thousand and 00/100 Soles), pursuant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provisions of Article 1 of this Resolution.</w:t>
      </w:r>
    </w:p>
    <w:p>
      <w:pPr>
        <w:spacing w:after="0" w:line="104" w:lineRule="exact"/>
        <w:rPr>
          <w:sz w:val="20"/>
          <w:szCs w:val="20"/>
          <w:color w:val="auto"/>
        </w:rPr>
      </w:pPr>
    </w:p>
    <w:p>
      <w:pPr>
        <w:jc w:val="both"/>
        <w:ind w:left="3"/>
        <w:spacing w:after="0" w:line="221" w:lineRule="exact"/>
        <w:rPr>
          <w:sz w:val="20"/>
          <w:szCs w:val="20"/>
          <w:color w:val="auto"/>
        </w:rPr>
      </w:pPr>
      <w:r>
        <w:rPr>
          <w:rFonts w:ascii="Times New Roman" w:cs="Times New Roman" w:eastAsia="Times New Roman" w:hAnsi="Times New Roman"/>
          <w:sz w:val="16"/>
          <w:szCs w:val="16"/>
          <w:b w:val="1"/>
          <w:bCs w:val="1"/>
          <w:color w:val="auto"/>
        </w:rPr>
        <w:t xml:space="preserve">Article 4. </w:t>
      </w:r>
      <w:r>
        <w:rPr>
          <w:rFonts w:ascii="Times New Roman" w:cs="Times New Roman" w:eastAsia="Times New Roman" w:hAnsi="Times New Roman"/>
          <w:sz w:val="16"/>
          <w:szCs w:val="16"/>
          <w:color w:val="auto"/>
        </w:rPr>
        <w:t>– Sanction Credicorp LTD. with a fine of two hundred ten (210) UIT, equivalent to S/ 829,500.00 (Eight Hundred Twenty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Nine Thousand Five Hundred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00/100 Soles), pursuant to the provisions of Article 2 of this Resolution.</w:t>
      </w:r>
    </w:p>
    <w:p>
      <w:pPr>
        <w:spacing w:after="0" w:line="177" w:lineRule="exact"/>
        <w:rPr>
          <w:sz w:val="20"/>
          <w:szCs w:val="20"/>
          <w:color w:val="auto"/>
        </w:rPr>
      </w:pPr>
    </w:p>
    <w:p>
      <w:pPr>
        <w:jc w:val="both"/>
        <w:ind w:left="3"/>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Article 5. </w:t>
      </w:r>
      <w:r>
        <w:rPr>
          <w:rFonts w:ascii="Times New Roman" w:cs="Times New Roman" w:eastAsia="Times New Roman" w:hAnsi="Times New Roman"/>
          <w:sz w:val="16"/>
          <w:szCs w:val="16"/>
          <w:color w:val="auto"/>
        </w:rPr>
        <w:t>– This Resolution does not exhaust administrative remedies and may be challenged through a motion for reconsideration or an appeal before the Deputy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Superintendency of Market Conduct Supervision, within fifteen (15) business days counted from the day following its notification. If this Resolution is not challenged, the Issuer may request the application of the sanction reduction regime.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788160"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18" w:lineRule="exact"/>
        <w:rPr>
          <w:sz w:val="20"/>
          <w:szCs w:val="20"/>
          <w:color w:val="auto"/>
        </w:rPr>
      </w:pPr>
    </w:p>
    <w:p>
      <w:pPr>
        <w:ind w:left="183" w:hanging="183"/>
        <w:spacing w:after="0"/>
        <w:tabs>
          <w:tab w:leader="none" w:pos="183" w:val="left"/>
        </w:tabs>
        <w:numPr>
          <w:ilvl w:val="0"/>
          <w:numId w:val="20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D.S. N° 397-2015-EF (UIT: S/ 3,950).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7146290"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158" w:name="page159"/>
    <w:bookmarkEnd w:id="158"/>
    <w:p>
      <w:pPr>
        <w:jc w:val="both"/>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Article 6. </w:t>
      </w:r>
      <w:r>
        <w:rPr>
          <w:rFonts w:ascii="Times New Roman" w:cs="Times New Roman" w:eastAsia="Times New Roman" w:hAnsi="Times New Roman"/>
          <w:sz w:val="16"/>
          <w:szCs w:val="16"/>
          <w:color w:val="auto"/>
        </w:rPr>
        <w:t>– If this Resolution is not challenged through a motion for reconsideration or an appeal, it shall be published on the Securities Market Portal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Superintendency of the Securities Market – SMV, in compliance with numeral 1 of Article 7 of the Policy on the Publication of Regulatory Drafts, General Legal Rules, and Other Administrative Acts of the SMV, approved by SMV Resolution No. 014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and with the last paragraph of Article 14 of SMV Resolution No. 035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Article 7. </w:t>
      </w:r>
      <w:r>
        <w:rPr>
          <w:rFonts w:ascii="Times New Roman" w:cs="Times New Roman" w:eastAsia="Times New Roman" w:hAnsi="Times New Roman"/>
          <w:sz w:val="16"/>
          <w:szCs w:val="16"/>
          <w:color w:val="auto"/>
        </w:rPr>
        <w:t>– Send a copy of this Resolution to Credicorp LTD. and to the Lima Stock Exchange S.A.A.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Register, communicate, and publish.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Roberto Pereda Gálvez</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Deputy Superintendent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Deputy Superintendency of Market Conduct Supervision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233045</wp:posOffset>
            </wp:positionV>
            <wp:extent cx="7146290"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ANNEX 1</w:t>
      </w:r>
    </w:p>
    <w:p>
      <w:pPr>
        <w:spacing w:after="0" w:line="20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THE ISSUER</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Credicorp Ltd. was incorporated on August 17, 1995 in the City of Hamilton, Bermuda, registered under No. EC21045.</w:t>
      </w:r>
    </w:p>
    <w:p>
      <w:pPr>
        <w:spacing w:after="0" w:line="204" w:lineRule="exact"/>
        <w:rPr>
          <w:sz w:val="20"/>
          <w:szCs w:val="20"/>
          <w:color w:val="auto"/>
        </w:rPr>
      </w:pPr>
    </w:p>
    <w:p>
      <w:pPr>
        <w:jc w:val="both"/>
        <w:ind w:left="3"/>
        <w:spacing w:after="0" w:line="271" w:lineRule="auto"/>
        <w:rPr>
          <w:sz w:val="20"/>
          <w:szCs w:val="20"/>
          <w:color w:val="auto"/>
        </w:rPr>
      </w:pPr>
      <w:r>
        <w:rPr>
          <w:rFonts w:ascii="Times New Roman" w:cs="Times New Roman" w:eastAsia="Times New Roman" w:hAnsi="Times New Roman"/>
          <w:sz w:val="16"/>
          <w:szCs w:val="16"/>
          <w:color w:val="auto"/>
        </w:rPr>
        <w:t>Its shares have been registered in the Public Securities Market Registry (RPMV) since September 1999. Its share capital amounted to 471,911,585 as of December 31, 2019, represented by 94,382,317 common voting shares, each with a par value of US$ 5.00</w:t>
      </w:r>
      <w:r>
        <w:rPr>
          <w:rFonts w:ascii="Times New Roman" w:cs="Times New Roman" w:eastAsia="Times New Roman" w:hAnsi="Times New Roman"/>
          <w:sz w:val="26"/>
          <w:szCs w:val="26"/>
          <w:color w:val="auto"/>
          <w:vertAlign w:val="superscript"/>
        </w:rPr>
        <w:t>65</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3"/>
        <w:spacing w:after="0" w:line="184" w:lineRule="exact"/>
        <w:rPr>
          <w:sz w:val="20"/>
          <w:szCs w:val="20"/>
          <w:color w:val="auto"/>
        </w:rPr>
      </w:pPr>
      <w:r>
        <w:rPr>
          <w:rFonts w:ascii="Times New Roman" w:cs="Times New Roman" w:eastAsia="Times New Roman" w:hAnsi="Times New Roman"/>
          <w:sz w:val="16"/>
          <w:szCs w:val="16"/>
          <w:color w:val="auto"/>
        </w:rPr>
        <w:t>The shareholder composition with voting rights as of 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 based on percentage ownership relative to total outstanding shares, is as follows:</w:t>
      </w:r>
    </w:p>
    <w:p>
      <w:pPr>
        <w:spacing w:after="0" w:line="257"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2040" w:type="dxa"/>
            <w:vAlign w:val="bottom"/>
            <w:shd w:val="clear" w:color="auto" w:fill="F5F5F5"/>
          </w:tcPr>
          <w:p>
            <w:pPr>
              <w:ind w:left="1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2820" w:type="dxa"/>
            <w:vAlign w:val="bottom"/>
            <w:shd w:val="clear" w:color="auto" w:fill="F5F5F5"/>
          </w:tcPr>
          <w:p>
            <w:pPr>
              <w:ind w:left="620"/>
              <w:spacing w:after="0"/>
              <w:rPr>
                <w:sz w:val="20"/>
                <w:szCs w:val="20"/>
                <w:color w:val="auto"/>
              </w:rPr>
            </w:pPr>
            <w:r>
              <w:rPr>
                <w:rFonts w:ascii="Times New Roman" w:cs="Times New Roman" w:eastAsia="Times New Roman" w:hAnsi="Times New Roman"/>
                <w:sz w:val="16"/>
                <w:szCs w:val="16"/>
                <w:b w:val="1"/>
                <w:bCs w:val="1"/>
                <w:color w:val="auto"/>
              </w:rPr>
              <w:t>Number of Shareholders</w:t>
            </w:r>
          </w:p>
        </w:tc>
        <w:tc>
          <w:tcPr>
            <w:tcW w:w="3000" w:type="dxa"/>
            <w:vAlign w:val="bottom"/>
            <w:shd w:val="clear" w:color="auto" w:fill="F5F5F5"/>
          </w:tcPr>
          <w:p>
            <w:pPr>
              <w:ind w:left="500"/>
              <w:spacing w:after="0"/>
              <w:rPr>
                <w:sz w:val="20"/>
                <w:szCs w:val="20"/>
                <w:color w:val="auto"/>
              </w:rPr>
            </w:pPr>
            <w:r>
              <w:rPr>
                <w:rFonts w:ascii="Times New Roman" w:cs="Times New Roman" w:eastAsia="Times New Roman" w:hAnsi="Times New Roman"/>
                <w:sz w:val="16"/>
                <w:szCs w:val="16"/>
                <w:b w:val="1"/>
                <w:bCs w:val="1"/>
                <w:color w:val="auto"/>
              </w:rPr>
              <w:t>Participation Percentage</w:t>
            </w:r>
          </w:p>
        </w:tc>
      </w:tr>
      <w:tr>
        <w:trPr>
          <w:trHeight w:val="388"/>
        </w:trPr>
        <w:tc>
          <w:tcPr>
            <w:tcW w:w="2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Less than 1%</w:t>
            </w:r>
          </w:p>
        </w:tc>
        <w:tc>
          <w:tcPr>
            <w:tcW w:w="2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5,089</w:t>
            </w:r>
          </w:p>
        </w:tc>
        <w:tc>
          <w:tcPr>
            <w:tcW w:w="30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7.27%</w:t>
            </w:r>
          </w:p>
        </w:tc>
      </w:tr>
      <w:tr>
        <w:trPr>
          <w:trHeight w:val="388"/>
        </w:trPr>
        <w:tc>
          <w:tcPr>
            <w:tcW w:w="2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Between 1% – 4.9%</w:t>
            </w:r>
          </w:p>
        </w:tc>
        <w:tc>
          <w:tcPr>
            <w:tcW w:w="2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0</w:t>
            </w:r>
          </w:p>
        </w:tc>
        <w:tc>
          <w:tcPr>
            <w:tcW w:w="30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w:t>
            </w:r>
          </w:p>
        </w:tc>
      </w:tr>
      <w:tr>
        <w:trPr>
          <w:trHeight w:val="388"/>
        </w:trPr>
        <w:tc>
          <w:tcPr>
            <w:tcW w:w="2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Between 1% – 4.9%</w:t>
            </w:r>
          </w:p>
        </w:tc>
        <w:tc>
          <w:tcPr>
            <w:tcW w:w="2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0</w:t>
            </w:r>
          </w:p>
        </w:tc>
        <w:tc>
          <w:tcPr>
            <w:tcW w:w="30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w:t>
            </w:r>
          </w:p>
        </w:tc>
      </w:tr>
      <w:tr>
        <w:trPr>
          <w:trHeight w:val="388"/>
        </w:trPr>
        <w:tc>
          <w:tcPr>
            <w:tcW w:w="2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More than 10%</w:t>
            </w:r>
          </w:p>
        </w:tc>
        <w:tc>
          <w:tcPr>
            <w:tcW w:w="2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1</w:t>
            </w:r>
          </w:p>
        </w:tc>
        <w:tc>
          <w:tcPr>
            <w:tcW w:w="30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15.49%</w:t>
            </w:r>
          </w:p>
        </w:tc>
      </w:tr>
      <w:tr>
        <w:trPr>
          <w:trHeight w:val="524"/>
        </w:trPr>
        <w:tc>
          <w:tcPr>
            <w:tcW w:w="2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N.D.</w:t>
            </w:r>
            <w:r>
              <w:rPr>
                <w:rFonts w:ascii="Times New Roman" w:cs="Times New Roman" w:eastAsia="Times New Roman" w:hAnsi="Times New Roman"/>
                <w:sz w:val="26"/>
                <w:szCs w:val="26"/>
                <w:color w:val="auto"/>
                <w:vertAlign w:val="superscript"/>
              </w:rPr>
              <w:t>66</w:t>
            </w:r>
          </w:p>
        </w:tc>
        <w:tc>
          <w:tcPr>
            <w:tcW w:w="2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N.D.</w:t>
            </w:r>
          </w:p>
        </w:tc>
        <w:tc>
          <w:tcPr>
            <w:tcW w:w="30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77.24%</w:t>
            </w:r>
          </w:p>
        </w:tc>
      </w:tr>
    </w:tbl>
    <w:p>
      <w:pPr>
        <w:spacing w:after="0" w:line="4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Source: 2019 Annual Report</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Credicorp Ltd. operates primarily through four lines of business: universal banking, microfinance, insurance and pensions, and investment banking and wealth management.</w:t>
      </w:r>
    </w:p>
    <w:p>
      <w:pPr>
        <w:spacing w:after="0" w:line="204"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16"/>
          <w:szCs w:val="16"/>
          <w:color w:val="auto"/>
        </w:rPr>
        <w:t>Credicorp’s nine (09) main subsidiaries are: Banco de Crédito del Perú (BCP), Banco de Crédito de Bolivia (held through Inversiones Credicorp Bolivia S.A.), Mibanco Banco de la Microempresa S.A. (Mibanco), Pacífico Compañía de Seguros y Reaseguros (together with its consolidated subsidiaries, referred to as Grupo Pacífico), Prima AFP, Edyficar S.A.S., Banco Compartir S.A., Credicorp Capital Ltd. (together with its subsidiaries, Credicorp Capital), and Atlantic Security Bank.</w:t>
      </w:r>
      <w:r>
        <w:rPr>
          <w:rFonts w:ascii="Times New Roman" w:cs="Times New Roman" w:eastAsia="Times New Roman" w:hAnsi="Times New Roman"/>
          <w:sz w:val="26"/>
          <w:szCs w:val="26"/>
          <w:color w:val="auto"/>
          <w:vertAlign w:val="superscript"/>
        </w:rPr>
        <w:t>67</w:t>
      </w:r>
    </w:p>
    <w:p>
      <w:pPr>
        <w:spacing w:after="0" w:line="10" w:lineRule="exact"/>
        <w:rPr>
          <w:sz w:val="20"/>
          <w:szCs w:val="20"/>
          <w:color w:val="auto"/>
        </w:rPr>
      </w:pPr>
    </w:p>
    <w:p>
      <w:pPr>
        <w:jc w:val="both"/>
        <w:ind w:left="3"/>
        <w:spacing w:after="0" w:line="220" w:lineRule="auto"/>
        <w:rPr>
          <w:sz w:val="20"/>
          <w:szCs w:val="20"/>
          <w:color w:val="auto"/>
        </w:rPr>
      </w:pPr>
      <w:r>
        <w:rPr>
          <w:rFonts w:ascii="Times New Roman" w:cs="Times New Roman" w:eastAsia="Times New Roman" w:hAnsi="Times New Roman"/>
          <w:sz w:val="16"/>
          <w:szCs w:val="16"/>
          <w:color w:val="auto"/>
        </w:rPr>
        <w:t>The company’s shares are listed on the stock exchanges of the United States, Peru (BVL), Mexico, Germany, and London</w:t>
      </w:r>
      <w:r>
        <w:rPr>
          <w:rFonts w:ascii="Times New Roman" w:cs="Times New Roman" w:eastAsia="Times New Roman" w:hAnsi="Times New Roman"/>
          <w:sz w:val="26"/>
          <w:szCs w:val="26"/>
          <w:color w:val="auto"/>
          <w:vertAlign w:val="superscript"/>
        </w:rPr>
        <w:t>68</w:t>
      </w:r>
      <w:r>
        <w:rPr>
          <w:rFonts w:ascii="Times New Roman" w:cs="Times New Roman" w:eastAsia="Times New Roman" w:hAnsi="Times New Roman"/>
          <w:sz w:val="16"/>
          <w:szCs w:val="16"/>
          <w:color w:val="auto"/>
        </w:rPr>
        <w:t>. Regarding debt, Credicorp Ltd. has two bonds maturing in June 2025, issued in the U.S. market under Regulation S and Rule 144A.</w:t>
      </w:r>
      <w:r>
        <w:rPr>
          <w:rFonts w:ascii="Times New Roman" w:cs="Times New Roman" w:eastAsia="Times New Roman" w:hAnsi="Times New Roman"/>
          <w:sz w:val="26"/>
          <w:szCs w:val="26"/>
          <w:color w:val="auto"/>
          <w:vertAlign w:val="superscript"/>
        </w:rPr>
        <w:t>69</w:t>
      </w:r>
    </w:p>
    <w:p>
      <w:pPr>
        <w:spacing w:after="0" w:line="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following table shows the importance of Credicorp Ltd.’s subsidiaries based on their contribution to net income attributable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1788160"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66" w:lineRule="exact"/>
        <w:rPr>
          <w:sz w:val="20"/>
          <w:szCs w:val="20"/>
          <w:color w:val="auto"/>
        </w:rPr>
      </w:pPr>
    </w:p>
    <w:p>
      <w:pPr>
        <w:ind w:left="183" w:hanging="183"/>
        <w:spacing w:after="0"/>
        <w:tabs>
          <w:tab w:leader="none" w:pos="183" w:val="left"/>
        </w:tabs>
        <w:numPr>
          <w:ilvl w:val="0"/>
          <w:numId w:val="20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File 1995001552 and 2019 Annual Report.</w:t>
      </w:r>
    </w:p>
    <w:p>
      <w:pPr>
        <w:spacing w:after="0" w:line="2" w:lineRule="exact"/>
        <w:rPr>
          <w:rFonts w:ascii="Times New Roman" w:cs="Times New Roman" w:eastAsia="Times New Roman" w:hAnsi="Times New Roman"/>
          <w:sz w:val="27"/>
          <w:szCs w:val="27"/>
          <w:color w:val="auto"/>
          <w:vertAlign w:val="superscript"/>
        </w:rPr>
      </w:pPr>
    </w:p>
    <w:p>
      <w:pPr>
        <w:ind w:left="3" w:hanging="3"/>
        <w:spacing w:after="0" w:line="187" w:lineRule="auto"/>
        <w:tabs>
          <w:tab w:leader="none" w:pos="182" w:val="left"/>
        </w:tabs>
        <w:numPr>
          <w:ilvl w:val="0"/>
          <w:numId w:val="20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76.15% of Credicorp’s shares correspond to holdings whose purchase and sale take place on the NYSE, where it is not possible to identify the ultimate beneficiary due to NYSE disclosure rules.</w:t>
      </w:r>
    </w:p>
    <w:p>
      <w:pPr>
        <w:spacing w:after="0" w:line="1" w:lineRule="exact"/>
        <w:rPr>
          <w:rFonts w:ascii="Times New Roman" w:cs="Times New Roman" w:eastAsia="Times New Roman" w:hAnsi="Times New Roman"/>
          <w:sz w:val="27"/>
          <w:szCs w:val="27"/>
          <w:color w:val="auto"/>
          <w:vertAlign w:val="superscript"/>
        </w:rPr>
      </w:pPr>
    </w:p>
    <w:p>
      <w:pPr>
        <w:ind w:left="183" w:hanging="183"/>
        <w:spacing w:after="0" w:line="197" w:lineRule="exact"/>
        <w:tabs>
          <w:tab w:leader="none" w:pos="183" w:val="left"/>
        </w:tabs>
        <w:numPr>
          <w:ilvl w:val="0"/>
          <w:numId w:val="20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Source: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filed to the SEC, 2020.</w:t>
      </w:r>
    </w:p>
    <w:p>
      <w:pPr>
        <w:ind w:left="183" w:hanging="183"/>
        <w:spacing w:after="0" w:line="182" w:lineRule="auto"/>
        <w:tabs>
          <w:tab w:leader="none" w:pos="183" w:val="left"/>
        </w:tabs>
        <w:numPr>
          <w:ilvl w:val="0"/>
          <w:numId w:val="20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Source: Bloomberg.</w:t>
      </w:r>
    </w:p>
    <w:p>
      <w:pPr>
        <w:spacing w:after="0" w:line="2" w:lineRule="exact"/>
        <w:rPr>
          <w:rFonts w:ascii="Times New Roman" w:cs="Times New Roman" w:eastAsia="Times New Roman" w:hAnsi="Times New Roman"/>
          <w:sz w:val="22"/>
          <w:szCs w:val="22"/>
          <w:color w:val="auto"/>
          <w:vertAlign w:val="superscript"/>
        </w:rPr>
      </w:pPr>
    </w:p>
    <w:p>
      <w:pPr>
        <w:ind w:left="183" w:hanging="183"/>
        <w:spacing w:after="0" w:line="182" w:lineRule="auto"/>
        <w:tabs>
          <w:tab w:leader="none" w:pos="183" w:val="left"/>
        </w:tabs>
        <w:numPr>
          <w:ilvl w:val="0"/>
          <w:numId w:val="20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Source: List of Credicorp issuer bonds —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46290"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160" w:name="page161"/>
    <w:bookmarkEnd w:id="160"/>
    <w:tbl>
      <w:tblPr>
        <w:tblLayout w:type="fixed"/>
        <w:tblInd w:w="1123" w:type="dxa"/>
        <w:tblCellMar>
          <w:top w:w="0" w:type="dxa"/>
          <w:left w:w="0" w:type="dxa"/>
          <w:bottom w:w="0" w:type="dxa"/>
          <w:right w:w="0" w:type="dxa"/>
        </w:tblCellMar>
      </w:tblPr>
      <w:tr>
        <w:trPr>
          <w:trHeight w:val="194"/>
        </w:trPr>
        <w:tc>
          <w:tcPr>
            <w:tcW w:w="5160" w:type="dxa"/>
            <w:vAlign w:val="bottom"/>
            <w:shd w:val="clear" w:color="auto" w:fill="0F9ED5"/>
          </w:tcPr>
          <w:p>
            <w:pPr>
              <w:ind w:left="100"/>
              <w:spacing w:after="0"/>
              <w:rPr>
                <w:sz w:val="20"/>
                <w:szCs w:val="20"/>
                <w:color w:val="auto"/>
              </w:rPr>
            </w:pPr>
            <w:r>
              <w:rPr>
                <w:rFonts w:ascii="Times New Roman" w:cs="Times New Roman" w:eastAsia="Times New Roman" w:hAnsi="Times New Roman"/>
                <w:sz w:val="16"/>
                <w:szCs w:val="16"/>
                <w:color w:val="FFFFFF"/>
              </w:rPr>
              <w:t>Business Line</w:t>
            </w:r>
          </w:p>
        </w:tc>
        <w:tc>
          <w:tcPr>
            <w:tcW w:w="3840" w:type="dxa"/>
            <w:vAlign w:val="bottom"/>
            <w:shd w:val="clear" w:color="auto" w:fill="0F9ED5"/>
          </w:tcPr>
          <w:p>
            <w:pPr>
              <w:ind w:left="2100"/>
              <w:spacing w:after="0"/>
              <w:rPr>
                <w:sz w:val="20"/>
                <w:szCs w:val="20"/>
                <w:color w:val="auto"/>
              </w:rPr>
            </w:pPr>
            <w:r>
              <w:rPr>
                <w:rFonts w:ascii="Times New Roman" w:cs="Times New Roman" w:eastAsia="Times New Roman" w:hAnsi="Times New Roman"/>
                <w:sz w:val="16"/>
                <w:szCs w:val="16"/>
                <w:color w:val="FFFFFF"/>
              </w:rPr>
              <w:t>% of Total Net Income</w:t>
            </w:r>
          </w:p>
        </w:tc>
      </w:tr>
      <w:tr>
        <w:trPr>
          <w:trHeight w:val="194"/>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Universal Banking</w:t>
            </w:r>
          </w:p>
        </w:tc>
        <w:tc>
          <w:tcPr>
            <w:tcW w:w="3840" w:type="dxa"/>
            <w:vAlign w:val="bottom"/>
            <w:shd w:val="clear" w:color="auto" w:fill="CCEEFF"/>
          </w:tcPr>
          <w:p>
            <w:pPr>
              <w:spacing w:after="0"/>
              <w:rPr>
                <w:sz w:val="16"/>
                <w:szCs w:val="16"/>
                <w:color w:val="auto"/>
              </w:rPr>
            </w:pPr>
          </w:p>
        </w:tc>
      </w:tr>
      <w:tr>
        <w:trPr>
          <w:trHeight w:val="194"/>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BCP</w:t>
            </w:r>
          </w:p>
        </w:tc>
        <w:tc>
          <w:tcPr>
            <w:tcW w:w="3840" w:type="dxa"/>
            <w:vAlign w:val="bottom"/>
          </w:tcPr>
          <w:p>
            <w:pPr>
              <w:jc w:val="center"/>
              <w:ind w:left="2059"/>
              <w:spacing w:after="0"/>
              <w:rPr>
                <w:sz w:val="20"/>
                <w:szCs w:val="20"/>
                <w:color w:val="auto"/>
              </w:rPr>
            </w:pPr>
            <w:r>
              <w:rPr>
                <w:rFonts w:ascii="Times New Roman" w:cs="Times New Roman" w:eastAsia="Times New Roman" w:hAnsi="Times New Roman"/>
                <w:sz w:val="16"/>
                <w:szCs w:val="16"/>
                <w:color w:val="auto"/>
              </w:rPr>
              <w:t>74.2%</w:t>
            </w:r>
          </w:p>
        </w:tc>
      </w:tr>
      <w:tr>
        <w:trPr>
          <w:trHeight w:val="194"/>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BCP Bolivia</w:t>
            </w:r>
          </w:p>
        </w:tc>
        <w:tc>
          <w:tcPr>
            <w:tcW w:w="3840" w:type="dxa"/>
            <w:vAlign w:val="bottom"/>
            <w:shd w:val="clear" w:color="auto" w:fill="CCEEFF"/>
          </w:tcPr>
          <w:p>
            <w:pPr>
              <w:jc w:val="center"/>
              <w:ind w:left="2059"/>
              <w:spacing w:after="0"/>
              <w:rPr>
                <w:sz w:val="20"/>
                <w:szCs w:val="20"/>
                <w:color w:val="auto"/>
              </w:rPr>
            </w:pPr>
            <w:r>
              <w:rPr>
                <w:rFonts w:ascii="Times New Roman" w:cs="Times New Roman" w:eastAsia="Times New Roman" w:hAnsi="Times New Roman"/>
                <w:sz w:val="16"/>
                <w:szCs w:val="16"/>
                <w:color w:val="auto"/>
              </w:rPr>
              <w:t>1.8%</w:t>
            </w:r>
          </w:p>
        </w:tc>
      </w:tr>
      <w:tr>
        <w:trPr>
          <w:trHeight w:val="194"/>
        </w:trPr>
        <w:tc>
          <w:tcPr>
            <w:tcW w:w="5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Insurance and Pensions</w:t>
            </w:r>
          </w:p>
        </w:tc>
        <w:tc>
          <w:tcPr>
            <w:tcW w:w="3840" w:type="dxa"/>
            <w:vAlign w:val="bottom"/>
          </w:tcPr>
          <w:p>
            <w:pPr>
              <w:spacing w:after="0"/>
              <w:rPr>
                <w:sz w:val="16"/>
                <w:szCs w:val="16"/>
                <w:color w:val="auto"/>
              </w:rPr>
            </w:pPr>
          </w:p>
        </w:tc>
      </w:tr>
      <w:tr>
        <w:trPr>
          <w:trHeight w:val="194"/>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Pacífico Seguros and Subsidiaries</w:t>
            </w:r>
          </w:p>
        </w:tc>
        <w:tc>
          <w:tcPr>
            <w:tcW w:w="3840" w:type="dxa"/>
            <w:vAlign w:val="bottom"/>
            <w:shd w:val="clear" w:color="auto" w:fill="CCEEFF"/>
          </w:tcPr>
          <w:p>
            <w:pPr>
              <w:jc w:val="center"/>
              <w:ind w:left="2059"/>
              <w:spacing w:after="0"/>
              <w:rPr>
                <w:sz w:val="20"/>
                <w:szCs w:val="20"/>
                <w:color w:val="auto"/>
              </w:rPr>
            </w:pPr>
            <w:r>
              <w:rPr>
                <w:rFonts w:ascii="Times New Roman" w:cs="Times New Roman" w:eastAsia="Times New Roman" w:hAnsi="Times New Roman"/>
                <w:sz w:val="16"/>
                <w:szCs w:val="16"/>
                <w:color w:val="auto"/>
              </w:rPr>
              <w:t>8.8%</w:t>
            </w:r>
          </w:p>
        </w:tc>
      </w:tr>
      <w:tr>
        <w:trPr>
          <w:trHeight w:val="194"/>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Prima AFP</w:t>
            </w:r>
          </w:p>
        </w:tc>
        <w:tc>
          <w:tcPr>
            <w:tcW w:w="3840" w:type="dxa"/>
            <w:vAlign w:val="bottom"/>
          </w:tcPr>
          <w:p>
            <w:pPr>
              <w:jc w:val="center"/>
              <w:ind w:left="2059"/>
              <w:spacing w:after="0"/>
              <w:rPr>
                <w:sz w:val="20"/>
                <w:szCs w:val="20"/>
                <w:color w:val="auto"/>
              </w:rPr>
            </w:pPr>
            <w:r>
              <w:rPr>
                <w:rFonts w:ascii="Times New Roman" w:cs="Times New Roman" w:eastAsia="Times New Roman" w:hAnsi="Times New Roman"/>
                <w:sz w:val="16"/>
                <w:szCs w:val="16"/>
                <w:color w:val="auto"/>
              </w:rPr>
              <w:t>4.6%</w:t>
            </w:r>
          </w:p>
        </w:tc>
      </w:tr>
      <w:tr>
        <w:trPr>
          <w:trHeight w:val="194"/>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Microfinance</w:t>
            </w:r>
          </w:p>
        </w:tc>
        <w:tc>
          <w:tcPr>
            <w:tcW w:w="3840" w:type="dxa"/>
            <w:vAlign w:val="bottom"/>
            <w:shd w:val="clear" w:color="auto" w:fill="CCEEFF"/>
          </w:tcPr>
          <w:p>
            <w:pPr>
              <w:spacing w:after="0"/>
              <w:rPr>
                <w:sz w:val="16"/>
                <w:szCs w:val="16"/>
                <w:color w:val="auto"/>
              </w:rPr>
            </w:pPr>
          </w:p>
        </w:tc>
      </w:tr>
      <w:tr>
        <w:trPr>
          <w:trHeight w:val="194"/>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Mibanco</w:t>
            </w:r>
          </w:p>
        </w:tc>
        <w:tc>
          <w:tcPr>
            <w:tcW w:w="3840" w:type="dxa"/>
            <w:vAlign w:val="bottom"/>
          </w:tcPr>
          <w:p>
            <w:pPr>
              <w:jc w:val="center"/>
              <w:ind w:left="2059"/>
              <w:spacing w:after="0"/>
              <w:rPr>
                <w:sz w:val="20"/>
                <w:szCs w:val="20"/>
                <w:color w:val="auto"/>
              </w:rPr>
            </w:pPr>
            <w:r>
              <w:rPr>
                <w:rFonts w:ascii="Times New Roman" w:cs="Times New Roman" w:eastAsia="Times New Roman" w:hAnsi="Times New Roman"/>
                <w:sz w:val="16"/>
                <w:szCs w:val="16"/>
                <w:color w:val="auto"/>
              </w:rPr>
              <w:t>9.2%</w:t>
            </w:r>
          </w:p>
        </w:tc>
      </w:tr>
      <w:tr>
        <w:trPr>
          <w:trHeight w:val="194"/>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Banco Compartir S.A.</w:t>
            </w:r>
          </w:p>
        </w:tc>
        <w:tc>
          <w:tcPr>
            <w:tcW w:w="3840" w:type="dxa"/>
            <w:vAlign w:val="bottom"/>
            <w:shd w:val="clear" w:color="auto" w:fill="CCEEFF"/>
          </w:tcPr>
          <w:p>
            <w:pPr>
              <w:jc w:val="center"/>
              <w:ind w:left="2059"/>
              <w:spacing w:after="0"/>
              <w:rPr>
                <w:sz w:val="20"/>
                <w:szCs w:val="20"/>
                <w:color w:val="auto"/>
              </w:rPr>
            </w:pPr>
            <w:r>
              <w:rPr>
                <w:rFonts w:ascii="Times New Roman" w:cs="Times New Roman" w:eastAsia="Times New Roman" w:hAnsi="Times New Roman"/>
                <w:sz w:val="16"/>
                <w:szCs w:val="16"/>
                <w:color w:val="auto"/>
              </w:rPr>
              <w:t>0.0%</w:t>
            </w:r>
          </w:p>
        </w:tc>
      </w:tr>
      <w:tr>
        <w:trPr>
          <w:trHeight w:val="194"/>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Edyficar S.A.S.</w:t>
            </w:r>
          </w:p>
        </w:tc>
        <w:tc>
          <w:tcPr>
            <w:tcW w:w="3840" w:type="dxa"/>
            <w:vAlign w:val="bottom"/>
          </w:tcPr>
          <w:p>
            <w:pPr>
              <w:jc w:val="center"/>
              <w:ind w:left="2059"/>
              <w:spacing w:after="0"/>
              <w:rPr>
                <w:sz w:val="20"/>
                <w:szCs w:val="20"/>
                <w:color w:val="auto"/>
              </w:rPr>
            </w:pPr>
            <w:r>
              <w:rPr>
                <w:rFonts w:ascii="Times New Roman" w:cs="Times New Roman" w:eastAsia="Times New Roman" w:hAnsi="Times New Roman"/>
                <w:sz w:val="16"/>
                <w:szCs w:val="16"/>
                <w:color w:val="auto"/>
              </w:rPr>
              <w:t>0.1%</w:t>
            </w:r>
          </w:p>
        </w:tc>
      </w:tr>
      <w:tr>
        <w:trPr>
          <w:trHeight w:val="194"/>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Investment Banking and Wealth Management</w:t>
            </w:r>
          </w:p>
        </w:tc>
        <w:tc>
          <w:tcPr>
            <w:tcW w:w="3840" w:type="dxa"/>
            <w:vAlign w:val="bottom"/>
            <w:shd w:val="clear" w:color="auto" w:fill="CCEEFF"/>
          </w:tcPr>
          <w:p>
            <w:pPr>
              <w:jc w:val="center"/>
              <w:ind w:left="2059"/>
              <w:spacing w:after="0"/>
              <w:rPr>
                <w:sz w:val="20"/>
                <w:szCs w:val="20"/>
                <w:color w:val="auto"/>
              </w:rPr>
            </w:pPr>
            <w:r>
              <w:rPr>
                <w:rFonts w:ascii="Times New Roman" w:cs="Times New Roman" w:eastAsia="Times New Roman" w:hAnsi="Times New Roman"/>
                <w:sz w:val="16"/>
                <w:szCs w:val="16"/>
                <w:color w:val="auto"/>
              </w:rPr>
              <w:t>5.4%</w:t>
            </w:r>
          </w:p>
        </w:tc>
      </w:tr>
      <w:tr>
        <w:trPr>
          <w:trHeight w:val="194"/>
        </w:trPr>
        <w:tc>
          <w:tcPr>
            <w:tcW w:w="5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Segments</w:t>
            </w:r>
          </w:p>
        </w:tc>
        <w:tc>
          <w:tcPr>
            <w:tcW w:w="3840" w:type="dxa"/>
            <w:vAlign w:val="bottom"/>
          </w:tcPr>
          <w:p>
            <w:pPr>
              <w:jc w:val="center"/>
              <w:ind w:left="2079"/>
              <w:spacing w:after="0"/>
              <w:rPr>
                <w:sz w:val="20"/>
                <w:szCs w:val="20"/>
                <w:color w:val="auto"/>
              </w:rPr>
            </w:pPr>
            <w:r>
              <w:rPr>
                <w:rFonts w:ascii="Times New Roman" w:cs="Times New Roman" w:eastAsia="Times New Roman" w:hAnsi="Times New Roman"/>
                <w:sz w:val="16"/>
                <w:szCs w:val="16"/>
                <w:color w:val="auto"/>
              </w:rPr>
              <w:t>-4.1%</w:t>
            </w:r>
          </w:p>
        </w:tc>
      </w:tr>
      <w:tr>
        <w:trPr>
          <w:trHeight w:val="194"/>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3840" w:type="dxa"/>
            <w:vAlign w:val="bottom"/>
            <w:shd w:val="clear" w:color="auto" w:fill="CCEEFF"/>
          </w:tcPr>
          <w:p>
            <w:pPr>
              <w:jc w:val="center"/>
              <w:ind w:left="2059"/>
              <w:spacing w:after="0"/>
              <w:rPr>
                <w:sz w:val="20"/>
                <w:szCs w:val="20"/>
                <w:color w:val="auto"/>
              </w:rPr>
            </w:pPr>
            <w:r>
              <w:rPr>
                <w:rFonts w:ascii="Times New Roman" w:cs="Times New Roman" w:eastAsia="Times New Roman" w:hAnsi="Times New Roman"/>
                <w:sz w:val="16"/>
                <w:szCs w:val="16"/>
                <w:color w:val="auto"/>
              </w:rPr>
              <w:t>100.00%</w:t>
            </w:r>
          </w:p>
        </w:tc>
      </w:tr>
    </w:tbl>
    <w:p>
      <w:pPr>
        <w:spacing w:after="0" w:line="10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70</w:t>
      </w:r>
    </w:p>
    <w:p>
      <w:pPr>
        <w:spacing w:after="0" w:line="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 xml:space="preserve">As can be seen, </w:t>
      </w:r>
      <w:r>
        <w:rPr>
          <w:rFonts w:ascii="Times New Roman" w:cs="Times New Roman" w:eastAsia="Times New Roman" w:hAnsi="Times New Roman"/>
          <w:sz w:val="16"/>
          <w:szCs w:val="16"/>
          <w:b w:val="1"/>
          <w:bCs w:val="1"/>
          <w:u w:val="single" w:color="auto"/>
          <w:color w:val="auto"/>
        </w:rPr>
        <w:t>BCP, Pacífico, and Mibanco together account for 92.2% of the total</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ind w:left="3"/>
        <w:spacing w:after="0" w:line="184" w:lineRule="exact"/>
        <w:rPr>
          <w:sz w:val="20"/>
          <w:szCs w:val="20"/>
          <w:color w:val="auto"/>
        </w:rPr>
      </w:pPr>
      <w:r>
        <w:rPr>
          <w:rFonts w:ascii="Times New Roman" w:cs="Times New Roman" w:eastAsia="Times New Roman" w:hAnsi="Times New Roman"/>
          <w:sz w:val="16"/>
          <w:szCs w:val="16"/>
          <w:color w:val="auto"/>
        </w:rPr>
        <w:t>In 2020 (the year of the COVID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19 pandemic), Credicorp Ltd. traded S/ 37.9 million on the BVL. Through its main subsidiaries, it traded an additional S/ 205.7 million.</w:t>
      </w:r>
    </w:p>
    <w:p>
      <w:pPr>
        <w:spacing w:after="0" w:line="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Below is the amount traded on the BVL (purchases and sales) by Credicorp Ltd. and its main subsidiaries in 2019 and 2020 (in millions of soles):</w:t>
      </w:r>
    </w:p>
    <w:p>
      <w:pPr>
        <w:spacing w:after="0" w:line="19" w:lineRule="exact"/>
        <w:rPr>
          <w:sz w:val="20"/>
          <w:szCs w:val="20"/>
          <w:color w:val="auto"/>
        </w:rPr>
      </w:pPr>
    </w:p>
    <w:tbl>
      <w:tblPr>
        <w:tblLayout w:type="fixed"/>
        <w:tblInd w:w="1123" w:type="dxa"/>
        <w:tblCellMar>
          <w:top w:w="0" w:type="dxa"/>
          <w:left w:w="0" w:type="dxa"/>
          <w:bottom w:w="0" w:type="dxa"/>
          <w:right w:w="0" w:type="dxa"/>
        </w:tblCellMar>
      </w:tblPr>
      <w:tr>
        <w:trPr>
          <w:trHeight w:val="184"/>
        </w:trPr>
        <w:tc>
          <w:tcPr>
            <w:tcW w:w="5120" w:type="dxa"/>
            <w:vAlign w:val="bottom"/>
            <w:shd w:val="clear" w:color="auto" w:fill="0F9ED5"/>
          </w:tcPr>
          <w:p>
            <w:pPr>
              <w:ind w:left="3000"/>
              <w:spacing w:after="0"/>
              <w:rPr>
                <w:sz w:val="20"/>
                <w:szCs w:val="20"/>
                <w:color w:val="auto"/>
              </w:rPr>
            </w:pPr>
            <w:r>
              <w:rPr>
                <w:rFonts w:ascii="Times New Roman" w:cs="Times New Roman" w:eastAsia="Times New Roman" w:hAnsi="Times New Roman"/>
                <w:sz w:val="16"/>
                <w:szCs w:val="16"/>
                <w:b w:val="1"/>
                <w:bCs w:val="1"/>
                <w:color w:val="FFFFFF"/>
              </w:rPr>
              <w:t>Client</w:t>
            </w:r>
          </w:p>
        </w:tc>
        <w:tc>
          <w:tcPr>
            <w:tcW w:w="2580" w:type="dxa"/>
            <w:vAlign w:val="bottom"/>
            <w:shd w:val="clear" w:color="auto" w:fill="0F9ED5"/>
          </w:tcPr>
          <w:p>
            <w:pPr>
              <w:jc w:val="right"/>
              <w:ind w:right="479"/>
              <w:spacing w:after="0"/>
              <w:rPr>
                <w:sz w:val="20"/>
                <w:szCs w:val="20"/>
                <w:color w:val="auto"/>
              </w:rPr>
            </w:pPr>
            <w:r>
              <w:rPr>
                <w:rFonts w:ascii="Times New Roman" w:cs="Times New Roman" w:eastAsia="Times New Roman" w:hAnsi="Times New Roman"/>
                <w:sz w:val="16"/>
                <w:szCs w:val="16"/>
                <w:b w:val="1"/>
                <w:bCs w:val="1"/>
                <w:color w:val="FFFFFF"/>
              </w:rPr>
              <w:t>2019</w:t>
            </w:r>
          </w:p>
        </w:tc>
        <w:tc>
          <w:tcPr>
            <w:tcW w:w="1300" w:type="dxa"/>
            <w:vAlign w:val="bottom"/>
            <w:shd w:val="clear" w:color="auto" w:fill="0F9ED5"/>
          </w:tcPr>
          <w:p>
            <w:pPr>
              <w:jc w:val="right"/>
              <w:ind w:right="419"/>
              <w:spacing w:after="0"/>
              <w:rPr>
                <w:sz w:val="20"/>
                <w:szCs w:val="20"/>
                <w:color w:val="auto"/>
              </w:rPr>
            </w:pPr>
            <w:r>
              <w:rPr>
                <w:rFonts w:ascii="Times New Roman" w:cs="Times New Roman" w:eastAsia="Times New Roman" w:hAnsi="Times New Roman"/>
                <w:sz w:val="16"/>
                <w:szCs w:val="16"/>
                <w:b w:val="1"/>
                <w:bCs w:val="1"/>
                <w:color w:val="FFFFFF"/>
              </w:rPr>
              <w:t>2020</w:t>
            </w:r>
          </w:p>
        </w:tc>
      </w:tr>
      <w:tr>
        <w:trPr>
          <w:trHeight w:val="194"/>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Credicorp Ltd.</w:t>
            </w:r>
          </w:p>
        </w:tc>
        <w:tc>
          <w:tcPr>
            <w:tcW w:w="2580" w:type="dxa"/>
            <w:vAlign w:val="bottom"/>
            <w:shd w:val="clear" w:color="auto" w:fill="CCEEFF"/>
          </w:tcPr>
          <w:p>
            <w:pPr>
              <w:jc w:val="center"/>
              <w:ind w:left="1179"/>
              <w:spacing w:after="0"/>
              <w:rPr>
                <w:sz w:val="20"/>
                <w:szCs w:val="20"/>
                <w:color w:val="auto"/>
              </w:rPr>
            </w:pPr>
            <w:r>
              <w:rPr>
                <w:rFonts w:ascii="Times New Roman" w:cs="Times New Roman" w:eastAsia="Times New Roman" w:hAnsi="Times New Roman"/>
                <w:sz w:val="16"/>
                <w:szCs w:val="16"/>
                <w:color w:val="auto"/>
                <w:w w:val="99"/>
              </w:rPr>
              <w:t>612.7</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37.9</w:t>
            </w:r>
          </w:p>
        </w:tc>
      </w:tr>
      <w:tr>
        <w:trPr>
          <w:trHeight w:val="194"/>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Pacífico Compañía de Seguros y Reaseguros</w:t>
            </w:r>
          </w:p>
        </w:tc>
        <w:tc>
          <w:tcPr>
            <w:tcW w:w="258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w w:val="99"/>
              </w:rPr>
              <w:t>220.3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84.8</w:t>
            </w:r>
          </w:p>
        </w:tc>
      </w:tr>
      <w:tr>
        <w:trPr>
          <w:trHeight w:val="194"/>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Prima AFP (*)</w:t>
            </w:r>
          </w:p>
        </w:tc>
        <w:tc>
          <w:tcPr>
            <w:tcW w:w="2580" w:type="dxa"/>
            <w:vAlign w:val="bottom"/>
            <w:shd w:val="clear" w:color="auto" w:fill="CCEEFF"/>
          </w:tcPr>
          <w:p>
            <w:pPr>
              <w:jc w:val="center"/>
              <w:ind w:left="1179"/>
              <w:spacing w:after="0"/>
              <w:rPr>
                <w:sz w:val="20"/>
                <w:szCs w:val="20"/>
                <w:color w:val="auto"/>
              </w:rPr>
            </w:pPr>
            <w:r>
              <w:rPr>
                <w:rFonts w:ascii="Times New Roman" w:cs="Times New Roman" w:eastAsia="Times New Roman" w:hAnsi="Times New Roman"/>
                <w:sz w:val="16"/>
                <w:szCs w:val="16"/>
                <w:color w:val="auto"/>
                <w:w w:val="99"/>
              </w:rPr>
              <w:t>4.6</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194"/>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Mibanco</w:t>
            </w:r>
          </w:p>
        </w:tc>
        <w:tc>
          <w:tcPr>
            <w:tcW w:w="258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w w:val="99"/>
              </w:rPr>
              <w:t>6.8</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r>
      <w:tr>
        <w:trPr>
          <w:trHeight w:val="194"/>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Atlantic Security Bank</w:t>
            </w:r>
          </w:p>
        </w:tc>
        <w:tc>
          <w:tcPr>
            <w:tcW w:w="2580" w:type="dxa"/>
            <w:vAlign w:val="bottom"/>
            <w:shd w:val="clear" w:color="auto" w:fill="CCEEFF"/>
          </w:tcPr>
          <w:p>
            <w:pPr>
              <w:jc w:val="center"/>
              <w:ind w:left="1179"/>
              <w:spacing w:after="0"/>
              <w:rPr>
                <w:sz w:val="20"/>
                <w:szCs w:val="20"/>
                <w:color w:val="auto"/>
              </w:rPr>
            </w:pPr>
            <w:r>
              <w:rPr>
                <w:rFonts w:ascii="Times New Roman" w:cs="Times New Roman" w:eastAsia="Times New Roman" w:hAnsi="Times New Roman"/>
                <w:sz w:val="16"/>
                <w:szCs w:val="16"/>
                <w:color w:val="auto"/>
                <w:w w:val="99"/>
              </w:rPr>
              <w:t>29.0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106.7</w:t>
            </w:r>
          </w:p>
        </w:tc>
      </w:tr>
      <w:tr>
        <w:trPr>
          <w:trHeight w:val="183"/>
        </w:trPr>
        <w:tc>
          <w:tcPr>
            <w:tcW w:w="5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258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w w:val="99"/>
              </w:rPr>
              <w:t>873.3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243.6</w:t>
            </w:r>
          </w:p>
        </w:tc>
      </w:tr>
    </w:tbl>
    <w:p>
      <w:pPr>
        <w:ind w:left="3"/>
        <w:spacing w:after="0"/>
        <w:rPr>
          <w:sz w:val="20"/>
          <w:szCs w:val="20"/>
          <w:color w:val="auto"/>
        </w:rPr>
      </w:pPr>
      <w:r>
        <w:rPr>
          <w:rFonts w:ascii="Times New Roman" w:cs="Times New Roman" w:eastAsia="Times New Roman" w:hAnsi="Times New Roman"/>
          <w:sz w:val="16"/>
          <w:szCs w:val="16"/>
          <w:i w:val="1"/>
          <w:iCs w:val="1"/>
          <w:color w:val="auto"/>
        </w:rPr>
        <w:t xml:space="preserve">(*): Only includes the amount negotiated to the administrator company account. </w:t>
      </w:r>
      <w:r>
        <w:rPr>
          <w:rFonts w:ascii="Times New Roman" w:cs="Times New Roman" w:eastAsia="Times New Roman" w:hAnsi="Times New Roman"/>
          <w:sz w:val="26"/>
          <w:szCs w:val="26"/>
          <w:i w:val="1"/>
          <w:iCs w:val="1"/>
          <w:color w:val="auto"/>
          <w:vertAlign w:val="superscript"/>
        </w:rPr>
        <w:t>71</w:t>
      </w:r>
    </w:p>
    <w:p>
      <w:pPr>
        <w:spacing w:after="0" w:line="84" w:lineRule="exact"/>
        <w:rPr>
          <w:sz w:val="20"/>
          <w:szCs w:val="20"/>
          <w:color w:val="auto"/>
        </w:rPr>
      </w:pPr>
    </w:p>
    <w:p>
      <w:pPr>
        <w:jc w:val="both"/>
        <w:ind w:left="3"/>
        <w:spacing w:after="0" w:line="268" w:lineRule="auto"/>
        <w:rPr>
          <w:sz w:val="20"/>
          <w:szCs w:val="20"/>
          <w:color w:val="auto"/>
        </w:rPr>
      </w:pPr>
      <w:r>
        <w:rPr>
          <w:rFonts w:ascii="Times New Roman" w:cs="Times New Roman" w:eastAsia="Times New Roman" w:hAnsi="Times New Roman"/>
          <w:sz w:val="16"/>
          <w:szCs w:val="16"/>
          <w:color w:val="auto"/>
        </w:rPr>
        <w:t>Credicorp Ltd.’s shares are among the most important on the BVL and have the largest weight in the General Index, representing approximately 24.5% of the total. They also hold the greatest weight in the Financials Index (88.9%), in the MILA Andean 40 Index (8.4%), and in the Lima 25 Index (8.9%). Credicorp is also the third most important company in the Selective Index with 12.7% (behind Compañía de Minas Buenaventura S.A.A. and Southern Copper Corp.), and was the second most important company in the Good Corporate Governance Index with 19.3% (behind Compañía de Minas Buenaventura S.A.A.).</w:t>
      </w:r>
      <w:r>
        <w:rPr>
          <w:rFonts w:ascii="Times New Roman" w:cs="Times New Roman" w:eastAsia="Times New Roman" w:hAnsi="Times New Roman"/>
          <w:sz w:val="26"/>
          <w:szCs w:val="26"/>
          <w:color w:val="auto"/>
          <w:vertAlign w:val="superscript"/>
        </w:rPr>
        <w:t>72</w:t>
      </w:r>
    </w:p>
    <w:p>
      <w:pPr>
        <w:spacing w:after="0" w:line="21" w:lineRule="exact"/>
        <w:rPr>
          <w:sz w:val="20"/>
          <w:szCs w:val="20"/>
          <w:color w:val="auto"/>
        </w:rPr>
      </w:pPr>
    </w:p>
    <w:p>
      <w:pPr>
        <w:jc w:val="both"/>
        <w:ind w:left="3"/>
        <w:spacing w:after="0" w:line="273" w:lineRule="auto"/>
        <w:rPr>
          <w:sz w:val="20"/>
          <w:szCs w:val="20"/>
          <w:color w:val="auto"/>
        </w:rPr>
      </w:pPr>
      <w:r>
        <w:rPr>
          <w:rFonts w:ascii="Times New Roman" w:cs="Times New Roman" w:eastAsia="Times New Roman" w:hAnsi="Times New Roman"/>
          <w:sz w:val="16"/>
          <w:szCs w:val="16"/>
          <w:color w:val="auto"/>
        </w:rPr>
        <w:t>According to Bloomberg: In 2019, 2.7 million Credicorp Ltd. shares were traded on the BVL for a total of US$ 587.5 million, while in 2020, 2.5 million shares were traded for US$ 375.0 million. Also according to Bloomberg, in 2019 on the NYSE, 72.2 million Credicorp Ltd. shares were traded for US$ 16,007.6 million, and in 2020, 104.3 million shares were traded for US$ 15,128.3 million.</w:t>
      </w:r>
      <w:r>
        <w:rPr>
          <w:rFonts w:ascii="Times New Roman" w:cs="Times New Roman" w:eastAsia="Times New Roman" w:hAnsi="Times New Roman"/>
          <w:sz w:val="26"/>
          <w:szCs w:val="26"/>
          <w:color w:val="auto"/>
          <w:vertAlign w:val="superscript"/>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1788160"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82" w:lineRule="exact"/>
        <w:rPr>
          <w:sz w:val="20"/>
          <w:szCs w:val="20"/>
          <w:color w:val="auto"/>
        </w:rPr>
      </w:pPr>
    </w:p>
    <w:p>
      <w:pPr>
        <w:ind w:left="183" w:hanging="183"/>
        <w:spacing w:after="0" w:line="311" w:lineRule="exact"/>
        <w:tabs>
          <w:tab w:leader="none" w:pos="183" w:val="left"/>
        </w:tabs>
        <w:numPr>
          <w:ilvl w:val="0"/>
          <w:numId w:val="2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Source: Form 20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 filed to the SEC, 2020.</w:t>
      </w:r>
    </w:p>
    <w:p>
      <w:pPr>
        <w:ind w:left="183" w:hanging="183"/>
        <w:spacing w:after="0" w:line="182" w:lineRule="auto"/>
        <w:tabs>
          <w:tab w:leader="none" w:pos="183" w:val="left"/>
        </w:tabs>
        <w:numPr>
          <w:ilvl w:val="0"/>
          <w:numId w:val="2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Source: Centralized Trading Mechanism – SMV.</w:t>
      </w:r>
    </w:p>
    <w:p>
      <w:pPr>
        <w:spacing w:after="0" w:line="2" w:lineRule="exact"/>
        <w:rPr>
          <w:rFonts w:ascii="Times New Roman" w:cs="Times New Roman" w:eastAsia="Times New Roman" w:hAnsi="Times New Roman"/>
          <w:sz w:val="22"/>
          <w:szCs w:val="22"/>
          <w:color w:val="auto"/>
          <w:vertAlign w:val="superscript"/>
        </w:rPr>
      </w:pPr>
    </w:p>
    <w:p>
      <w:pPr>
        <w:ind w:left="183" w:hanging="183"/>
        <w:spacing w:after="0" w:line="182" w:lineRule="auto"/>
        <w:tabs>
          <w:tab w:leader="none" w:pos="183" w:val="left"/>
        </w:tabs>
        <w:numPr>
          <w:ilvl w:val="0"/>
          <w:numId w:val="2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Source: Standard &amp; Poor’s – BVL.</w:t>
      </w:r>
    </w:p>
    <w:p>
      <w:pPr>
        <w:spacing w:after="0" w:line="2" w:lineRule="exact"/>
        <w:rPr>
          <w:rFonts w:ascii="Times New Roman" w:cs="Times New Roman" w:eastAsia="Times New Roman" w:hAnsi="Times New Roman"/>
          <w:sz w:val="22"/>
          <w:szCs w:val="22"/>
          <w:color w:val="auto"/>
          <w:vertAlign w:val="superscript"/>
        </w:rPr>
      </w:pPr>
    </w:p>
    <w:p>
      <w:pPr>
        <w:ind w:left="183" w:hanging="183"/>
        <w:spacing w:after="0" w:line="182" w:lineRule="auto"/>
        <w:tabs>
          <w:tab w:leader="none" w:pos="183" w:val="left"/>
        </w:tabs>
        <w:numPr>
          <w:ilvl w:val="0"/>
          <w:numId w:val="2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Source: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46290"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40" w:right="339" w:bottom="1440" w:gutter="0" w:footer="0" w:header="0"/>
        </w:sectPr>
      </w:pPr>
    </w:p>
    <w:bookmarkStart w:id="161" w:name="page162"/>
    <w:bookmarkEnd w:id="161"/>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From early 2010 to date, Credicorp Ltd. shares traded on the BVL have accumulated an increase of 204.38%, thus generating a positive return. They are currently traded at US$ 168.00 per share, although below their historical high of US$ 225.40 reached in March 2019.</w:t>
      </w:r>
    </w:p>
    <w:p>
      <w:pPr>
        <w:spacing w:after="0" w:line="107" w:lineRule="exact"/>
        <w:rPr>
          <w:sz w:val="20"/>
          <w:szCs w:val="20"/>
          <w:color w:val="auto"/>
        </w:rPr>
      </w:pPr>
    </w:p>
    <w:p>
      <w:pPr>
        <w:ind w:left="3" w:right="20"/>
        <w:spacing w:after="0" w:line="288" w:lineRule="exact"/>
        <w:rPr>
          <w:sz w:val="20"/>
          <w:szCs w:val="20"/>
          <w:color w:val="auto"/>
        </w:rPr>
      </w:pPr>
      <w:r>
        <w:rPr>
          <w:rFonts w:ascii="Times New Roman" w:cs="Times New Roman" w:eastAsia="Times New Roman" w:hAnsi="Times New Roman"/>
          <w:sz w:val="16"/>
          <w:szCs w:val="16"/>
          <w:color w:val="auto"/>
        </w:rPr>
        <w:t>Pursuant to items 1 and 2 of Annex I of Superintendency Resolution No. 0021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SMV/01, which approves the Institutional Investor Market Regulation, </w:t>
      </w:r>
      <w:r>
        <w:rPr>
          <w:rFonts w:ascii="Times New Roman" w:cs="Times New Roman" w:eastAsia="Times New Roman" w:hAnsi="Times New Roman"/>
          <w:sz w:val="16"/>
          <w:szCs w:val="16"/>
          <w:b w:val="1"/>
          <w:bCs w:val="1"/>
          <w:color w:val="auto"/>
        </w:rPr>
        <w:t>Credicorp Ltd.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qualifies as an Institutional Investor</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74</w:t>
      </w:r>
    </w:p>
    <w:p>
      <w:pPr>
        <w:spacing w:after="0" w:line="3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 xml:space="preserve">According to the ranking </w:t>
      </w:r>
      <w:r>
        <w:rPr>
          <w:rFonts w:ascii="Times New Roman" w:cs="Times New Roman" w:eastAsia="Times New Roman" w:hAnsi="Times New Roman"/>
          <w:sz w:val="16"/>
          <w:szCs w:val="16"/>
          <w:b w:val="1"/>
          <w:bCs w:val="1"/>
          <w:i w:val="1"/>
          <w:iCs w:val="1"/>
          <w:color w:val="auto"/>
        </w:rPr>
        <w:t>La Voz del Mercado</w:t>
      </w:r>
      <w:r>
        <w:rPr>
          <w:rFonts w:ascii="Times New Roman" w:cs="Times New Roman" w:eastAsia="Times New Roman" w:hAnsi="Times New Roman"/>
          <w:sz w:val="16"/>
          <w:szCs w:val="16"/>
          <w:color w:val="auto"/>
        </w:rPr>
        <w:t>, from 2014 to 2019—except in 2017, when it ranked second—Credicorp Ltd. has held first place in said ranking.</w:t>
      </w:r>
    </w:p>
    <w:p>
      <w:pPr>
        <w:spacing w:after="0" w:line="206" w:lineRule="exact"/>
        <w:rPr>
          <w:sz w:val="20"/>
          <w:szCs w:val="20"/>
          <w:color w:val="auto"/>
        </w:rPr>
      </w:pPr>
    </w:p>
    <w:p>
      <w:pPr>
        <w:jc w:val="both"/>
        <w:ind w:left="3"/>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La Voz del Mercado </w:t>
      </w:r>
      <w:r>
        <w:rPr>
          <w:rFonts w:ascii="Times New Roman" w:cs="Times New Roman" w:eastAsia="Times New Roman" w:hAnsi="Times New Roman"/>
          <w:sz w:val="16"/>
          <w:szCs w:val="16"/>
          <w:color w:val="auto"/>
        </w:rPr>
        <w:t>is a study conducted since 2014 jointly by EY and the BVL. It gathers the views of key players in the capital market (investors, banks, regulators,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experts, and board members), both locally and internationally, and presents findings on how market specialists perceive the quality of the corporate governance of the main companies listed on the BVL</w:t>
      </w:r>
      <w:r>
        <w:rPr>
          <w:rFonts w:ascii="Times New Roman" w:cs="Times New Roman" w:eastAsia="Times New Roman" w:hAnsi="Times New Roman"/>
          <w:sz w:val="26"/>
          <w:szCs w:val="26"/>
          <w:color w:val="auto"/>
          <w:vertAlign w:val="superscript"/>
        </w:rPr>
        <w:t>75</w:t>
      </w:r>
      <w:r>
        <w:rPr>
          <w:rFonts w:ascii="Times New Roman" w:cs="Times New Roman" w:eastAsia="Times New Roman" w:hAnsi="Times New Roman"/>
          <w:sz w:val="16"/>
          <w:szCs w:val="16"/>
          <w:color w:val="auto"/>
        </w:rPr>
        <w:t>.In 2019, the ranking was as follows</w:t>
      </w:r>
      <w:r>
        <w:rPr>
          <w:rFonts w:ascii="Times New Roman" w:cs="Times New Roman" w:eastAsia="Times New Roman" w:hAnsi="Times New Roman"/>
          <w:sz w:val="26"/>
          <w:szCs w:val="26"/>
          <w:color w:val="auto"/>
          <w:vertAlign w:val="superscript"/>
        </w:rPr>
        <w:t>76</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788160"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180" w:lineRule="exact"/>
        <w:rPr>
          <w:sz w:val="20"/>
          <w:szCs w:val="20"/>
          <w:color w:val="auto"/>
        </w:rPr>
      </w:pPr>
    </w:p>
    <w:p>
      <w:pPr>
        <w:ind w:left="3" w:hanging="3"/>
        <w:spacing w:after="0" w:line="196" w:lineRule="auto"/>
        <w:tabs>
          <w:tab w:leader="none" w:pos="203" w:val="left"/>
        </w:tabs>
        <w:numPr>
          <w:ilvl w:val="0"/>
          <w:numId w:val="2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‘Article 3.— Institutional Investors.— Institutional investors are those persons who, by virtue of their nature, characteristics, or knowledge, adequately understand, manage, and assess the risks associated with their investment decisions. (…)’</w:t>
      </w:r>
    </w:p>
    <w:p>
      <w:pPr>
        <w:ind w:left="3" w:right="720"/>
        <w:spacing w:after="0" w:line="193"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75</w:t>
      </w:r>
      <w:r>
        <w:rPr>
          <w:rFonts w:ascii="Times New Roman" w:cs="Times New Roman" w:eastAsia="Times New Roman" w:hAnsi="Times New Roman"/>
          <w:sz w:val="16"/>
          <w:szCs w:val="16"/>
          <w:u w:val="single" w:color="auto"/>
          <w:color w:val="auto"/>
        </w:rPr>
        <w:t>https://www.bvl.com.pe/quienes-somos/quienes-somos-bvl/reconocimiento-de-buen-gobiernocorporativo/la-voz-del-mercado/ranking-la-voz-del-mercado-2020</w:t>
      </w:r>
      <w:r>
        <w:rPr>
          <w:rFonts w:ascii="Times New Roman" w:cs="Times New Roman" w:eastAsia="Times New Roman" w:hAnsi="Times New Roman"/>
          <w:sz w:val="16"/>
          <w:szCs w:val="16"/>
          <w:color w:val="auto"/>
        </w:rPr>
        <w:t>. Translator’s Note: The hyperlink included in the original document is no longer available.</w:t>
      </w:r>
    </w:p>
    <w:p>
      <w:pPr>
        <w:ind w:left="183" w:hanging="183"/>
        <w:spacing w:after="0" w:line="184" w:lineRule="auto"/>
        <w:tabs>
          <w:tab w:leader="none" w:pos="183" w:val="left"/>
        </w:tabs>
        <w:numPr>
          <w:ilvl w:val="0"/>
          <w:numId w:val="2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u w:val="single" w:color="auto"/>
          <w:color w:val="auto"/>
        </w:rPr>
        <w:t>https://documents.bvl.com.pe/ipgc/Ranking_Voz_del_Mercado_2019.pdf</w:t>
      </w:r>
      <w:r>
        <w:rPr>
          <w:rFonts w:ascii="Times New Roman" w:cs="Times New Roman" w:eastAsia="Times New Roman" w:hAnsi="Times New Roman"/>
          <w:sz w:val="14"/>
          <w:szCs w:val="14"/>
          <w:color w:val="auto"/>
        </w:rPr>
        <w:t xml:space="preserve"> . Translator’s Note: The hyperlink included in the original document is no longer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46290"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2074545</wp:posOffset>
            </wp:positionH>
            <wp:positionV relativeFrom="page">
              <wp:posOffset>88900</wp:posOffset>
            </wp:positionV>
            <wp:extent cx="3407410" cy="54502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340741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Credicorp is not included in the S&amp;P/BVL IBGC Good Corporate Governance Index in the period 2020–2021.</w:t>
      </w:r>
      <w:r>
        <w:rPr>
          <w:rFonts w:ascii="Times New Roman" w:cs="Times New Roman" w:eastAsia="Times New Roman" w:hAnsi="Times New Roman"/>
          <w:sz w:val="26"/>
          <w:szCs w:val="26"/>
          <w:color w:val="auto"/>
          <w:vertAlign w:val="superscript"/>
        </w:rPr>
        <w:t>77</w:t>
      </w:r>
    </w:p>
    <w:p>
      <w:pPr>
        <w:spacing w:after="0" w:line="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Issuer has a number of Corporate Policies, including:</w:t>
      </w:r>
    </w:p>
    <w:p>
      <w:pPr>
        <w:spacing w:after="0" w:line="204" w:lineRule="exact"/>
        <w:rPr>
          <w:sz w:val="20"/>
          <w:szCs w:val="20"/>
          <w:color w:val="auto"/>
        </w:rPr>
      </w:pPr>
    </w:p>
    <w:p>
      <w:pPr>
        <w:ind w:left="583" w:hanging="292"/>
        <w:spacing w:after="0"/>
        <w:tabs>
          <w:tab w:leader="none" w:pos="583"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Code of Ethics</w:t>
      </w:r>
    </w:p>
    <w:p>
      <w:pPr>
        <w:spacing w:after="0" w:line="204" w:lineRule="exact"/>
        <w:rPr>
          <w:rFonts w:ascii="Times New Roman" w:cs="Times New Roman" w:eastAsia="Times New Roman" w:hAnsi="Times New Roman"/>
          <w:sz w:val="16"/>
          <w:szCs w:val="16"/>
          <w:color w:val="auto"/>
        </w:rPr>
      </w:pPr>
    </w:p>
    <w:p>
      <w:pPr>
        <w:ind w:left="583" w:hanging="292"/>
        <w:spacing w:after="0"/>
        <w:tabs>
          <w:tab w:leader="none" w:pos="583"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Governance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1788160"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66" w:lineRule="exact"/>
        <w:rPr>
          <w:sz w:val="20"/>
          <w:szCs w:val="20"/>
          <w:color w:val="auto"/>
        </w:rPr>
      </w:pPr>
    </w:p>
    <w:p>
      <w:pPr>
        <w:ind w:left="183" w:hanging="183"/>
        <w:spacing w:after="0"/>
        <w:tabs>
          <w:tab w:leader="none" w:pos="183" w:val="left"/>
        </w:tabs>
        <w:numPr>
          <w:ilvl w:val="0"/>
          <w:numId w:val="2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u w:val="single" w:color="auto"/>
          <w:color w:val="auto"/>
        </w:rPr>
        <w:t>https://www.bvl.com.pe/mercado/indices/indice-spbvl-ibgc.</w:t>
      </w:r>
      <w:r>
        <w:rPr>
          <w:rFonts w:ascii="Times New Roman" w:cs="Times New Roman" w:eastAsia="Times New Roman" w:hAnsi="Times New Roman"/>
          <w:sz w:val="16"/>
          <w:szCs w:val="16"/>
          <w:color w:val="auto"/>
        </w:rPr>
        <w:t xml:space="preserve"> Translator’s Note: The hyperlink included in the original document is no longer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714629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142"/>
          </w:cols>
          <w:pgMar w:left="317" w:top="1440" w:right="1440" w:bottom="1440" w:gutter="0" w:footer="0" w:header="0"/>
        </w:sectPr>
      </w:pPr>
    </w:p>
    <w:bookmarkStart w:id="163" w:name="page164"/>
    <w:bookmarkEnd w:id="163"/>
    <w:p>
      <w:pPr>
        <w:ind w:left="583" w:hanging="292"/>
        <w:spacing w:after="0"/>
        <w:tabs>
          <w:tab w:leader="none" w:pos="583"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Policy for the Prevention of Corruption and Bribery</w:t>
      </w:r>
    </w:p>
    <w:p>
      <w:pPr>
        <w:spacing w:after="0" w:line="204" w:lineRule="exact"/>
        <w:rPr>
          <w:rFonts w:ascii="Times New Roman" w:cs="Times New Roman" w:eastAsia="Times New Roman" w:hAnsi="Times New Roman"/>
          <w:sz w:val="16"/>
          <w:szCs w:val="16"/>
          <w:color w:val="auto"/>
        </w:rPr>
      </w:pPr>
    </w:p>
    <w:p>
      <w:pPr>
        <w:ind w:left="583" w:hanging="292"/>
        <w:spacing w:after="0"/>
        <w:tabs>
          <w:tab w:leader="none" w:pos="583"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Policy for the Prevention of Money Laundering and Terrorist Financing</w:t>
      </w:r>
    </w:p>
    <w:p>
      <w:pPr>
        <w:spacing w:after="0" w:line="204" w:lineRule="exact"/>
        <w:rPr>
          <w:rFonts w:ascii="Times New Roman" w:cs="Times New Roman" w:eastAsia="Times New Roman" w:hAnsi="Times New Roman"/>
          <w:sz w:val="16"/>
          <w:szCs w:val="16"/>
          <w:color w:val="auto"/>
        </w:rPr>
      </w:pPr>
    </w:p>
    <w:p>
      <w:pPr>
        <w:ind w:left="583" w:hanging="292"/>
        <w:spacing w:after="0"/>
        <w:tabs>
          <w:tab w:leader="none" w:pos="583"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Stakeholder Relations Policy</w:t>
      </w:r>
    </w:p>
    <w:p>
      <w:pPr>
        <w:spacing w:after="0" w:line="202" w:lineRule="exact"/>
        <w:rPr>
          <w:sz w:val="20"/>
          <w:szCs w:val="20"/>
          <w:color w:val="auto"/>
        </w:rPr>
      </w:pPr>
    </w:p>
    <w:p>
      <w:pPr>
        <w:ind w:left="3" w:right="20"/>
        <w:spacing w:after="0" w:line="290" w:lineRule="auto"/>
        <w:rPr>
          <w:sz w:val="20"/>
          <w:szCs w:val="20"/>
          <w:color w:val="auto"/>
        </w:rPr>
      </w:pPr>
      <w:r>
        <w:rPr>
          <w:rFonts w:ascii="Times New Roman" w:cs="Times New Roman" w:eastAsia="Times New Roman" w:hAnsi="Times New Roman"/>
          <w:sz w:val="16"/>
          <w:szCs w:val="16"/>
          <w:color w:val="auto"/>
        </w:rPr>
        <w:t xml:space="preserve">Furthermore, through a Material Event dated April 23, 2020 (Case File No. 2020014006), the Issuer </w:t>
      </w:r>
      <w:r>
        <w:rPr>
          <w:rFonts w:ascii="Times New Roman" w:cs="Times New Roman" w:eastAsia="Times New Roman" w:hAnsi="Times New Roman"/>
          <w:sz w:val="16"/>
          <w:szCs w:val="16"/>
          <w:b w:val="1"/>
          <w:bCs w:val="1"/>
          <w:u w:val="single" w:color="auto"/>
          <w:color w:val="auto"/>
        </w:rPr>
        <w:t>informed shareholders that Mr. Dionisio Romero Paoletti would not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run for a new term as Director of CREDICORP LTD</w:t>
      </w:r>
      <w:r>
        <w:rPr>
          <w:rFonts w:ascii="Times New Roman" w:cs="Times New Roman" w:eastAsia="Times New Roman" w:hAnsi="Times New Roman"/>
          <w:sz w:val="16"/>
          <w:szCs w:val="16"/>
          <w:color w:val="auto"/>
        </w:rPr>
        <w:t>. However, he would continue serving as Chairman of the Boards of BCP and Pacífico Seguros.</w:t>
      </w:r>
    </w:p>
    <w:p>
      <w:pPr>
        <w:spacing w:after="0" w:line="128" w:lineRule="exact"/>
        <w:rPr>
          <w:sz w:val="20"/>
          <w:szCs w:val="20"/>
          <w:color w:val="auto"/>
        </w:rPr>
      </w:pPr>
    </w:p>
    <w:tbl>
      <w:tblPr>
        <w:tblLayout w:type="fixed"/>
        <w:tblInd w:w="3" w:type="dxa"/>
        <w:tblCellMar>
          <w:top w:w="0" w:type="dxa"/>
          <w:left w:w="0" w:type="dxa"/>
          <w:bottom w:w="0" w:type="dxa"/>
          <w:right w:w="0" w:type="dxa"/>
        </w:tblCellMar>
      </w:tblPr>
      <w:tr>
        <w:trPr>
          <w:trHeight w:val="364"/>
        </w:trPr>
        <w:tc>
          <w:tcPr>
            <w:tcW w:w="3080" w:type="dxa"/>
            <w:vAlign w:val="bottom"/>
          </w:tcPr>
          <w:p>
            <w:pPr>
              <w:spacing w:after="0"/>
              <w:rPr>
                <w:sz w:val="24"/>
                <w:szCs w:val="24"/>
                <w:color w:val="auto"/>
              </w:rPr>
            </w:pPr>
          </w:p>
        </w:tc>
        <w:tc>
          <w:tcPr>
            <w:tcW w:w="3720" w:type="dxa"/>
            <w:vAlign w:val="bottom"/>
          </w:tcPr>
          <w:p>
            <w:pPr>
              <w:ind w:left="1700"/>
              <w:spacing w:after="0"/>
              <w:rPr>
                <w:sz w:val="20"/>
                <w:szCs w:val="20"/>
                <w:color w:val="auto"/>
              </w:rPr>
            </w:pPr>
            <w:r>
              <w:rPr>
                <w:rFonts w:ascii="Times New Roman" w:cs="Times New Roman" w:eastAsia="Times New Roman" w:hAnsi="Times New Roman"/>
                <w:sz w:val="16"/>
                <w:szCs w:val="16"/>
                <w:b w:val="1"/>
                <w:bCs w:val="1"/>
                <w:color w:val="auto"/>
              </w:rPr>
              <w:t>Members of the Board</w:t>
            </w:r>
            <w:r>
              <w:rPr>
                <w:rFonts w:ascii="Times New Roman" w:cs="Times New Roman" w:eastAsia="Times New Roman" w:hAnsi="Times New Roman"/>
                <w:sz w:val="26"/>
                <w:szCs w:val="26"/>
                <w:b w:val="1"/>
                <w:bCs w:val="1"/>
                <w:color w:val="auto"/>
                <w:vertAlign w:val="superscript"/>
              </w:rPr>
              <w:t>78</w:t>
            </w:r>
          </w:p>
        </w:tc>
        <w:tc>
          <w:tcPr>
            <w:tcW w:w="1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9"/>
        </w:trPr>
        <w:tc>
          <w:tcPr>
            <w:tcW w:w="3080" w:type="dxa"/>
            <w:vAlign w:val="bottom"/>
            <w:shd w:val="clear" w:color="auto" w:fill="F5F5F5"/>
          </w:tcPr>
          <w:p>
            <w:pPr>
              <w:ind w:left="1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720" w:type="dxa"/>
            <w:vAlign w:val="bottom"/>
            <w:shd w:val="clear" w:color="auto" w:fill="F5F5F5"/>
          </w:tcPr>
          <w:p>
            <w:pPr>
              <w:ind w:left="12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960" w:type="dxa"/>
            <w:vAlign w:val="bottom"/>
            <w:shd w:val="clear" w:color="auto" w:fill="F5F5F5"/>
          </w:tcPr>
          <w:p>
            <w:pPr>
              <w:ind w:left="96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2500" w:type="dxa"/>
            <w:vAlign w:val="bottom"/>
            <w:gridSpan w:val="2"/>
            <w:shd w:val="clear" w:color="auto" w:fill="F5F5F5"/>
          </w:tcPr>
          <w:p>
            <w:pPr>
              <w:ind w:left="800"/>
              <w:spacing w:after="0"/>
              <w:rPr>
                <w:sz w:val="20"/>
                <w:szCs w:val="20"/>
                <w:color w:val="auto"/>
              </w:rPr>
            </w:pPr>
            <w:r>
              <w:rPr>
                <w:rFonts w:ascii="Times New Roman" w:cs="Times New Roman" w:eastAsia="Times New Roman" w:hAnsi="Times New Roman"/>
                <w:sz w:val="16"/>
                <w:szCs w:val="16"/>
                <w:b w:val="1"/>
                <w:bCs w:val="1"/>
                <w:color w:val="auto"/>
              </w:rPr>
              <w:t>Initial Date</w:t>
            </w:r>
          </w:p>
        </w:tc>
      </w:tr>
      <w:tr>
        <w:trPr>
          <w:trHeight w:val="388"/>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Abruña Puyol, Antonio</w:t>
            </w:r>
          </w:p>
        </w:tc>
        <w:tc>
          <w:tcPr>
            <w:tcW w:w="37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Director</w:t>
            </w:r>
          </w:p>
        </w:tc>
        <w:tc>
          <w:tcPr>
            <w:tcW w:w="19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Independent</w:t>
            </w:r>
          </w:p>
        </w:tc>
        <w:tc>
          <w:tcPr>
            <w:tcW w:w="1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5/06/2020</w:t>
            </w:r>
          </w:p>
        </w:tc>
        <w:tc>
          <w:tcPr>
            <w:tcW w:w="580" w:type="dxa"/>
            <w:vAlign w:val="bottom"/>
          </w:tcPr>
          <w:p>
            <w:pPr>
              <w:spacing w:after="0"/>
              <w:rPr>
                <w:sz w:val="24"/>
                <w:szCs w:val="24"/>
                <w:color w:val="auto"/>
              </w:rPr>
            </w:pPr>
          </w:p>
        </w:tc>
      </w:tr>
      <w:tr>
        <w:trPr>
          <w:trHeight w:val="388"/>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Aranzabal Harreguy, Maria Teresa</w:t>
            </w:r>
          </w:p>
        </w:tc>
        <w:tc>
          <w:tcPr>
            <w:tcW w:w="37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Director</w:t>
            </w:r>
          </w:p>
        </w:tc>
        <w:tc>
          <w:tcPr>
            <w:tcW w:w="19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Independent</w:t>
            </w:r>
          </w:p>
        </w:tc>
        <w:tc>
          <w:tcPr>
            <w:tcW w:w="1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5/06/2020</w:t>
            </w:r>
          </w:p>
        </w:tc>
        <w:tc>
          <w:tcPr>
            <w:tcW w:w="580" w:type="dxa"/>
            <w:vAlign w:val="bottom"/>
          </w:tcPr>
          <w:p>
            <w:pPr>
              <w:spacing w:after="0"/>
              <w:rPr>
                <w:sz w:val="24"/>
                <w:szCs w:val="24"/>
                <w:color w:val="auto"/>
              </w:rPr>
            </w:pPr>
          </w:p>
        </w:tc>
      </w:tr>
      <w:tr>
        <w:trPr>
          <w:trHeight w:val="388"/>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Fort Marie, Fernando</w:t>
            </w:r>
          </w:p>
        </w:tc>
        <w:tc>
          <w:tcPr>
            <w:tcW w:w="37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Director</w:t>
            </w:r>
          </w:p>
        </w:tc>
        <w:tc>
          <w:tcPr>
            <w:tcW w:w="1960" w:type="dxa"/>
            <w:vAlign w:val="bottom"/>
          </w:tcPr>
          <w:p>
            <w:pPr>
              <w:spacing w:after="0"/>
              <w:rPr>
                <w:sz w:val="24"/>
                <w:szCs w:val="24"/>
                <w:color w:val="auto"/>
              </w:rPr>
            </w:pPr>
          </w:p>
        </w:tc>
        <w:tc>
          <w:tcPr>
            <w:tcW w:w="1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24/03/2000</w:t>
            </w:r>
          </w:p>
        </w:tc>
        <w:tc>
          <w:tcPr>
            <w:tcW w:w="580" w:type="dxa"/>
            <w:vAlign w:val="bottom"/>
          </w:tcPr>
          <w:p>
            <w:pPr>
              <w:spacing w:after="0"/>
              <w:rPr>
                <w:sz w:val="24"/>
                <w:szCs w:val="24"/>
                <w:color w:val="auto"/>
              </w:rPr>
            </w:pPr>
          </w:p>
        </w:tc>
      </w:tr>
      <w:tr>
        <w:trPr>
          <w:trHeight w:val="388"/>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Lizarraga Gutherts, Patricia Silvia</w:t>
            </w:r>
          </w:p>
        </w:tc>
        <w:tc>
          <w:tcPr>
            <w:tcW w:w="37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Director</w:t>
            </w:r>
          </w:p>
        </w:tc>
        <w:tc>
          <w:tcPr>
            <w:tcW w:w="19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Independent</w:t>
            </w:r>
          </w:p>
        </w:tc>
        <w:tc>
          <w:tcPr>
            <w:tcW w:w="1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5/06/2020</w:t>
            </w:r>
          </w:p>
        </w:tc>
        <w:tc>
          <w:tcPr>
            <w:tcW w:w="580" w:type="dxa"/>
            <w:vAlign w:val="bottom"/>
          </w:tcPr>
          <w:p>
            <w:pPr>
              <w:spacing w:after="0"/>
              <w:rPr>
                <w:sz w:val="24"/>
                <w:szCs w:val="24"/>
                <w:color w:val="auto"/>
              </w:rPr>
            </w:pPr>
          </w:p>
        </w:tc>
      </w:tr>
      <w:tr>
        <w:trPr>
          <w:trHeight w:val="388"/>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Morales Dasso, José Raimundo</w:t>
            </w:r>
          </w:p>
        </w:tc>
        <w:tc>
          <w:tcPr>
            <w:tcW w:w="37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Vice Chairman of the Board</w:t>
            </w:r>
          </w:p>
        </w:tc>
        <w:tc>
          <w:tcPr>
            <w:tcW w:w="1960" w:type="dxa"/>
            <w:vAlign w:val="bottom"/>
          </w:tcPr>
          <w:p>
            <w:pPr>
              <w:spacing w:after="0"/>
              <w:rPr>
                <w:sz w:val="24"/>
                <w:szCs w:val="24"/>
                <w:color w:val="auto"/>
              </w:rPr>
            </w:pPr>
          </w:p>
        </w:tc>
        <w:tc>
          <w:tcPr>
            <w:tcW w:w="1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5/06/2020</w:t>
            </w:r>
          </w:p>
        </w:tc>
        <w:tc>
          <w:tcPr>
            <w:tcW w:w="580" w:type="dxa"/>
            <w:vAlign w:val="bottom"/>
          </w:tcPr>
          <w:p>
            <w:pPr>
              <w:spacing w:after="0"/>
              <w:rPr>
                <w:sz w:val="24"/>
                <w:szCs w:val="24"/>
                <w:color w:val="auto"/>
              </w:rPr>
            </w:pPr>
          </w:p>
        </w:tc>
      </w:tr>
      <w:tr>
        <w:trPr>
          <w:trHeight w:val="388"/>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Pierce Diez Canseco, Leslie Harold</w:t>
            </w:r>
          </w:p>
        </w:tc>
        <w:tc>
          <w:tcPr>
            <w:tcW w:w="37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Director</w:t>
            </w:r>
          </w:p>
        </w:tc>
        <w:tc>
          <w:tcPr>
            <w:tcW w:w="1960" w:type="dxa"/>
            <w:vAlign w:val="bottom"/>
          </w:tcPr>
          <w:p>
            <w:pPr>
              <w:spacing w:after="0"/>
              <w:rPr>
                <w:sz w:val="24"/>
                <w:szCs w:val="24"/>
                <w:color w:val="auto"/>
              </w:rPr>
            </w:pPr>
          </w:p>
        </w:tc>
        <w:tc>
          <w:tcPr>
            <w:tcW w:w="1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16/10/2020</w:t>
            </w:r>
          </w:p>
        </w:tc>
        <w:tc>
          <w:tcPr>
            <w:tcW w:w="580" w:type="dxa"/>
            <w:vAlign w:val="bottom"/>
          </w:tcPr>
          <w:p>
            <w:pPr>
              <w:spacing w:after="0"/>
              <w:rPr>
                <w:sz w:val="24"/>
                <w:szCs w:val="24"/>
                <w:color w:val="auto"/>
              </w:rPr>
            </w:pPr>
          </w:p>
        </w:tc>
      </w:tr>
      <w:tr>
        <w:trPr>
          <w:trHeight w:val="388"/>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Pinasco Menchelli, Irzio Pietro Bruno</w:t>
            </w:r>
          </w:p>
        </w:tc>
        <w:tc>
          <w:tcPr>
            <w:tcW w:w="37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Director</w:t>
            </w:r>
          </w:p>
        </w:tc>
        <w:tc>
          <w:tcPr>
            <w:tcW w:w="19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Independent</w:t>
            </w:r>
          </w:p>
        </w:tc>
        <w:tc>
          <w:tcPr>
            <w:tcW w:w="1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5/06/2020</w:t>
            </w:r>
          </w:p>
        </w:tc>
        <w:tc>
          <w:tcPr>
            <w:tcW w:w="580" w:type="dxa"/>
            <w:vAlign w:val="bottom"/>
          </w:tcPr>
          <w:p>
            <w:pPr>
              <w:spacing w:after="0"/>
              <w:rPr>
                <w:sz w:val="24"/>
                <w:szCs w:val="24"/>
                <w:color w:val="auto"/>
              </w:rPr>
            </w:pPr>
          </w:p>
        </w:tc>
      </w:tr>
      <w:tr>
        <w:trPr>
          <w:trHeight w:val="388"/>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Romero Belismelis, Luis Enrique</w:t>
            </w:r>
          </w:p>
        </w:tc>
        <w:tc>
          <w:tcPr>
            <w:tcW w:w="37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Chairman of the Board</w:t>
            </w:r>
          </w:p>
        </w:tc>
        <w:tc>
          <w:tcPr>
            <w:tcW w:w="1960" w:type="dxa"/>
            <w:vAlign w:val="bottom"/>
          </w:tcPr>
          <w:p>
            <w:pPr>
              <w:spacing w:after="0"/>
              <w:rPr>
                <w:sz w:val="24"/>
                <w:szCs w:val="24"/>
                <w:color w:val="auto"/>
              </w:rPr>
            </w:pPr>
          </w:p>
        </w:tc>
        <w:tc>
          <w:tcPr>
            <w:tcW w:w="1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5/06/2020</w:t>
            </w:r>
          </w:p>
        </w:tc>
        <w:tc>
          <w:tcPr>
            <w:tcW w:w="580" w:type="dxa"/>
            <w:vAlign w:val="bottom"/>
          </w:tcPr>
          <w:p>
            <w:pPr>
              <w:spacing w:after="0"/>
              <w:rPr>
                <w:sz w:val="24"/>
                <w:szCs w:val="24"/>
                <w:color w:val="auto"/>
              </w:rPr>
            </w:pPr>
          </w:p>
        </w:tc>
      </w:tr>
      <w:tr>
        <w:trPr>
          <w:trHeight w:val="388"/>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Vartuli Gouvea, Alexandre</w:t>
            </w:r>
          </w:p>
        </w:tc>
        <w:tc>
          <w:tcPr>
            <w:tcW w:w="37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Director</w:t>
            </w:r>
          </w:p>
        </w:tc>
        <w:tc>
          <w:tcPr>
            <w:tcW w:w="1960" w:type="dxa"/>
            <w:vAlign w:val="bottom"/>
          </w:tcPr>
          <w:p>
            <w:pPr>
              <w:spacing w:after="0"/>
              <w:rPr>
                <w:sz w:val="24"/>
                <w:szCs w:val="24"/>
                <w:color w:val="auto"/>
              </w:rPr>
            </w:pPr>
          </w:p>
        </w:tc>
        <w:tc>
          <w:tcPr>
            <w:tcW w:w="1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5/06/2020</w:t>
            </w:r>
          </w:p>
        </w:tc>
        <w:tc>
          <w:tcPr>
            <w:tcW w:w="580" w:type="dxa"/>
            <w:vAlign w:val="bottom"/>
          </w:tcPr>
          <w:p>
            <w:pPr>
              <w:spacing w:after="0"/>
              <w:rPr>
                <w:sz w:val="24"/>
                <w:szCs w:val="24"/>
                <w:color w:val="auto"/>
              </w:rPr>
            </w:pPr>
          </w:p>
        </w:tc>
      </w:tr>
      <w:tr>
        <w:trPr>
          <w:trHeight w:val="388"/>
        </w:trPr>
        <w:tc>
          <w:tcPr>
            <w:tcW w:w="30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Source: SMV Portal</w:t>
            </w:r>
          </w:p>
        </w:tc>
        <w:tc>
          <w:tcPr>
            <w:tcW w:w="3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24"/>
        </w:trPr>
        <w:tc>
          <w:tcPr>
            <w:tcW w:w="3080" w:type="dxa"/>
            <w:vAlign w:val="bottom"/>
          </w:tcPr>
          <w:p>
            <w:pPr>
              <w:spacing w:after="0"/>
              <w:rPr>
                <w:sz w:val="24"/>
                <w:szCs w:val="24"/>
                <w:color w:val="auto"/>
              </w:rPr>
            </w:pPr>
          </w:p>
        </w:tc>
        <w:tc>
          <w:tcPr>
            <w:tcW w:w="56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Appointment of the New Chairman of Credicorp’s Board</w:t>
            </w:r>
            <w:r>
              <w:rPr>
                <w:rFonts w:ascii="Times New Roman" w:cs="Times New Roman" w:eastAsia="Times New Roman" w:hAnsi="Times New Roman"/>
                <w:sz w:val="26"/>
                <w:szCs w:val="26"/>
                <w:b w:val="1"/>
                <w:bCs w:val="1"/>
                <w:color w:val="auto"/>
                <w:vertAlign w:val="superscript"/>
              </w:rPr>
              <w:t>79</w:t>
            </w: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5"/>
        </w:trPr>
        <w:tc>
          <w:tcPr>
            <w:tcW w:w="3080" w:type="dxa"/>
            <w:vAlign w:val="bottom"/>
            <w:shd w:val="clear" w:color="auto" w:fill="F5F5F5"/>
          </w:tcPr>
          <w:p>
            <w:pPr>
              <w:ind w:left="1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720" w:type="dxa"/>
            <w:vAlign w:val="bottom"/>
            <w:shd w:val="clear" w:color="auto" w:fill="F5F5F5"/>
          </w:tcPr>
          <w:p>
            <w:pPr>
              <w:ind w:left="116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960" w:type="dxa"/>
            <w:vAlign w:val="bottom"/>
            <w:shd w:val="clear" w:color="auto" w:fill="F5F5F5"/>
          </w:tcPr>
          <w:p>
            <w:pPr>
              <w:ind w:left="340"/>
              <w:spacing w:after="0"/>
              <w:rPr>
                <w:sz w:val="20"/>
                <w:szCs w:val="20"/>
                <w:color w:val="auto"/>
              </w:rPr>
            </w:pPr>
            <w:r>
              <w:rPr>
                <w:rFonts w:ascii="Times New Roman" w:cs="Times New Roman" w:eastAsia="Times New Roman" w:hAnsi="Times New Roman"/>
                <w:sz w:val="16"/>
                <w:szCs w:val="16"/>
                <w:b w:val="1"/>
                <w:bCs w:val="1"/>
                <w:color w:val="auto"/>
              </w:rPr>
              <w:t>Initial Date</w:t>
            </w:r>
          </w:p>
        </w:tc>
        <w:tc>
          <w:tcPr>
            <w:tcW w:w="1920" w:type="dxa"/>
            <w:vAlign w:val="bottom"/>
            <w:shd w:val="clear" w:color="auto" w:fill="F5F5F5"/>
          </w:tcPr>
          <w:p>
            <w:pPr>
              <w:ind w:left="200"/>
              <w:spacing w:after="0"/>
              <w:rPr>
                <w:sz w:val="20"/>
                <w:szCs w:val="20"/>
                <w:color w:val="auto"/>
              </w:rPr>
            </w:pPr>
            <w:r>
              <w:rPr>
                <w:rFonts w:ascii="Times New Roman" w:cs="Times New Roman" w:eastAsia="Times New Roman" w:hAnsi="Times New Roman"/>
                <w:sz w:val="16"/>
                <w:szCs w:val="16"/>
                <w:b w:val="1"/>
                <w:bCs w:val="1"/>
                <w:color w:val="auto"/>
              </w:rPr>
              <w:t>Final Date</w:t>
            </w:r>
          </w:p>
        </w:tc>
        <w:tc>
          <w:tcPr>
            <w:tcW w:w="580" w:type="dxa"/>
            <w:vAlign w:val="bottom"/>
          </w:tcPr>
          <w:p>
            <w:pPr>
              <w:spacing w:after="0"/>
              <w:rPr>
                <w:sz w:val="17"/>
                <w:szCs w:val="17"/>
                <w:color w:val="auto"/>
              </w:rPr>
            </w:pPr>
          </w:p>
        </w:tc>
      </w:tr>
      <w:tr>
        <w:trPr>
          <w:trHeight w:val="388"/>
        </w:trPr>
        <w:tc>
          <w:tcPr>
            <w:tcW w:w="3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Romero Belismelis, Luis Enrique</w:t>
            </w:r>
          </w:p>
        </w:tc>
        <w:tc>
          <w:tcPr>
            <w:tcW w:w="372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Chairman of the Board</w:t>
            </w:r>
          </w:p>
        </w:tc>
        <w:tc>
          <w:tcPr>
            <w:tcW w:w="1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5/06/2020</w:t>
            </w:r>
          </w:p>
        </w:tc>
        <w:tc>
          <w:tcPr>
            <w:tcW w:w="25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Present</w:t>
            </w:r>
          </w:p>
        </w:tc>
      </w:tr>
      <w:tr>
        <w:trPr>
          <w:trHeight w:val="388"/>
        </w:trPr>
        <w:tc>
          <w:tcPr>
            <w:tcW w:w="3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Romero Paoletti, Dionisio</w:t>
            </w:r>
          </w:p>
        </w:tc>
        <w:tc>
          <w:tcPr>
            <w:tcW w:w="372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Chairman of the Board</w:t>
            </w:r>
          </w:p>
        </w:tc>
        <w:tc>
          <w:tcPr>
            <w:tcW w:w="1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31/03/2009</w:t>
            </w:r>
          </w:p>
        </w:tc>
        <w:tc>
          <w:tcPr>
            <w:tcW w:w="1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5/06/2020</w:t>
            </w:r>
          </w:p>
        </w:tc>
        <w:tc>
          <w:tcPr>
            <w:tcW w:w="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1788160"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304" w:lineRule="exact"/>
        <w:rPr>
          <w:sz w:val="20"/>
          <w:szCs w:val="20"/>
          <w:color w:val="auto"/>
        </w:rPr>
      </w:pPr>
    </w:p>
    <w:p>
      <w:pPr>
        <w:jc w:val="both"/>
        <w:ind w:left="3" w:right="20" w:hanging="3"/>
        <w:spacing w:after="0" w:line="212" w:lineRule="exact"/>
        <w:tabs>
          <w:tab w:leader="none" w:pos="189" w:val="left"/>
        </w:tabs>
        <w:numPr>
          <w:ilvl w:val="0"/>
          <w:numId w:val="2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By means of a Material Event dated 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2020 (File No. 2020019113), the new members of the Board of Directors, as well as the appointment of the new Chair and Vice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Chair of the Board, were approved at the Annual Shareholders’ Meeting. Subsequently, on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2020 (File No. 2020037017), Mr. Pierce Diez Canseco, Leslie Harold, was incorporated into the Board.</w:t>
      </w:r>
    </w:p>
    <w:p>
      <w:pPr>
        <w:spacing w:after="0" w:line="1" w:lineRule="exact"/>
        <w:rPr>
          <w:rFonts w:ascii="Times New Roman" w:cs="Times New Roman" w:eastAsia="Times New Roman" w:hAnsi="Times New Roman"/>
          <w:sz w:val="27"/>
          <w:szCs w:val="27"/>
          <w:color w:val="auto"/>
          <w:vertAlign w:val="superscript"/>
        </w:rPr>
      </w:pPr>
    </w:p>
    <w:p>
      <w:pPr>
        <w:ind w:left="3" w:right="20" w:hanging="3"/>
        <w:spacing w:after="0" w:line="208" w:lineRule="exact"/>
        <w:tabs>
          <w:tab w:leader="none" w:pos="189" w:val="left"/>
        </w:tabs>
        <w:numPr>
          <w:ilvl w:val="0"/>
          <w:numId w:val="2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By means of a Material Event dated 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2020 (File No. 2020019113), the new members of the Board of Directors, as well as the appointment of the new Chair and Vice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Chair of the Board, were approved at the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146290"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i w:val="1"/>
          <w:iCs w:val="1"/>
          <w:color w:val="auto"/>
        </w:rPr>
        <w:t>Source: SMV Portal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2019 Annual Report, Mr. Romero’s letter is included</w:t>
      </w:r>
      <w:r>
        <w:rPr>
          <w:rFonts w:ascii="Times New Roman" w:cs="Times New Roman" w:eastAsia="Times New Roman" w:hAnsi="Times New Roman"/>
          <w:sz w:val="26"/>
          <w:szCs w:val="26"/>
          <w:color w:val="auto"/>
          <w:vertAlign w:val="superscript"/>
        </w:rPr>
        <w:t>80</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Letter from the President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Dear Shareholders,</w:t>
      </w:r>
    </w:p>
    <w:p>
      <w:pPr>
        <w:spacing w:after="0" w:line="20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Each year I write this letter to share with you the results of our business and our outlook for the future. On this occasion, I would like to begin by commenting on the impact of events that occurred nine years ago and the measures we have been taking as part of a continuous improvement process in our corporate governance.</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I have recently made public the reasons why I decided, in the years 2010–2011, within a politically risky context for the future of Peru, that Credicorp should contribute funds to the 2011 presidential campaign. </w:t>
      </w:r>
      <w:r>
        <w:rPr>
          <w:rFonts w:ascii="Times New Roman" w:cs="Times New Roman" w:eastAsia="Times New Roman" w:hAnsi="Times New Roman"/>
          <w:sz w:val="16"/>
          <w:szCs w:val="16"/>
          <w:i w:val="1"/>
          <w:iCs w:val="1"/>
          <w:color w:val="auto"/>
          <w:highlight w:val="yellow"/>
        </w:rPr>
        <w:t>I greatly regret the impact these actions have had on our organization and on the perception of our stakeholders.</w:t>
      </w:r>
      <w:r>
        <w:rPr>
          <w:rFonts w:ascii="Times New Roman" w:cs="Times New Roman" w:eastAsia="Times New Roman" w:hAnsi="Times New Roman"/>
          <w:sz w:val="16"/>
          <w:szCs w:val="16"/>
          <w:i w:val="1"/>
          <w:iCs w:val="1"/>
          <w:color w:val="auto"/>
        </w:rPr>
        <w:t xml:space="preserve"> Since late 2011, together with Management and the Board of Directors, we have worked to continuously strengthen and reinforce our corporate governance policies. For example, the political contributions made during the 2016 presidential campaign by three of our subsidiaries (Banco de Crédito del Perú, Mibanco, and Pacífico) were carried out under clear procedures and in strict compliance with transparency and reporting requirements. Furthermore, I want to underline that Credicorp currently has a corporate policy prohibiting political contributions to any political party, regardless of the jurisdiction in which we operate.</w:t>
      </w:r>
    </w:p>
    <w:p>
      <w:pPr>
        <w:spacing w:after="0" w:line="16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At the same time, we have continued implementing changes in our corporate governance structure and, more recently, we have announced the reconstitution of the Corporate Governance Committee, the simplification of the structure of Board committees, and measures aimed at increasing the independence of the Board from management. Similarly, beginning in 2011, we have carried out a series of actions that seek to strengthen our organizational culture. A key step was conducting a climate and cultural transformation survey in order to recognize our strengths and opportunities, which has helped guide us in reinforcing our values and ethics, and building a strong corporate governance framework.</w:t>
      </w:r>
    </w:p>
    <w:p>
      <w:pPr>
        <w:spacing w:after="0" w:line="16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i w:val="1"/>
          <w:iCs w:val="1"/>
          <w:color w:val="auto"/>
        </w:rPr>
        <w:t>I am pleased to share that we have achieved very satisfactory business results over the past decade. Our sustainable and profitable growth strategy—with a long-term vision and prudent risk management—has generated solid results. This has enabled us to reinvest in the growth of our businesses while also delivering long-term value to our shareholders. Over this period, we have implemented structural and technological upgrades that have strengthened our competitive position. We have also redesigned our processes to adapt to transformation trends and ensure our businesses remain close to our customers’ needs.</w:t>
      </w:r>
    </w:p>
    <w:p>
      <w:pPr>
        <w:spacing w:after="0" w:line="15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i w:val="1"/>
          <w:iCs w:val="1"/>
          <w:color w:val="auto"/>
        </w:rPr>
        <w:t>Peru’s economy grew 2.2% in 2019, the lowest rate in 10 years, compared to 4% in 2018. The slowdown was mainly due to a contraction in private and public investment, as well as a decline in domestic and international demand. In this environment, our businesses reported solid and sustainable financial results, reinforced by prudent risk management and increased efforts to improve efficiency across our organization. At the same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163195</wp:posOffset>
            </wp:positionV>
            <wp:extent cx="1788160"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88160" cy="1524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26"/>
          <w:szCs w:val="26"/>
          <w:color w:val="auto"/>
          <w:vertAlign w:val="superscript"/>
        </w:rPr>
        <w:t>80</w:t>
      </w:r>
      <w:r>
        <w:rPr>
          <w:rFonts w:ascii="Times New Roman" w:cs="Times New Roman" w:eastAsia="Times New Roman" w:hAnsi="Times New Roman"/>
          <w:sz w:val="16"/>
          <w:szCs w:val="16"/>
          <w:color w:val="auto"/>
        </w:rPr>
        <w:t xml:space="preserve">2019 Annual Report – p.8: Link: </w:t>
      </w:r>
      <w:r>
        <w:rPr>
          <w:rFonts w:ascii="Times New Roman" w:cs="Times New Roman" w:eastAsia="Times New Roman" w:hAnsi="Times New Roman"/>
          <w:sz w:val="16"/>
          <w:szCs w:val="16"/>
          <w:u w:val="single" w:color="auto"/>
          <w:color w:val="auto"/>
        </w:rPr>
        <w:t>https://www.smv.gob.pe/ConsultasP8/temp/Reporte%20Anual.pdf</w:t>
      </w:r>
      <w:r>
        <w:rPr>
          <w:rFonts w:ascii="Times New Roman" w:cs="Times New Roman" w:eastAsia="Times New Roman" w:hAnsi="Times New Roman"/>
          <w:sz w:val="16"/>
          <w:szCs w:val="16"/>
          <w:color w:val="auto"/>
        </w:rPr>
        <w:t>. Translator’s Note: The hyperlink included in the original document is no longer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7146290"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i w:val="1"/>
          <w:iCs w:val="1"/>
          <w:color w:val="auto"/>
        </w:rPr>
        <w:t>we have maintained high capitalization levels and asset quality indicators supported by disciplined credit management and strong collections performance.</w:t>
      </w:r>
    </w:p>
    <w:p>
      <w:pPr>
        <w:spacing w:after="0" w:line="20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Despite the global economic uncertainties, our results reflect the strength and resilience of our business model. We remain focused on being closer to our clients through continuous improvements to our value proposition, digital transformation initiatives, and the commitment of our employees.</w:t>
      </w:r>
    </w:p>
    <w:p>
      <w:pPr>
        <w:spacing w:after="0" w:line="1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i w:val="1"/>
          <w:iCs w:val="1"/>
          <w:color w:val="auto"/>
        </w:rPr>
        <w:t>Looking ahead to 2020, we will continue to work toward our strategic objectives. We will strengthen our long-term vision and further reinforce our corporate governance practices, transparency, ethical standards, and our responsibility to all stakeholders. Likewise, we will maintain our focus on efficiency and digitalization in order to maximize value creation for our shareholders.</w:t>
      </w:r>
    </w:p>
    <w:p>
      <w:pPr>
        <w:spacing w:after="0" w:line="120" w:lineRule="exact"/>
        <w:rPr>
          <w:sz w:val="20"/>
          <w:szCs w:val="20"/>
          <w:color w:val="auto"/>
        </w:rPr>
      </w:pPr>
    </w:p>
    <w:p>
      <w:pPr>
        <w:jc w:val="both"/>
        <w:ind w:right="20"/>
        <w:spacing w:after="0" w:line="219" w:lineRule="exact"/>
        <w:rPr>
          <w:sz w:val="20"/>
          <w:szCs w:val="20"/>
          <w:color w:val="auto"/>
        </w:rPr>
      </w:pPr>
      <w:r>
        <w:rPr>
          <w:rFonts w:ascii="Times New Roman" w:cs="Times New Roman" w:eastAsia="Times New Roman" w:hAnsi="Times New Roman"/>
          <w:sz w:val="16"/>
          <w:szCs w:val="16"/>
          <w:color w:val="auto"/>
        </w:rPr>
        <w:t>Through a Material Event dated June 8, 2020 (Case File No. 2020019297), the Issuer attached the Form 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that on that date had been filed with the U.S. SEC. This Form 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contained: Consolidated interim financial statements of the Issuer and Subsidiaries as of March 31, 2020 and December 31, 2019; Financial results for the three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month periods ended March 31, 2020 and March 31, 2019; summary of business activities and operations during the three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month period ended March 31, 2020; and the following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1401445</wp:posOffset>
            </wp:positionH>
            <wp:positionV relativeFrom="paragraph">
              <wp:posOffset>233680</wp:posOffset>
            </wp:positionV>
            <wp:extent cx="4347845" cy="18116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47845" cy="181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Source: Form 6</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K, p. 90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(Spanish translation was provided in the source)</w:t>
      </w:r>
    </w:p>
    <w:p>
      <w:pPr>
        <w:spacing w:after="0" w:line="18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Además, Dionisio Romero Paoletti, ex presidente de nuestra junta de directores, es actualmente parte de una investigación preliminar por un fiscal de distrito in relación a denuncias hechas por un ciudadano privado con respecto a contribuciones de campaña hechas en elecciones 2011 y 2016. Tales alegaciones no son directas contra Credicorp y nosotros creemos que no tendrían ningún impacto material en la Compañía.</w:t>
      </w:r>
    </w:p>
    <w:p>
      <w:pPr>
        <w:spacing w:after="0" w:line="1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Furthermore, according to information published by the SBS, as of September 30, 2020, the Pension Fund Administrators (AFPs) had invested approximately S/ 1,799.3 million in the Issuer’s shares, an amount equivalent to 4.3% of the Issuer’s shareholding at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193675</wp:posOffset>
            </wp:positionV>
            <wp:extent cx="7146290"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6" w:name="page167"/>
    <w:bookmarkEnd w:id="166"/>
    <w:tbl>
      <w:tblPr>
        <w:tblLayout w:type="fixed"/>
        <w:tblInd w:w="1123" w:type="dxa"/>
        <w:tblCellMar>
          <w:top w:w="0" w:type="dxa"/>
          <w:left w:w="0" w:type="dxa"/>
          <w:bottom w:w="0" w:type="dxa"/>
          <w:right w:w="0" w:type="dxa"/>
        </w:tblCellMar>
      </w:tblPr>
      <w:tr>
        <w:trPr>
          <w:trHeight w:val="194"/>
        </w:trPr>
        <w:tc>
          <w:tcPr>
            <w:tcW w:w="1180" w:type="dxa"/>
            <w:vAlign w:val="bottom"/>
            <w:shd w:val="clear" w:color="auto" w:fill="0F9ED5"/>
          </w:tcPr>
          <w:p>
            <w:pPr>
              <w:jc w:val="center"/>
              <w:spacing w:after="0"/>
              <w:rPr>
                <w:sz w:val="20"/>
                <w:szCs w:val="20"/>
                <w:color w:val="auto"/>
              </w:rPr>
            </w:pPr>
            <w:r>
              <w:rPr>
                <w:rFonts w:ascii="Times New Roman" w:cs="Times New Roman" w:eastAsia="Times New Roman" w:hAnsi="Times New Roman"/>
                <w:sz w:val="16"/>
                <w:szCs w:val="16"/>
                <w:b w:val="1"/>
                <w:bCs w:val="1"/>
                <w:color w:val="FFFFFF"/>
              </w:rPr>
              <w:t>AFP</w:t>
            </w:r>
          </w:p>
        </w:tc>
        <w:tc>
          <w:tcPr>
            <w:tcW w:w="1000" w:type="dxa"/>
            <w:vAlign w:val="bottom"/>
            <w:shd w:val="clear" w:color="auto" w:fill="0F9ED5"/>
          </w:tcPr>
          <w:p>
            <w:pPr>
              <w:jc w:val="center"/>
              <w:spacing w:after="0"/>
              <w:rPr>
                <w:sz w:val="20"/>
                <w:szCs w:val="20"/>
                <w:color w:val="auto"/>
              </w:rPr>
            </w:pPr>
            <w:r>
              <w:rPr>
                <w:rFonts w:ascii="Times New Roman" w:cs="Times New Roman" w:eastAsia="Times New Roman" w:hAnsi="Times New Roman"/>
                <w:sz w:val="16"/>
                <w:szCs w:val="16"/>
                <w:b w:val="1"/>
                <w:bCs w:val="1"/>
                <w:color w:val="FFFFFF"/>
              </w:rPr>
              <w:t>Fund</w:t>
            </w:r>
          </w:p>
        </w:tc>
        <w:tc>
          <w:tcPr>
            <w:tcW w:w="2420" w:type="dxa"/>
            <w:vAlign w:val="bottom"/>
            <w:shd w:val="clear" w:color="auto" w:fill="0F9ED5"/>
          </w:tcPr>
          <w:p>
            <w:pPr>
              <w:ind w:left="320"/>
              <w:spacing w:after="0"/>
              <w:rPr>
                <w:sz w:val="20"/>
                <w:szCs w:val="20"/>
                <w:color w:val="auto"/>
              </w:rPr>
            </w:pPr>
            <w:r>
              <w:rPr>
                <w:rFonts w:ascii="Times New Roman" w:cs="Times New Roman" w:eastAsia="Times New Roman" w:hAnsi="Times New Roman"/>
                <w:sz w:val="16"/>
                <w:szCs w:val="16"/>
                <w:b w:val="1"/>
                <w:bCs w:val="1"/>
                <w:color w:val="FFFFFF"/>
              </w:rPr>
              <w:t>Amount Invested</w:t>
            </w:r>
          </w:p>
        </w:tc>
        <w:tc>
          <w:tcPr>
            <w:tcW w:w="4400" w:type="dxa"/>
            <w:vAlign w:val="bottom"/>
            <w:shd w:val="clear" w:color="auto" w:fill="0F9ED5"/>
          </w:tcPr>
          <w:p>
            <w:pPr>
              <w:ind w:left="920"/>
              <w:spacing w:after="0"/>
              <w:rPr>
                <w:sz w:val="20"/>
                <w:szCs w:val="20"/>
                <w:color w:val="auto"/>
              </w:rPr>
            </w:pPr>
            <w:r>
              <w:rPr>
                <w:rFonts w:ascii="Times New Roman" w:cs="Times New Roman" w:eastAsia="Times New Roman" w:hAnsi="Times New Roman"/>
                <w:sz w:val="16"/>
                <w:szCs w:val="16"/>
                <w:b w:val="1"/>
                <w:bCs w:val="1"/>
                <w:color w:val="FFFFFF"/>
              </w:rPr>
              <w:t>% of Credicorp Shareholding</w:t>
            </w:r>
          </w:p>
        </w:tc>
      </w:tr>
      <w:tr>
        <w:trPr>
          <w:trHeight w:val="194"/>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Habitat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420" w:type="dxa"/>
            <w:vAlign w:val="bottom"/>
            <w:shd w:val="clear" w:color="auto" w:fill="CCEEFF"/>
          </w:tcPr>
          <w:p>
            <w:pPr>
              <w:jc w:val="center"/>
              <w:ind w:right="499"/>
              <w:spacing w:after="0"/>
              <w:rPr>
                <w:sz w:val="20"/>
                <w:szCs w:val="20"/>
                <w:color w:val="auto"/>
              </w:rPr>
            </w:pPr>
            <w:r>
              <w:rPr>
                <w:rFonts w:ascii="Times New Roman" w:cs="Times New Roman" w:eastAsia="Times New Roman" w:hAnsi="Times New Roman"/>
                <w:sz w:val="16"/>
                <w:szCs w:val="16"/>
                <w:color w:val="auto"/>
                <w:w w:val="99"/>
              </w:rPr>
              <w:t>0.2</w:t>
            </w:r>
          </w:p>
        </w:tc>
        <w:tc>
          <w:tcPr>
            <w:tcW w:w="4400" w:type="dxa"/>
            <w:vAlign w:val="bottom"/>
            <w:shd w:val="clear" w:color="auto" w:fill="CCEEFF"/>
          </w:tcPr>
          <w:p>
            <w:pPr>
              <w:jc w:val="center"/>
              <w:ind w:right="459"/>
              <w:spacing w:after="0"/>
              <w:rPr>
                <w:sz w:val="20"/>
                <w:szCs w:val="20"/>
                <w:color w:val="auto"/>
              </w:rPr>
            </w:pPr>
            <w:r>
              <w:rPr>
                <w:rFonts w:ascii="Times New Roman" w:cs="Times New Roman" w:eastAsia="Times New Roman" w:hAnsi="Times New Roman"/>
                <w:sz w:val="16"/>
                <w:szCs w:val="16"/>
                <w:color w:val="auto"/>
              </w:rPr>
              <w:t>0.0004%</w:t>
            </w:r>
          </w:p>
        </w:tc>
      </w:tr>
      <w:tr>
        <w:trPr>
          <w:trHeight w:val="194"/>
        </w:trPr>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Habitat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42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w w:val="99"/>
              </w:rPr>
              <w:t>34.6</w:t>
            </w:r>
          </w:p>
        </w:tc>
        <w:tc>
          <w:tcPr>
            <w:tcW w:w="4400" w:type="dxa"/>
            <w:vAlign w:val="bottom"/>
          </w:tcPr>
          <w:p>
            <w:pPr>
              <w:jc w:val="center"/>
              <w:ind w:right="459"/>
              <w:spacing w:after="0"/>
              <w:rPr>
                <w:sz w:val="20"/>
                <w:szCs w:val="20"/>
                <w:color w:val="auto"/>
              </w:rPr>
            </w:pPr>
            <w:r>
              <w:rPr>
                <w:rFonts w:ascii="Times New Roman" w:cs="Times New Roman" w:eastAsia="Times New Roman" w:hAnsi="Times New Roman"/>
                <w:sz w:val="16"/>
                <w:szCs w:val="16"/>
                <w:color w:val="auto"/>
              </w:rPr>
              <w:t>0.0821%</w:t>
            </w:r>
          </w:p>
        </w:tc>
      </w:tr>
      <w:tr>
        <w:trPr>
          <w:trHeight w:val="194"/>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Habitat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420" w:type="dxa"/>
            <w:vAlign w:val="bottom"/>
            <w:shd w:val="clear" w:color="auto" w:fill="CCEEFF"/>
          </w:tcPr>
          <w:p>
            <w:pPr>
              <w:jc w:val="center"/>
              <w:ind w:right="499"/>
              <w:spacing w:after="0"/>
              <w:rPr>
                <w:sz w:val="20"/>
                <w:szCs w:val="20"/>
                <w:color w:val="auto"/>
              </w:rPr>
            </w:pPr>
            <w:r>
              <w:rPr>
                <w:rFonts w:ascii="Times New Roman" w:cs="Times New Roman" w:eastAsia="Times New Roman" w:hAnsi="Times New Roman"/>
                <w:sz w:val="16"/>
                <w:szCs w:val="16"/>
                <w:color w:val="auto"/>
                <w:w w:val="99"/>
              </w:rPr>
              <w:t>18.5</w:t>
            </w:r>
          </w:p>
        </w:tc>
        <w:tc>
          <w:tcPr>
            <w:tcW w:w="4400" w:type="dxa"/>
            <w:vAlign w:val="bottom"/>
            <w:shd w:val="clear" w:color="auto" w:fill="CCEEFF"/>
          </w:tcPr>
          <w:p>
            <w:pPr>
              <w:jc w:val="center"/>
              <w:ind w:right="459"/>
              <w:spacing w:after="0"/>
              <w:rPr>
                <w:sz w:val="20"/>
                <w:szCs w:val="20"/>
                <w:color w:val="auto"/>
              </w:rPr>
            </w:pPr>
            <w:r>
              <w:rPr>
                <w:rFonts w:ascii="Times New Roman" w:cs="Times New Roman" w:eastAsia="Times New Roman" w:hAnsi="Times New Roman"/>
                <w:sz w:val="16"/>
                <w:szCs w:val="16"/>
                <w:color w:val="auto"/>
              </w:rPr>
              <w:t>0.0440%</w:t>
            </w:r>
          </w:p>
        </w:tc>
      </w:tr>
      <w:tr>
        <w:trPr>
          <w:trHeight w:val="194"/>
        </w:trPr>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Integra</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42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w w:val="99"/>
              </w:rPr>
              <w:t>26.8</w:t>
            </w:r>
          </w:p>
        </w:tc>
        <w:tc>
          <w:tcPr>
            <w:tcW w:w="4400" w:type="dxa"/>
            <w:vAlign w:val="bottom"/>
          </w:tcPr>
          <w:p>
            <w:pPr>
              <w:jc w:val="center"/>
              <w:ind w:right="459"/>
              <w:spacing w:after="0"/>
              <w:rPr>
                <w:sz w:val="20"/>
                <w:szCs w:val="20"/>
                <w:color w:val="auto"/>
              </w:rPr>
            </w:pPr>
            <w:r>
              <w:rPr>
                <w:rFonts w:ascii="Times New Roman" w:cs="Times New Roman" w:eastAsia="Times New Roman" w:hAnsi="Times New Roman"/>
                <w:sz w:val="16"/>
                <w:szCs w:val="16"/>
                <w:color w:val="auto"/>
              </w:rPr>
              <w:t>0.0635%</w:t>
            </w:r>
          </w:p>
        </w:tc>
      </w:tr>
      <w:tr>
        <w:trPr>
          <w:trHeight w:val="194"/>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Integra</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420" w:type="dxa"/>
            <w:vAlign w:val="bottom"/>
            <w:shd w:val="clear" w:color="auto" w:fill="CCEEFF"/>
          </w:tcPr>
          <w:p>
            <w:pPr>
              <w:jc w:val="center"/>
              <w:ind w:right="499"/>
              <w:spacing w:after="0"/>
              <w:rPr>
                <w:sz w:val="20"/>
                <w:szCs w:val="20"/>
                <w:color w:val="auto"/>
              </w:rPr>
            </w:pPr>
            <w:r>
              <w:rPr>
                <w:rFonts w:ascii="Times New Roman" w:cs="Times New Roman" w:eastAsia="Times New Roman" w:hAnsi="Times New Roman"/>
                <w:sz w:val="16"/>
                <w:szCs w:val="16"/>
                <w:color w:val="auto"/>
                <w:w w:val="99"/>
              </w:rPr>
              <w:t>531.9</w:t>
            </w:r>
          </w:p>
        </w:tc>
        <w:tc>
          <w:tcPr>
            <w:tcW w:w="4400" w:type="dxa"/>
            <w:vAlign w:val="bottom"/>
            <w:shd w:val="clear" w:color="auto" w:fill="CCEEFF"/>
          </w:tcPr>
          <w:p>
            <w:pPr>
              <w:jc w:val="center"/>
              <w:ind w:right="459"/>
              <w:spacing w:after="0"/>
              <w:rPr>
                <w:sz w:val="20"/>
                <w:szCs w:val="20"/>
                <w:color w:val="auto"/>
              </w:rPr>
            </w:pPr>
            <w:r>
              <w:rPr>
                <w:rFonts w:ascii="Times New Roman" w:cs="Times New Roman" w:eastAsia="Times New Roman" w:hAnsi="Times New Roman"/>
                <w:sz w:val="16"/>
                <w:szCs w:val="16"/>
                <w:color w:val="auto"/>
              </w:rPr>
              <w:t>1.2618%</w:t>
            </w:r>
          </w:p>
        </w:tc>
      </w:tr>
      <w:tr>
        <w:trPr>
          <w:trHeight w:val="194"/>
        </w:trPr>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Integra</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42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w w:val="99"/>
              </w:rPr>
              <w:t>150.3</w:t>
            </w:r>
          </w:p>
        </w:tc>
        <w:tc>
          <w:tcPr>
            <w:tcW w:w="4400" w:type="dxa"/>
            <w:vAlign w:val="bottom"/>
          </w:tcPr>
          <w:p>
            <w:pPr>
              <w:jc w:val="center"/>
              <w:ind w:right="459"/>
              <w:spacing w:after="0"/>
              <w:rPr>
                <w:sz w:val="20"/>
                <w:szCs w:val="20"/>
                <w:color w:val="auto"/>
              </w:rPr>
            </w:pPr>
            <w:r>
              <w:rPr>
                <w:rFonts w:ascii="Times New Roman" w:cs="Times New Roman" w:eastAsia="Times New Roman" w:hAnsi="Times New Roman"/>
                <w:sz w:val="16"/>
                <w:szCs w:val="16"/>
                <w:color w:val="auto"/>
              </w:rPr>
              <w:t>0.3566%</w:t>
            </w:r>
          </w:p>
        </w:tc>
      </w:tr>
      <w:tr>
        <w:trPr>
          <w:trHeight w:val="194"/>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Profuturo</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420" w:type="dxa"/>
            <w:vAlign w:val="bottom"/>
            <w:shd w:val="clear" w:color="auto" w:fill="CCEEFF"/>
          </w:tcPr>
          <w:p>
            <w:pPr>
              <w:jc w:val="center"/>
              <w:ind w:right="499"/>
              <w:spacing w:after="0"/>
              <w:rPr>
                <w:sz w:val="20"/>
                <w:szCs w:val="20"/>
                <w:color w:val="auto"/>
              </w:rPr>
            </w:pPr>
            <w:r>
              <w:rPr>
                <w:rFonts w:ascii="Times New Roman" w:cs="Times New Roman" w:eastAsia="Times New Roman" w:hAnsi="Times New Roman"/>
                <w:sz w:val="16"/>
                <w:szCs w:val="16"/>
                <w:color w:val="auto"/>
                <w:w w:val="99"/>
              </w:rPr>
              <w:t>16.2</w:t>
            </w:r>
          </w:p>
        </w:tc>
        <w:tc>
          <w:tcPr>
            <w:tcW w:w="4400" w:type="dxa"/>
            <w:vAlign w:val="bottom"/>
            <w:shd w:val="clear" w:color="auto" w:fill="CCEEFF"/>
          </w:tcPr>
          <w:p>
            <w:pPr>
              <w:jc w:val="center"/>
              <w:ind w:right="459"/>
              <w:spacing w:after="0"/>
              <w:rPr>
                <w:sz w:val="20"/>
                <w:szCs w:val="20"/>
                <w:color w:val="auto"/>
              </w:rPr>
            </w:pPr>
            <w:r>
              <w:rPr>
                <w:rFonts w:ascii="Times New Roman" w:cs="Times New Roman" w:eastAsia="Times New Roman" w:hAnsi="Times New Roman"/>
                <w:sz w:val="16"/>
                <w:szCs w:val="16"/>
                <w:color w:val="auto"/>
              </w:rPr>
              <w:t>0.0384%</w:t>
            </w:r>
          </w:p>
        </w:tc>
      </w:tr>
      <w:tr>
        <w:trPr>
          <w:trHeight w:val="194"/>
        </w:trPr>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Profuturo</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42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w w:val="99"/>
              </w:rPr>
              <w:t>366.0</w:t>
            </w:r>
          </w:p>
        </w:tc>
        <w:tc>
          <w:tcPr>
            <w:tcW w:w="4400" w:type="dxa"/>
            <w:vAlign w:val="bottom"/>
          </w:tcPr>
          <w:p>
            <w:pPr>
              <w:jc w:val="center"/>
              <w:ind w:right="459"/>
              <w:spacing w:after="0"/>
              <w:rPr>
                <w:sz w:val="20"/>
                <w:szCs w:val="20"/>
                <w:color w:val="auto"/>
              </w:rPr>
            </w:pPr>
            <w:r>
              <w:rPr>
                <w:rFonts w:ascii="Times New Roman" w:cs="Times New Roman" w:eastAsia="Times New Roman" w:hAnsi="Times New Roman"/>
                <w:sz w:val="16"/>
                <w:szCs w:val="16"/>
                <w:color w:val="auto"/>
              </w:rPr>
              <w:t>0.8681%</w:t>
            </w:r>
          </w:p>
        </w:tc>
      </w:tr>
      <w:tr>
        <w:trPr>
          <w:trHeight w:val="194"/>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Profuturo</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420" w:type="dxa"/>
            <w:vAlign w:val="bottom"/>
            <w:shd w:val="clear" w:color="auto" w:fill="CCEEFF"/>
          </w:tcPr>
          <w:p>
            <w:pPr>
              <w:jc w:val="center"/>
              <w:ind w:right="499"/>
              <w:spacing w:after="0"/>
              <w:rPr>
                <w:sz w:val="20"/>
                <w:szCs w:val="20"/>
                <w:color w:val="auto"/>
              </w:rPr>
            </w:pPr>
            <w:r>
              <w:rPr>
                <w:rFonts w:ascii="Times New Roman" w:cs="Times New Roman" w:eastAsia="Times New Roman" w:hAnsi="Times New Roman"/>
                <w:sz w:val="16"/>
                <w:szCs w:val="16"/>
                <w:color w:val="auto"/>
                <w:w w:val="99"/>
              </w:rPr>
              <w:t>132.4</w:t>
            </w:r>
          </w:p>
        </w:tc>
        <w:tc>
          <w:tcPr>
            <w:tcW w:w="4400" w:type="dxa"/>
            <w:vAlign w:val="bottom"/>
            <w:shd w:val="clear" w:color="auto" w:fill="CCEEFF"/>
          </w:tcPr>
          <w:p>
            <w:pPr>
              <w:jc w:val="center"/>
              <w:ind w:right="459"/>
              <w:spacing w:after="0"/>
              <w:rPr>
                <w:sz w:val="20"/>
                <w:szCs w:val="20"/>
                <w:color w:val="auto"/>
              </w:rPr>
            </w:pPr>
            <w:r>
              <w:rPr>
                <w:rFonts w:ascii="Times New Roman" w:cs="Times New Roman" w:eastAsia="Times New Roman" w:hAnsi="Times New Roman"/>
                <w:sz w:val="16"/>
                <w:szCs w:val="16"/>
                <w:color w:val="auto"/>
              </w:rPr>
              <w:t>0.3140%</w:t>
            </w:r>
          </w:p>
        </w:tc>
      </w:tr>
      <w:tr>
        <w:trPr>
          <w:trHeight w:val="194"/>
        </w:trPr>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Prima</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42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w w:val="99"/>
              </w:rPr>
              <w:t>24.0</w:t>
            </w:r>
          </w:p>
        </w:tc>
        <w:tc>
          <w:tcPr>
            <w:tcW w:w="4400" w:type="dxa"/>
            <w:vAlign w:val="bottom"/>
          </w:tcPr>
          <w:p>
            <w:pPr>
              <w:jc w:val="center"/>
              <w:ind w:right="459"/>
              <w:spacing w:after="0"/>
              <w:rPr>
                <w:sz w:val="20"/>
                <w:szCs w:val="20"/>
                <w:color w:val="auto"/>
              </w:rPr>
            </w:pPr>
            <w:r>
              <w:rPr>
                <w:rFonts w:ascii="Times New Roman" w:cs="Times New Roman" w:eastAsia="Times New Roman" w:hAnsi="Times New Roman"/>
                <w:sz w:val="16"/>
                <w:szCs w:val="16"/>
                <w:color w:val="auto"/>
              </w:rPr>
              <w:t>0.0569%</w:t>
            </w:r>
          </w:p>
        </w:tc>
      </w:tr>
      <w:tr>
        <w:trPr>
          <w:trHeight w:val="194"/>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Prima</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420" w:type="dxa"/>
            <w:vAlign w:val="bottom"/>
            <w:shd w:val="clear" w:color="auto" w:fill="CCEEFF"/>
          </w:tcPr>
          <w:p>
            <w:pPr>
              <w:jc w:val="center"/>
              <w:ind w:right="499"/>
              <w:spacing w:after="0"/>
              <w:rPr>
                <w:sz w:val="20"/>
                <w:szCs w:val="20"/>
                <w:color w:val="auto"/>
              </w:rPr>
            </w:pPr>
            <w:r>
              <w:rPr>
                <w:rFonts w:ascii="Times New Roman" w:cs="Times New Roman" w:eastAsia="Times New Roman" w:hAnsi="Times New Roman"/>
                <w:sz w:val="16"/>
                <w:szCs w:val="16"/>
                <w:color w:val="auto"/>
                <w:w w:val="99"/>
              </w:rPr>
              <w:t>388.4</w:t>
            </w:r>
          </w:p>
        </w:tc>
        <w:tc>
          <w:tcPr>
            <w:tcW w:w="4400" w:type="dxa"/>
            <w:vAlign w:val="bottom"/>
            <w:shd w:val="clear" w:color="auto" w:fill="CCEEFF"/>
          </w:tcPr>
          <w:p>
            <w:pPr>
              <w:jc w:val="center"/>
              <w:ind w:right="459"/>
              <w:spacing w:after="0"/>
              <w:rPr>
                <w:sz w:val="20"/>
                <w:szCs w:val="20"/>
                <w:color w:val="auto"/>
              </w:rPr>
            </w:pPr>
            <w:r>
              <w:rPr>
                <w:rFonts w:ascii="Times New Roman" w:cs="Times New Roman" w:eastAsia="Times New Roman" w:hAnsi="Times New Roman"/>
                <w:sz w:val="16"/>
                <w:szCs w:val="16"/>
                <w:color w:val="auto"/>
              </w:rPr>
              <w:t>0.9213%</w:t>
            </w:r>
          </w:p>
        </w:tc>
      </w:tr>
      <w:tr>
        <w:trPr>
          <w:trHeight w:val="194"/>
        </w:trPr>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Prima</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42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w w:val="99"/>
              </w:rPr>
              <w:t>110.0</w:t>
            </w:r>
          </w:p>
        </w:tc>
        <w:tc>
          <w:tcPr>
            <w:tcW w:w="4400" w:type="dxa"/>
            <w:vAlign w:val="bottom"/>
          </w:tcPr>
          <w:p>
            <w:pPr>
              <w:jc w:val="center"/>
              <w:ind w:right="459"/>
              <w:spacing w:after="0"/>
              <w:rPr>
                <w:sz w:val="20"/>
                <w:szCs w:val="20"/>
                <w:color w:val="auto"/>
              </w:rPr>
            </w:pPr>
            <w:r>
              <w:rPr>
                <w:rFonts w:ascii="Times New Roman" w:cs="Times New Roman" w:eastAsia="Times New Roman" w:hAnsi="Times New Roman"/>
                <w:sz w:val="16"/>
                <w:szCs w:val="16"/>
                <w:color w:val="auto"/>
              </w:rPr>
              <w:t>0.2610%</w:t>
            </w:r>
          </w:p>
        </w:tc>
      </w:tr>
      <w:tr>
        <w:trPr>
          <w:trHeight w:val="194"/>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0" w:type="dxa"/>
            <w:vAlign w:val="bottom"/>
            <w:shd w:val="clear" w:color="auto" w:fill="CCEEFF"/>
          </w:tcPr>
          <w:p>
            <w:pPr>
              <w:spacing w:after="0"/>
              <w:rPr>
                <w:sz w:val="16"/>
                <w:szCs w:val="16"/>
                <w:color w:val="auto"/>
              </w:rPr>
            </w:pPr>
          </w:p>
        </w:tc>
        <w:tc>
          <w:tcPr>
            <w:tcW w:w="2420" w:type="dxa"/>
            <w:vAlign w:val="bottom"/>
            <w:shd w:val="clear" w:color="auto" w:fill="CCEEFF"/>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w w:val="99"/>
              </w:rPr>
              <w:t>1,799.3</w:t>
            </w:r>
          </w:p>
        </w:tc>
        <w:tc>
          <w:tcPr>
            <w:tcW w:w="4400" w:type="dxa"/>
            <w:vAlign w:val="bottom"/>
            <w:shd w:val="clear" w:color="auto" w:fill="CCEEFF"/>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w w:val="99"/>
              </w:rPr>
              <w:t>4.2679%</w:t>
            </w:r>
          </w:p>
        </w:tc>
      </w:tr>
    </w:tbl>
    <w:p>
      <w:pPr>
        <w:ind w:left="3"/>
        <w:spacing w:after="0"/>
        <w:rPr>
          <w:sz w:val="20"/>
          <w:szCs w:val="20"/>
          <w:color w:val="auto"/>
        </w:rPr>
      </w:pPr>
      <w:r>
        <w:rPr>
          <w:rFonts w:ascii="Times New Roman" w:cs="Times New Roman" w:eastAsia="Times New Roman" w:hAnsi="Times New Roman"/>
          <w:sz w:val="16"/>
          <w:szCs w:val="16"/>
          <w:color w:val="auto"/>
        </w:rPr>
        <w:t>Source: SBS statistics</w:t>
      </w:r>
    </w:p>
    <w:p>
      <w:pPr>
        <w:spacing w:after="0" w:line="18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Additionally, according to the SBS, as of February 21, 2021, there was a total of 7.8 million individual members in the private pension system administered by the AFPs.</w:t>
      </w:r>
    </w:p>
    <w:p>
      <w:pPr>
        <w:spacing w:after="0" w:line="204" w:lineRule="exact"/>
        <w:rPr>
          <w:sz w:val="20"/>
          <w:szCs w:val="20"/>
          <w:color w:val="auto"/>
        </w:rPr>
      </w:pPr>
    </w:p>
    <w:p>
      <w:pPr>
        <w:jc w:val="center"/>
        <w:ind w:right="-302"/>
        <w:spacing w:after="0"/>
        <w:rPr>
          <w:sz w:val="20"/>
          <w:szCs w:val="20"/>
          <w:color w:val="auto"/>
        </w:rPr>
      </w:pPr>
      <w:r>
        <w:rPr>
          <w:rFonts w:ascii="Times New Roman" w:cs="Times New Roman" w:eastAsia="Times New Roman" w:hAnsi="Times New Roman"/>
          <w:sz w:val="16"/>
          <w:szCs w:val="16"/>
          <w:color w:val="auto"/>
        </w:rPr>
        <w:t>Diagram of Economic Group –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1472565</wp:posOffset>
            </wp:positionH>
            <wp:positionV relativeFrom="paragraph">
              <wp:posOffset>140335</wp:posOffset>
            </wp:positionV>
            <wp:extent cx="4201160" cy="29908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201160" cy="299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Notes</w:t>
      </w:r>
    </w:p>
    <w:p>
      <w:pPr>
        <w:spacing w:after="0" w:line="26" w:lineRule="exact"/>
        <w:rPr>
          <w:sz w:val="20"/>
          <w:szCs w:val="20"/>
          <w:color w:val="auto"/>
        </w:rPr>
      </w:pPr>
    </w:p>
    <w:p>
      <w:pPr>
        <w:ind w:left="123" w:hanging="123"/>
        <w:spacing w:after="0"/>
        <w:tabs>
          <w:tab w:leader="none" w:pos="123"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ownership of the direct majority shareholder.</w:t>
      </w:r>
    </w:p>
    <w:p>
      <w:pPr>
        <w:spacing w:after="0" w:line="10" w:lineRule="exact"/>
        <w:rPr>
          <w:rFonts w:ascii="Times New Roman" w:cs="Times New Roman" w:eastAsia="Times New Roman" w:hAnsi="Times New Roman"/>
          <w:sz w:val="16"/>
          <w:szCs w:val="16"/>
          <w:color w:val="auto"/>
        </w:rPr>
      </w:pPr>
    </w:p>
    <w:p>
      <w:pPr>
        <w:ind w:left="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Grupo Crédito holds a 33.61% stake.</w:t>
      </w:r>
    </w:p>
    <w:p>
      <w:pPr>
        <w:spacing w:after="0" w:line="10" w:lineRule="exact"/>
        <w:rPr>
          <w:rFonts w:ascii="Times New Roman" w:cs="Times New Roman" w:eastAsia="Times New Roman" w:hAnsi="Times New Roman"/>
          <w:sz w:val="16"/>
          <w:szCs w:val="16"/>
          <w:color w:val="auto"/>
        </w:rPr>
      </w:pPr>
    </w:p>
    <w:p>
      <w:pPr>
        <w:ind w:left="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Credicorp Capital Ltd. holds a 12.795% stake.</w:t>
      </w:r>
    </w:p>
    <w:p>
      <w:pPr>
        <w:spacing w:after="0" w:line="10" w:lineRule="exact"/>
        <w:rPr>
          <w:rFonts w:ascii="Times New Roman" w:cs="Times New Roman" w:eastAsia="Times New Roman" w:hAnsi="Times New Roman"/>
          <w:sz w:val="16"/>
          <w:szCs w:val="16"/>
          <w:color w:val="auto"/>
        </w:rPr>
      </w:pPr>
    </w:p>
    <w:p>
      <w:pPr>
        <w:ind w:left="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Soluciones en Procesamiento S.A. (Peru) and Inversiones 2020 each hold a 2.0% stake.</w:t>
      </w:r>
    </w:p>
    <w:p>
      <w:pPr>
        <w:spacing w:after="0" w:line="10" w:lineRule="exact"/>
        <w:rPr>
          <w:rFonts w:ascii="Times New Roman" w:cs="Times New Roman" w:eastAsia="Times New Roman" w:hAnsi="Times New Roman"/>
          <w:sz w:val="16"/>
          <w:szCs w:val="16"/>
          <w:color w:val="auto"/>
        </w:rPr>
      </w:pPr>
    </w:p>
    <w:p>
      <w:pPr>
        <w:ind w:left="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Pacífico Seguros is the controlling entity. Inversiones Credicorp Bolivia S.A. holds a 51.95% stake.</w:t>
      </w:r>
    </w:p>
    <w:p>
      <w:pPr>
        <w:spacing w:after="0" w:line="10" w:lineRule="exact"/>
        <w:rPr>
          <w:rFonts w:ascii="Times New Roman" w:cs="Times New Roman" w:eastAsia="Times New Roman" w:hAnsi="Times New Roman"/>
          <w:sz w:val="16"/>
          <w:szCs w:val="16"/>
          <w:color w:val="auto"/>
        </w:rPr>
      </w:pPr>
    </w:p>
    <w:p>
      <w:pPr>
        <w:ind w:left="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Pacífico Seguros is the controlling entity. Inversiones Credicorp Bolivia S.A. holds a 51.87% stake.</w:t>
      </w:r>
    </w:p>
    <w:p>
      <w:pPr>
        <w:spacing w:after="0" w:line="10" w:lineRule="exact"/>
        <w:rPr>
          <w:rFonts w:ascii="Times New Roman" w:cs="Times New Roman" w:eastAsia="Times New Roman" w:hAnsi="Times New Roman"/>
          <w:sz w:val="16"/>
          <w:szCs w:val="16"/>
          <w:color w:val="auto"/>
        </w:rPr>
      </w:pPr>
    </w:p>
    <w:p>
      <w:pPr>
        <w:ind w:left="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 Grupo Crédito S.A. holds a 6.49% stake.</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Source: Economic Group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7146290"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963"/>
          </w:cols>
          <w:pgMar w:left="317" w:top="140" w:right="61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04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6290" cy="30480"/>
                    </a:xfrm>
                    <a:prstGeom prst="rect">
                      <a:avLst/>
                    </a:prstGeom>
                    <a:noFill/>
                  </pic:spPr>
                </pic:pic>
              </a:graphicData>
            </a:graphic>
          </wp:anchor>
        </w:drawing>
        <w:t>Annex 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JUDICIARY OF PERU</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SUPREME COURT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Palace of Justice Headquarters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Barcode: 420260028062024016925001212000201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N.° 2806-2026-SU-CI</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CASE FILE: 01692-2024-0-5001-SU-CI-01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INSTANCE: Permanent Civil Chamber of the Supreme Court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APPEAL: Appeal with suspensive effect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JURISDICTION: Lima Superior Court of Justice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PROCEEDING N.°: 01996-2021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ORIGINATING COURT: Specialized Chamber for Administrative Litigation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DEFENDANT: Superintendency of the Securities Market – SMV</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PLAINTIFF: Credicorp Ltd.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SUBJECT MATTER: Annulment of Administrative Resolution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ADDRESSEE: Public Prosecutor of the Superintendency of the Securities Market – SMV (Public Prosecutor)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 Electronic Address – No. 714 – /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Attached: Resolution without number dated 11/26/2025, on page 55.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SUMMARY: A copy of the resolution dated 11/26/2025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146290"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242"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b w:val="1"/>
          <w:bCs w:val="1"/>
          <w:color w:val="auto"/>
        </w:rPr>
        <w:t>SUPREME COURT OF JUSTICE OF THE REPUBLIC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PERMANENT CIVIL CHAMBER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APPEAL JUDGMENT No. 1692-2024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ANNULMENT OF ADMINISTRATIVE RESOLUTION</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Summary.</w:t>
      </w:r>
    </w:p>
    <w:p>
      <w:pPr>
        <w:spacing w:after="0" w:line="28" w:lineRule="exact"/>
        <w:rPr>
          <w:sz w:val="20"/>
          <w:szCs w:val="20"/>
          <w:color w:val="auto"/>
        </w:rPr>
      </w:pPr>
    </w:p>
    <w:p>
      <w:pPr>
        <w:jc w:val="both"/>
        <w:ind w:left="4500"/>
        <w:spacing w:after="0" w:line="200" w:lineRule="exact"/>
        <w:rPr>
          <w:sz w:val="20"/>
          <w:szCs w:val="20"/>
          <w:color w:val="auto"/>
        </w:rPr>
      </w:pPr>
      <w:r>
        <w:rPr>
          <w:rFonts w:ascii="Times New Roman" w:cs="Times New Roman" w:eastAsia="Times New Roman" w:hAnsi="Times New Roman"/>
          <w:sz w:val="16"/>
          <w:szCs w:val="16"/>
          <w:color w:val="auto"/>
        </w:rPr>
        <w:t>In the present case, the Superior Court, acting correctly as the court of first instance, has declared the claim unfounded, assessing the evidence admitted and produced in the proceeding and applying the correct and pertinent legal framework, since in the administrative stage it was determined that the claimant incurred very serious infringements, given that its conduct of keeping the information regarding the financial contributions to political campaigns secret constitutes concealment. Consequently, the appealed judgment must be confirmed, as the arguments raised in the appeal do not overturn the decision issued in first instance by the Superior Court Lima, November twenty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six, two thousand twenty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five.</w:t>
      </w:r>
    </w:p>
    <w:p>
      <w:pPr>
        <w:spacing w:after="0" w:line="335" w:lineRule="exact"/>
        <w:rPr>
          <w:sz w:val="20"/>
          <w:szCs w:val="20"/>
          <w:color w:val="auto"/>
        </w:rPr>
      </w:pPr>
    </w:p>
    <w:p>
      <w:pPr>
        <w:jc w:val="both"/>
        <w:ind w:right="20"/>
        <w:spacing w:after="0" w:line="201" w:lineRule="exact"/>
        <w:rPr>
          <w:sz w:val="20"/>
          <w:szCs w:val="20"/>
          <w:color w:val="auto"/>
        </w:rPr>
      </w:pPr>
      <w:r>
        <w:rPr>
          <w:rFonts w:ascii="Times New Roman" w:cs="Times New Roman" w:eastAsia="Times New Roman" w:hAnsi="Times New Roman"/>
          <w:sz w:val="16"/>
          <w:szCs w:val="16"/>
          <w:b w:val="1"/>
          <w:bCs w:val="1"/>
          <w:color w:val="auto"/>
        </w:rPr>
        <w:t>THE PERMANENT CIVIL CHAMBER OF THE SUPREME COURT OF JUSTICE OF THE REPUBLIC</w:t>
      </w:r>
      <w:r>
        <w:rPr>
          <w:rFonts w:ascii="Times New Roman" w:cs="Times New Roman" w:eastAsia="Times New Roman" w:hAnsi="Times New Roman"/>
          <w:sz w:val="16"/>
          <w:szCs w:val="16"/>
          <w:color w:val="auto"/>
        </w:rPr>
        <w:t>, with the administrative file attached; having reviewed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administrative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litigation proceeding numbered one thousand six hundred ninety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two of the year two thousand twenty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four, regarding the annulment of an administrative resolution; and having carried out the corresponding vote, acting as the reviewing body in second instance, issues the following judgment: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 SUBJECT MATTER OF THE APPEAL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This case concerns </w:t>
      </w:r>
      <w:r>
        <w:rPr>
          <w:rFonts w:ascii="Times New Roman" w:cs="Times New Roman" w:eastAsia="Times New Roman" w:hAnsi="Times New Roman"/>
          <w:sz w:val="16"/>
          <w:szCs w:val="16"/>
          <w:color w:val="auto"/>
          <w:highlight w:val="yellow"/>
        </w:rPr>
        <w:t>the appeal filed on September 18, 2023</w:t>
      </w:r>
      <w:r>
        <w:rPr>
          <w:rFonts w:ascii="Times New Roman" w:cs="Times New Roman" w:eastAsia="Times New Roman" w:hAnsi="Times New Roman"/>
          <w:sz w:val="16"/>
          <w:szCs w:val="16"/>
          <w:color w:val="auto"/>
        </w:rPr>
        <w:t xml:space="preserve">, by the plaintiff </w:t>
      </w:r>
      <w:r>
        <w:rPr>
          <w:rFonts w:ascii="Times New Roman" w:cs="Times New Roman" w:eastAsia="Times New Roman" w:hAnsi="Times New Roman"/>
          <w:sz w:val="16"/>
          <w:szCs w:val="16"/>
          <w:b w:val="1"/>
          <w:bCs w:val="1"/>
          <w:color w:val="auto"/>
        </w:rPr>
        <w:t>CREDICORP LTD.</w:t>
      </w:r>
      <w:r>
        <w:rPr>
          <w:rFonts w:ascii="Times New Roman" w:cs="Times New Roman" w:eastAsia="Times New Roman" w:hAnsi="Times New Roman"/>
          <w:sz w:val="16"/>
          <w:szCs w:val="16"/>
          <w:color w:val="auto"/>
        </w:rPr>
        <w:t>, found on page 1208 of the case file, against the judgment contained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Resolution N.° Nine dated August 15, 2023, found on page 1184 of the case file, which resolved as follows:</w:t>
      </w:r>
    </w:p>
    <w:p>
      <w:pPr>
        <w:spacing w:after="0" w:line="153" w:lineRule="exact"/>
        <w:rPr>
          <w:sz w:val="20"/>
          <w:szCs w:val="20"/>
          <w:color w:val="auto"/>
        </w:rPr>
      </w:pPr>
    </w:p>
    <w:p>
      <w:pPr>
        <w:ind w:left="580" w:right="20"/>
        <w:spacing w:after="0" w:line="221"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UNFOUNDED</w:t>
      </w:r>
      <w:r>
        <w:rPr>
          <w:rFonts w:ascii="Times New Roman" w:cs="Times New Roman" w:eastAsia="Times New Roman" w:hAnsi="Times New Roman"/>
          <w:sz w:val="16"/>
          <w:szCs w:val="16"/>
          <w:color w:val="auto"/>
        </w:rPr>
        <w:t xml:space="preserve"> the claim from pages three to fifty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eight, without costs or fees; in the case brought by CREDICORP LTD. against the Superintendency of the Securities Market, regarding the challenge of an administrative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II. BACKGROUND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1. ADMINISTRATIVE PROCEEDINGS</w:t>
      </w:r>
    </w:p>
    <w:p>
      <w:pPr>
        <w:spacing w:after="0" w:line="171" w:lineRule="exact"/>
        <w:rPr>
          <w:sz w:val="20"/>
          <w:szCs w:val="20"/>
          <w:color w:val="auto"/>
        </w:rPr>
      </w:pPr>
    </w:p>
    <w:p>
      <w:pPr>
        <w:jc w:val="both"/>
        <w:spacing w:after="0" w:line="204" w:lineRule="exact"/>
        <w:rPr>
          <w:sz w:val="20"/>
          <w:szCs w:val="20"/>
          <w:color w:val="auto"/>
        </w:rPr>
      </w:pPr>
      <w:r>
        <w:rPr>
          <w:rFonts w:ascii="Times New Roman" w:cs="Times New Roman" w:eastAsia="Times New Roman" w:hAnsi="Times New Roman"/>
          <w:sz w:val="16"/>
          <w:szCs w:val="16"/>
          <w:b w:val="1"/>
          <w:bCs w:val="1"/>
          <w:color w:val="auto"/>
        </w:rPr>
        <w:t xml:space="preserve">1.1. </w:t>
      </w:r>
      <w:r>
        <w:rPr>
          <w:rFonts w:ascii="Times New Roman" w:cs="Times New Roman" w:eastAsia="Times New Roman" w:hAnsi="Times New Roman"/>
          <w:sz w:val="16"/>
          <w:szCs w:val="16"/>
          <w:color w:val="auto"/>
        </w:rPr>
        <w:t>By Official Letter N.° 6143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SMV/11.2 dated December 27, 2019 (pages 399–409 of the attached administrative file), the recurrent company was notified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initiation of an administrative sanctioning proceeding for the following charges: (i) The company has engaged in conduct that allegedly affected the transparency of the securities market by failing to disclose relevant information to the market regarding cash contributions made to the political party </w:t>
      </w:r>
      <w:r>
        <w:rPr>
          <w:rFonts w:ascii="Times New Roman" w:cs="Times New Roman" w:eastAsia="Times New Roman" w:hAnsi="Times New Roman"/>
          <w:sz w:val="16"/>
          <w:szCs w:val="16"/>
          <w:i w:val="1"/>
          <w:iCs w:val="1"/>
          <w:color w:val="auto"/>
        </w:rPr>
        <w:t>Fuerza 2011</w:t>
      </w:r>
      <w:r>
        <w:rPr>
          <w:rFonts w:ascii="Times New Roman" w:cs="Times New Roman" w:eastAsia="Times New Roman" w:hAnsi="Times New Roman"/>
          <w:sz w:val="16"/>
          <w:szCs w:val="16"/>
          <w:color w:val="auto"/>
        </w:rPr>
        <w:t xml:space="preserve"> during the 2011 Peruvian presidential campaign—conduct classified under subsection 1.6, numeral 1 of Annex I of the Regulation on Sanctions, in force at the time of the infraction, and (ii) The company has engaged in conduct that allegedly affected the transparency of the securities market by failing to disclose relevant market information regarding the agreement to make, through its subsidiaries, cash contributions to the political party </w:t>
      </w:r>
      <w:r>
        <w:rPr>
          <w:rFonts w:ascii="Times New Roman" w:cs="Times New Roman" w:eastAsia="Times New Roman" w:hAnsi="Times New Roman"/>
          <w:sz w:val="16"/>
          <w:szCs w:val="16"/>
          <w:i w:val="1"/>
          <w:iCs w:val="1"/>
          <w:color w:val="auto"/>
        </w:rPr>
        <w:t>Peruanos Por el Kambio</w:t>
      </w:r>
      <w:r>
        <w:rPr>
          <w:rFonts w:ascii="Times New Roman" w:cs="Times New Roman" w:eastAsia="Times New Roman" w:hAnsi="Times New Roman"/>
          <w:sz w:val="16"/>
          <w:szCs w:val="16"/>
          <w:color w:val="auto"/>
        </w:rPr>
        <w:t xml:space="preserve"> during the 2016 Peruvian presidential campaign—conduct classified under subsection 1.5, numeral 1 of Annex I of the Regulation on Sanctions, in force at the time of the infraction. A deadline was granted for the submission of arguments in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340360</wp:posOffset>
            </wp:positionV>
            <wp:extent cx="7146290"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9" w:name="page170"/>
    <w:bookmarkEnd w:id="169"/>
    <w:p>
      <w:pPr>
        <w:ind w:left="3"/>
        <w:spacing w:after="0"/>
        <w:rPr>
          <w:sz w:val="20"/>
          <w:szCs w:val="20"/>
          <w:color w:val="auto"/>
        </w:rPr>
      </w:pPr>
      <w:r>
        <w:rPr>
          <w:rFonts w:ascii="Times New Roman" w:cs="Times New Roman" w:eastAsia="Times New Roman" w:hAnsi="Times New Roman"/>
          <w:sz w:val="16"/>
          <w:szCs w:val="16"/>
          <w:b w:val="1"/>
          <w:bCs w:val="1"/>
          <w:color w:val="auto"/>
        </w:rPr>
        <w:t xml:space="preserve">1.2. </w:t>
      </w:r>
      <w:r>
        <w:rPr>
          <w:rFonts w:ascii="Times New Roman" w:cs="Times New Roman" w:eastAsia="Times New Roman" w:hAnsi="Times New Roman"/>
          <w:sz w:val="16"/>
          <w:szCs w:val="16"/>
          <w:color w:val="auto"/>
        </w:rPr>
        <w:t>By a brief dated January 20, 2020, the plaintiff company submitted its defenses (pages 416–487 of the attached administrative file).</w:t>
      </w:r>
    </w:p>
    <w:p>
      <w:pPr>
        <w:spacing w:after="0" w:line="171" w:lineRule="exact"/>
        <w:rPr>
          <w:sz w:val="20"/>
          <w:szCs w:val="20"/>
          <w:color w:val="auto"/>
        </w:rPr>
      </w:pPr>
    </w:p>
    <w:p>
      <w:pPr>
        <w:jc w:val="both"/>
        <w:ind w:left="3"/>
        <w:spacing w:after="0" w:line="221" w:lineRule="exact"/>
        <w:rPr>
          <w:sz w:val="20"/>
          <w:szCs w:val="20"/>
          <w:color w:val="auto"/>
        </w:rPr>
      </w:pPr>
      <w:r>
        <w:rPr>
          <w:rFonts w:ascii="Times New Roman" w:cs="Times New Roman" w:eastAsia="Times New Roman" w:hAnsi="Times New Roman"/>
          <w:sz w:val="16"/>
          <w:szCs w:val="16"/>
          <w:b w:val="1"/>
          <w:bCs w:val="1"/>
          <w:color w:val="auto"/>
        </w:rPr>
        <w:t xml:space="preserve">1.3. </w:t>
      </w:r>
      <w:r>
        <w:rPr>
          <w:rFonts w:ascii="Times New Roman" w:cs="Times New Roman" w:eastAsia="Times New Roman" w:hAnsi="Times New Roman"/>
          <w:sz w:val="16"/>
          <w:szCs w:val="16"/>
          <w:color w:val="auto"/>
        </w:rPr>
        <w:t>In Report N.° 17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SMV/11.2 dated January 6, 2021 (pages 915–1045 of the attached administrative file), the administrative liability of the recurrent company was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established, and the imposition of sanctions for the detected infringements was recommended.</w:t>
      </w:r>
    </w:p>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 xml:space="preserve">1.4. </w:t>
      </w:r>
      <w:r>
        <w:rPr>
          <w:rFonts w:ascii="Times New Roman" w:cs="Times New Roman" w:eastAsia="Times New Roman" w:hAnsi="Times New Roman"/>
          <w:sz w:val="16"/>
          <w:szCs w:val="16"/>
          <w:color w:val="auto"/>
        </w:rPr>
        <w:t>On January 27, 2021, the plaintiff company submitted additional defenses (pages 1180–1226 of the attached administrative file).</w:t>
      </w:r>
    </w:p>
    <w:p>
      <w:pPr>
        <w:spacing w:after="0" w:line="171" w:lineRule="exact"/>
        <w:rPr>
          <w:sz w:val="20"/>
          <w:szCs w:val="20"/>
          <w:color w:val="auto"/>
        </w:rPr>
      </w:pPr>
    </w:p>
    <w:p>
      <w:pPr>
        <w:jc w:val="both"/>
        <w:ind w:left="3"/>
        <w:spacing w:after="0" w:line="214" w:lineRule="exact"/>
        <w:rPr>
          <w:sz w:val="20"/>
          <w:szCs w:val="20"/>
          <w:color w:val="auto"/>
        </w:rPr>
      </w:pPr>
      <w:r>
        <w:rPr>
          <w:rFonts w:ascii="Times New Roman" w:cs="Times New Roman" w:eastAsia="Times New Roman" w:hAnsi="Times New Roman"/>
          <w:sz w:val="16"/>
          <w:szCs w:val="16"/>
          <w:b w:val="1"/>
          <w:bCs w:val="1"/>
          <w:color w:val="auto"/>
        </w:rPr>
        <w:t xml:space="preserve">1.5. </w:t>
      </w:r>
      <w:r>
        <w:rPr>
          <w:rFonts w:ascii="Times New Roman" w:cs="Times New Roman" w:eastAsia="Times New Roman" w:hAnsi="Times New Roman"/>
          <w:sz w:val="16"/>
          <w:szCs w:val="16"/>
          <w:color w:val="auto"/>
        </w:rPr>
        <w:t>Accordingly, through</w:t>
      </w:r>
      <w:r>
        <w:rPr>
          <w:rFonts w:ascii="Times New Roman" w:cs="Times New Roman" w:eastAsia="Times New Roman" w:hAnsi="Times New Roman"/>
          <w:sz w:val="16"/>
          <w:szCs w:val="16"/>
          <w:b w:val="1"/>
          <w:bCs w:val="1"/>
          <w:color w:val="auto"/>
        </w:rPr>
        <w:t xml:space="preserve"> Deputy Superintendency Resolution SMV N.° 012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2021</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 xml:space="preserve">SMV/11 dated March 5, 2021 </w:t>
      </w:r>
      <w:r>
        <w:rPr>
          <w:rFonts w:ascii="Times New Roman" w:cs="Times New Roman" w:eastAsia="Times New Roman" w:hAnsi="Times New Roman"/>
          <w:sz w:val="16"/>
          <w:szCs w:val="16"/>
          <w:color w:val="auto"/>
        </w:rPr>
        <w:t>(pages 1261–1430 of the attached administrative file),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highlight w:val="yellow"/>
        </w:rPr>
        <w:t xml:space="preserve">it was declared that the recurrent company had incurred in very serious infringements, classified under subsection 1.6 of numeral 1 of Annex I of </w:t>
      </w:r>
      <w:r>
        <w:rPr>
          <w:rFonts w:ascii="Times New Roman" w:cs="Times New Roman" w:eastAsia="Times New Roman" w:hAnsi="Times New Roman"/>
          <w:sz w:val="16"/>
          <w:szCs w:val="16"/>
          <w:color w:val="auto"/>
        </w:rPr>
        <w:t>the Regulation on Sanctions</w:t>
      </w:r>
      <w:r>
        <w:rPr>
          <w:rFonts w:ascii="Times New Roman" w:cs="Times New Roman" w:eastAsia="Times New Roman" w:hAnsi="Times New Roman"/>
          <w:sz w:val="16"/>
          <w:szCs w:val="16"/>
          <w:color w:val="auto"/>
          <w:highlight w:val="yellow"/>
        </w:rPr>
        <w:t xml:space="preserve"> </w:t>
      </w:r>
      <w:r>
        <w:rPr>
          <w:rFonts w:ascii="Times New Roman" w:cs="Times New Roman" w:eastAsia="Times New Roman" w:hAnsi="Times New Roman"/>
          <w:sz w:val="16"/>
          <w:szCs w:val="16"/>
          <w:color w:val="auto"/>
        </w:rPr>
        <w:t>approved by CONASEV Resolution N.°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under subsection 1.5 of numeral 1 of Annex I of the Regulation on Sanctions approved by CONASEV Resolution N.°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as amended by SMV Resolution N.° 1006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The company was sanctioned with a total fine equivalent to 510 UIT.</w:t>
      </w:r>
    </w:p>
    <w:p>
      <w:pPr>
        <w:spacing w:after="0" w:line="15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 xml:space="preserve">1.6. </w:t>
      </w:r>
      <w:r>
        <w:rPr>
          <w:rFonts w:ascii="Times New Roman" w:cs="Times New Roman" w:eastAsia="Times New Roman" w:hAnsi="Times New Roman"/>
          <w:sz w:val="16"/>
          <w:szCs w:val="16"/>
          <w:color w:val="auto"/>
        </w:rPr>
        <w:t>On March 26, 2021, the plaintiff filed an administrative appeal (pages 1449–1559 of the attached administrative file).</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highlight w:val="yellow"/>
        </w:rPr>
        <w:t xml:space="preserve">1.7. </w:t>
      </w:r>
      <w:r>
        <w:rPr>
          <w:rFonts w:ascii="Times New Roman" w:cs="Times New Roman" w:eastAsia="Times New Roman" w:hAnsi="Times New Roman"/>
          <w:sz w:val="16"/>
          <w:szCs w:val="16"/>
          <w:color w:val="auto"/>
          <w:highlight w:val="yellow"/>
        </w:rPr>
        <w:t>From the administrative record, it is observed that the administrative authority did not rule on said appeal.</w:t>
      </w:r>
    </w:p>
    <w:p>
      <w:pPr>
        <w:spacing w:after="0" w:line="204" w:lineRule="exact"/>
        <w:rPr>
          <w:sz w:val="20"/>
          <w:szCs w:val="20"/>
          <w:color w:val="auto"/>
        </w:rPr>
      </w:pPr>
    </w:p>
    <w:p>
      <w:pPr>
        <w:ind w:left="163" w:hanging="163"/>
        <w:spacing w:after="0"/>
        <w:tabs>
          <w:tab w:leader="none" w:pos="163" w:val="left"/>
        </w:tabs>
        <w:numPr>
          <w:ilvl w:val="0"/>
          <w:numId w:val="218"/>
        </w:numPr>
        <w:rPr>
          <w:rFonts w:ascii="Times New Roman" w:cs="Times New Roman" w:eastAsia="Times New Roman" w:hAnsi="Times New Roman"/>
          <w:sz w:val="16"/>
          <w:szCs w:val="16"/>
          <w:b w:val="1"/>
          <w:bCs w:val="1"/>
          <w:u w:val="single" w:color="auto"/>
          <w:color w:val="auto"/>
        </w:rPr>
      </w:pPr>
      <w:r>
        <w:rPr>
          <w:rFonts w:ascii="Times New Roman" w:cs="Times New Roman" w:eastAsia="Times New Roman" w:hAnsi="Times New Roman"/>
          <w:sz w:val="16"/>
          <w:szCs w:val="16"/>
          <w:b w:val="1"/>
          <w:bCs w:val="1"/>
          <w:u w:val="single" w:color="auto"/>
          <w:color w:val="auto"/>
        </w:rPr>
        <w:t>JUDICIAL PROCEEDINGS</w:t>
      </w:r>
    </w:p>
    <w:p>
      <w:pPr>
        <w:spacing w:after="0" w:line="204" w:lineRule="exact"/>
        <w:rPr>
          <w:rFonts w:ascii="Times New Roman" w:cs="Times New Roman" w:eastAsia="Times New Roman" w:hAnsi="Times New Roman"/>
          <w:sz w:val="16"/>
          <w:szCs w:val="16"/>
          <w:b w:val="1"/>
          <w:bCs w:val="1"/>
          <w:u w:val="single" w:color="auto"/>
          <w:color w:val="auto"/>
        </w:rPr>
      </w:pPr>
    </w:p>
    <w:p>
      <w:pPr>
        <w:ind w:left="283" w:hanging="283"/>
        <w:spacing w:after="0"/>
        <w:tabs>
          <w:tab w:leader="none" w:pos="283" w:val="left"/>
        </w:tabs>
        <w:numPr>
          <w:ilvl w:val="0"/>
          <w:numId w:val="219"/>
        </w:numPr>
        <w:rPr>
          <w:rFonts w:ascii="Times New Roman" w:cs="Times New Roman" w:eastAsia="Times New Roman" w:hAnsi="Times New Roman"/>
          <w:sz w:val="16"/>
          <w:szCs w:val="16"/>
          <w:b w:val="1"/>
          <w:bCs w:val="1"/>
          <w:u w:val="single" w:color="auto"/>
          <w:color w:val="auto"/>
        </w:rPr>
      </w:pPr>
      <w:r>
        <w:rPr>
          <w:rFonts w:ascii="Times New Roman" w:cs="Times New Roman" w:eastAsia="Times New Roman" w:hAnsi="Times New Roman"/>
          <w:sz w:val="16"/>
          <w:szCs w:val="16"/>
          <w:b w:val="1"/>
          <w:bCs w:val="1"/>
          <w:u w:val="single" w:color="auto"/>
          <w:color w:val="auto"/>
        </w:rPr>
        <w:t>CLAIM</w:t>
      </w:r>
    </w:p>
    <w:p>
      <w:pPr>
        <w:spacing w:after="0" w:line="171" w:lineRule="exact"/>
        <w:rPr>
          <w:sz w:val="20"/>
          <w:szCs w:val="20"/>
          <w:color w:val="auto"/>
        </w:rPr>
      </w:pPr>
    </w:p>
    <w:p>
      <w:pPr>
        <w:ind w:left="3"/>
        <w:spacing w:after="0" w:line="184" w:lineRule="exact"/>
        <w:rPr>
          <w:sz w:val="20"/>
          <w:szCs w:val="20"/>
          <w:color w:val="auto"/>
        </w:rPr>
      </w:pPr>
      <w:r>
        <w:rPr>
          <w:rFonts w:ascii="Times New Roman" w:cs="Times New Roman" w:eastAsia="Times New Roman" w:hAnsi="Times New Roman"/>
          <w:sz w:val="16"/>
          <w:szCs w:val="16"/>
          <w:color w:val="auto"/>
        </w:rPr>
        <w:t xml:space="preserve">By brief dated September 13, 2021 (page 3 of the file), the company </w:t>
      </w:r>
      <w:r>
        <w:rPr>
          <w:rFonts w:ascii="Times New Roman" w:cs="Times New Roman" w:eastAsia="Times New Roman" w:hAnsi="Times New Roman"/>
          <w:sz w:val="16"/>
          <w:szCs w:val="16"/>
          <w:b w:val="1"/>
          <w:bCs w:val="1"/>
          <w:color w:val="auto"/>
        </w:rPr>
        <w:t>CREDICORP LTD.</w:t>
      </w:r>
      <w:r>
        <w:rPr>
          <w:rFonts w:ascii="Times New Roman" w:cs="Times New Roman" w:eastAsia="Times New Roman" w:hAnsi="Times New Roman"/>
          <w:sz w:val="16"/>
          <w:szCs w:val="16"/>
          <w:color w:val="auto"/>
        </w:rPr>
        <w:t xml:space="preserve"> filed a contentious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administrative claim, requesting:</w:t>
      </w:r>
    </w:p>
    <w:p>
      <w:pPr>
        <w:spacing w:after="0" w:line="238" w:lineRule="exact"/>
        <w:rPr>
          <w:sz w:val="20"/>
          <w:szCs w:val="20"/>
          <w:color w:val="auto"/>
        </w:rPr>
      </w:pPr>
    </w:p>
    <w:p>
      <w:pPr>
        <w:jc w:val="both"/>
        <w:ind w:left="3"/>
        <w:spacing w:after="0" w:line="198" w:lineRule="exact"/>
        <w:rPr>
          <w:sz w:val="20"/>
          <w:szCs w:val="20"/>
          <w:color w:val="auto"/>
        </w:rPr>
      </w:pPr>
      <w:r>
        <w:rPr>
          <w:rFonts w:ascii="Times New Roman" w:cs="Times New Roman" w:eastAsia="Times New Roman" w:hAnsi="Times New Roman"/>
          <w:sz w:val="16"/>
          <w:szCs w:val="16"/>
          <w:b w:val="1"/>
          <w:bCs w:val="1"/>
          <w:u w:val="single" w:color="auto"/>
          <w:color w:val="auto"/>
        </w:rPr>
        <w:t>Principal Claim: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highlight w:val="yellow"/>
        </w:rPr>
        <w:t>deemed resolution—issued by operation of negative administrative silence—which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dismissed its appeal on March 26, 2021 against</w:t>
      </w:r>
      <w:r>
        <w:rPr>
          <w:rFonts w:ascii="Times New Roman" w:cs="Times New Roman" w:eastAsia="Times New Roman" w:hAnsi="Times New Roman"/>
          <w:sz w:val="16"/>
          <w:szCs w:val="16"/>
          <w:b w:val="1"/>
          <w:bCs w:val="1"/>
          <w:color w:val="auto"/>
        </w:rPr>
        <w:t xml:space="preserve"> Deputy Superintendency Resolution N.° 012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2021</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SMV/11</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highlight w:val="yellow"/>
        </w:rPr>
        <w:t>be declared null</w:t>
      </w:r>
      <w:r>
        <w:rPr>
          <w:rFonts w:ascii="Times New Roman" w:cs="Times New Roman" w:eastAsia="Times New Roman" w:hAnsi="Times New Roman"/>
          <w:sz w:val="16"/>
          <w:szCs w:val="16"/>
          <w:color w:val="auto"/>
        </w:rPr>
        <w:t>, as well as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highlight w:val="yellow"/>
        </w:rPr>
        <w:t>annulment of the latter resolution itself (under cause for nullity N.° 1 of Article 10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highlight w:val="yellow"/>
        </w:rPr>
        <w:t>the Unified Text of the Administrative Procedure Act</w:t>
      </w:r>
      <w:r>
        <w:rPr>
          <w:rFonts w:ascii="Times New Roman" w:cs="Times New Roman" w:eastAsia="Times New Roman" w:hAnsi="Times New Roman"/>
          <w:sz w:val="16"/>
          <w:szCs w:val="16"/>
          <w:color w:val="auto"/>
        </w:rPr>
        <w:t>). This resolution sanctioned the company with a fine of 300 UIT for an alleged very serious infringement under</w:t>
      </w:r>
      <w:r>
        <w:rPr>
          <w:rFonts w:ascii="Times New Roman" w:cs="Times New Roman" w:eastAsia="Times New Roman" w:hAnsi="Times New Roman"/>
          <w:sz w:val="16"/>
          <w:szCs w:val="16"/>
          <w:color w:val="auto"/>
          <w:highlight w:val="yellow"/>
        </w:rPr>
        <w:t xml:space="preserve"> </w:t>
      </w:r>
      <w:r>
        <w:rPr>
          <w:rFonts w:ascii="Times New Roman" w:cs="Times New Roman" w:eastAsia="Times New Roman" w:hAnsi="Times New Roman"/>
          <w:sz w:val="16"/>
          <w:szCs w:val="16"/>
          <w:color w:val="auto"/>
        </w:rPr>
        <w:t>subsection 1.6, numeral 1 of Annex I of the Regulation on Sanctions, and with an additional fine of 210 UIT for an alleged very serious infringement under subsection 1.5, numeral 1 of the same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146290"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2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b w:val="1"/>
          <w:bCs w:val="1"/>
          <w:color w:val="auto"/>
        </w:rPr>
        <w:t>Subsidiary Claims:</w:t>
      </w:r>
    </w:p>
    <w:p>
      <w:pPr>
        <w:spacing w:after="0" w:line="20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First subsidiary claim: </w:t>
      </w:r>
      <w:r>
        <w:rPr>
          <w:rFonts w:ascii="Times New Roman" w:cs="Times New Roman" w:eastAsia="Times New Roman" w:hAnsi="Times New Roman"/>
          <w:sz w:val="16"/>
          <w:szCs w:val="16"/>
          <w:color w:val="auto"/>
        </w:rPr>
        <w:t>That the nullity be declared of the implied decision that, by means of negative administrative silence, dismissed the appeal filed on March 26, 2021,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against Deputy Superintendency Resolution N.° 012-2021-SMV/11, as well as the nullity of the latter (based on an abuse of rights).</w:t>
      </w:r>
    </w:p>
    <w:p>
      <w:pPr>
        <w:spacing w:after="0" w:line="13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Second subsidiary claim: </w:t>
      </w:r>
      <w:r>
        <w:rPr>
          <w:rFonts w:ascii="Times New Roman" w:cs="Times New Roman" w:eastAsia="Times New Roman" w:hAnsi="Times New Roman"/>
          <w:sz w:val="16"/>
          <w:szCs w:val="16"/>
          <w:color w:val="auto"/>
        </w:rPr>
        <w:t>That the nullity be declared of the implied decision that, by means of negative administrative silence, dismissed the appeal filed on March 26,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2021, against Deputy Superintendency Resolution N.° 012-2021-SMV/11 (based on a violation of the statute of limitations).</w:t>
      </w:r>
    </w:p>
    <w:p>
      <w:pPr>
        <w:spacing w:after="0" w:line="13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Third subsidiary claim: </w:t>
      </w:r>
      <w:r>
        <w:rPr>
          <w:rFonts w:ascii="Times New Roman" w:cs="Times New Roman" w:eastAsia="Times New Roman" w:hAnsi="Times New Roman"/>
          <w:sz w:val="16"/>
          <w:szCs w:val="16"/>
          <w:color w:val="auto"/>
        </w:rPr>
        <w:t>That the nullity be declared of the implied decision that, by means of negative administrative silence, dismissed the appeal filed on March 26, 2021,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against Deputy Superintendency Resolution N.° 012-2021-SMV/11 (based on a violation of the principle of reasonableness).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claim was based on the following events: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 The defendant authority sanctioned the company for failing to disclose, as a material event, information that it was not legally required to disclose, thereby violating the </w:t>
      </w:r>
      <w:r>
        <w:rPr>
          <w:rFonts w:ascii="Times New Roman" w:cs="Times New Roman" w:eastAsia="Times New Roman" w:hAnsi="Times New Roman"/>
          <w:sz w:val="16"/>
          <w:szCs w:val="16"/>
          <w:i w:val="1"/>
          <w:iCs w:val="1"/>
          <w:color w:val="auto"/>
        </w:rPr>
        <w:t>principle of legality</w:t>
      </w:r>
      <w:r>
        <w:rPr>
          <w:rFonts w:ascii="Times New Roman" w:cs="Times New Roman" w:eastAsia="Times New Roman" w:hAnsi="Times New Roman"/>
          <w:sz w:val="16"/>
          <w:szCs w:val="16"/>
          <w:color w:val="auto"/>
        </w:rPr>
        <w:t>. From the moment the charges were filed, the alleged infringement was misclassified,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highlight w:val="yellow"/>
        </w:rPr>
        <w:t>with the purpose of imposing a harsher sanction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than the one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legally foreseen for the actual conduct attributed, and of disregarding the statute of limitations applicable to the first charge. The conduct imputed corresponds to the infringements set out in numeral 2.14 of Annex 1 of the Regulation on Sanctions in force in 2011, and Annex 1 of the Regulation on Sanctions in force in 2016, consisting of “Failing to disclose material events that have significant impact on the market,” classified as </w:t>
      </w:r>
      <w:r>
        <w:rPr>
          <w:rFonts w:ascii="Times New Roman" w:cs="Times New Roman" w:eastAsia="Times New Roman" w:hAnsi="Times New Roman"/>
          <w:sz w:val="16"/>
          <w:szCs w:val="16"/>
          <w:i w:val="1"/>
          <w:iCs w:val="1"/>
          <w:color w:val="auto"/>
        </w:rPr>
        <w:t>serious</w:t>
      </w:r>
      <w:r>
        <w:rPr>
          <w:rFonts w:ascii="Times New Roman" w:cs="Times New Roman" w:eastAsia="Times New Roman" w:hAnsi="Times New Roman"/>
          <w:sz w:val="16"/>
          <w:szCs w:val="16"/>
          <w:color w:val="auto"/>
        </w:rPr>
        <w:t xml:space="preserve"> and subject to fines of up to fifty (50) UIT. Nevertheless, the company was sanctioned for the infringement consisting of “undermining market transparency,” classified as </w:t>
      </w:r>
      <w:r>
        <w:rPr>
          <w:rFonts w:ascii="Times New Roman" w:cs="Times New Roman" w:eastAsia="Times New Roman" w:hAnsi="Times New Roman"/>
          <w:sz w:val="16"/>
          <w:szCs w:val="16"/>
          <w:i w:val="1"/>
          <w:iCs w:val="1"/>
          <w:color w:val="auto"/>
        </w:rPr>
        <w:t>very serious</w:t>
      </w:r>
      <w:r>
        <w:rPr>
          <w:rFonts w:ascii="Times New Roman" w:cs="Times New Roman" w:eastAsia="Times New Roman" w:hAnsi="Times New Roman"/>
          <w:sz w:val="16"/>
          <w:szCs w:val="16"/>
          <w:color w:val="auto"/>
        </w:rPr>
        <w:t xml:space="preserve"> under numerals 1.6 and 1.5 of Annex 1 of the cited Regulations, punishable with fines greater than fifty UIT and up to three hundred UIT or seven hundred UIT, or with the exclusion of the security from the Public Registry of Securities for the second charge.</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 The defendant authority, in </w:t>
      </w:r>
      <w:r>
        <w:rPr>
          <w:rFonts w:ascii="Times New Roman" w:cs="Times New Roman" w:eastAsia="Times New Roman" w:hAnsi="Times New Roman"/>
          <w:sz w:val="16"/>
          <w:szCs w:val="16"/>
          <w:color w:val="auto"/>
          <w:highlight w:val="yellow"/>
        </w:rPr>
        <w:t>its intention to send what it called “a signal to the market,” not only created a new legal classification, thus violating</w:t>
      </w:r>
      <w:r>
        <w:rPr>
          <w:rFonts w:ascii="Times New Roman" w:cs="Times New Roman" w:eastAsia="Times New Roman" w:hAnsi="Times New Roman"/>
          <w:sz w:val="16"/>
          <w:szCs w:val="16"/>
          <w:color w:val="auto"/>
        </w:rPr>
        <w:t xml:space="preserve"> the principle of specificity, but also departed without justification from an existing line of administrative precedent, in which the failure to disclose relevant information had been sanctioned under the specific infringement of “not disclosing material events with significant impact on the market,” regardless of whether it be intentional or negligent, and regardless of whether the information had great significance or severely affected market transparency. By deviating from this prior consistent interpretation, the authority violated the principle of predictability. In previous cases, when sanctioning the failure to disclose information of significant relevance—even when the omission was intentional—the authority never attempted to create a new infringement or apply the generic “very serious” type for undermining market transparency, as it did in this case.</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To impose the sanction, the defendant authority violated the principle of good faith that must govern all administrative relationships, especially those between the administration and the administered. The authority acted with a lack of impartiality, treating the plaintiff differently and more harshly than other issuers, both in the classification of the infringement and in the calculation of the statute of limitations. In doing so, it also breached the principle of predictability by diverging from a peaceful and consistent interpretation of the same legal matters, forcing an unacceptable interpretation of the rules to impose a more severe sanction. This violated the legitimate trust that any administered party has the right to expect from the conduct of public authorities, and it contradicted the authority’s duty to act in accordance with the principles of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7146290"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 xml:space="preserve">– There was a clear abuse of rights, as the authority used its sanctioning power arbitrarily to attribute a sanctionable conduct that did not correspond to the facts. The plaintiff did not conceal relevant information from the market because the cash contributions made to the 2011 and 2016 Peruvian presidential campaigns lacked materiality. Even if there had been an infringement, it should have been classified under “Failing to disclose material events that have significant impact on the market,” a </w:t>
      </w:r>
      <w:r>
        <w:rPr>
          <w:rFonts w:ascii="Times New Roman" w:cs="Times New Roman" w:eastAsia="Times New Roman" w:hAnsi="Times New Roman"/>
          <w:sz w:val="16"/>
          <w:szCs w:val="16"/>
          <w:i w:val="1"/>
          <w:iCs w:val="1"/>
          <w:color w:val="auto"/>
        </w:rPr>
        <w:t>serious</w:t>
      </w:r>
      <w:r>
        <w:rPr>
          <w:rFonts w:ascii="Times New Roman" w:cs="Times New Roman" w:eastAsia="Times New Roman" w:hAnsi="Times New Roman"/>
          <w:sz w:val="16"/>
          <w:szCs w:val="16"/>
          <w:color w:val="auto"/>
        </w:rPr>
        <w:t xml:space="preserve"> infringement, and not under “undermining market transparency,” classified as </w:t>
      </w:r>
      <w:r>
        <w:rPr>
          <w:rFonts w:ascii="Times New Roman" w:cs="Times New Roman" w:eastAsia="Times New Roman" w:hAnsi="Times New Roman"/>
          <w:sz w:val="16"/>
          <w:szCs w:val="16"/>
          <w:i w:val="1"/>
          <w:iCs w:val="1"/>
          <w:color w:val="auto"/>
        </w:rPr>
        <w:t>very serious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The principle of proportionality was violated because the authority failed to apply the factors for determining sanction severity when assessing the infringement.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2.2. ADMISSION ORDER</w:t>
      </w:r>
    </w:p>
    <w:p>
      <w:pPr>
        <w:spacing w:after="0" w:line="20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 xml:space="preserve">In assessing the claim, the Superior Court issued Resolution N.° 1 on November 17, 2021, found on page 1059 of the case file, wherein, after verifying the legal requirements, it </w:t>
      </w:r>
      <w:r>
        <w:rPr>
          <w:rFonts w:ascii="Times New Roman" w:cs="Times New Roman" w:eastAsia="Times New Roman" w:hAnsi="Times New Roman"/>
          <w:sz w:val="16"/>
          <w:szCs w:val="16"/>
          <w:b w:val="1"/>
          <w:bCs w:val="1"/>
          <w:color w:val="auto"/>
        </w:rPr>
        <w:t>ADMITTED</w:t>
      </w:r>
      <w:r>
        <w:rPr>
          <w:rFonts w:ascii="Times New Roman" w:cs="Times New Roman" w:eastAsia="Times New Roman" w:hAnsi="Times New Roman"/>
          <w:sz w:val="16"/>
          <w:szCs w:val="16"/>
          <w:color w:val="auto"/>
        </w:rPr>
        <w:t xml:space="preserve"> the claim filed by </w:t>
      </w:r>
      <w:r>
        <w:rPr>
          <w:rFonts w:ascii="Times New Roman" w:cs="Times New Roman" w:eastAsia="Times New Roman" w:hAnsi="Times New Roman"/>
          <w:sz w:val="16"/>
          <w:szCs w:val="16"/>
          <w:b w:val="1"/>
          <w:bCs w:val="1"/>
          <w:color w:val="auto"/>
        </w:rPr>
        <w:t>CREDICORP LTD.</w:t>
      </w:r>
      <w:r>
        <w:rPr>
          <w:rFonts w:ascii="Times New Roman" w:cs="Times New Roman" w:eastAsia="Times New Roman" w:hAnsi="Times New Roman"/>
          <w:sz w:val="16"/>
          <w:szCs w:val="16"/>
          <w:color w:val="auto"/>
        </w:rPr>
        <w:t xml:space="preserve"> against the </w:t>
      </w:r>
      <w:r>
        <w:rPr>
          <w:rFonts w:ascii="Times New Roman" w:cs="Times New Roman" w:eastAsia="Times New Roman" w:hAnsi="Times New Roman"/>
          <w:sz w:val="16"/>
          <w:szCs w:val="16"/>
          <w:b w:val="1"/>
          <w:bCs w:val="1"/>
          <w:color w:val="auto"/>
        </w:rPr>
        <w:t>Superintendency of the Securities Market – SMV</w:t>
      </w:r>
      <w:r>
        <w:rPr>
          <w:rFonts w:ascii="Times New Roman" w:cs="Times New Roman" w:eastAsia="Times New Roman" w:hAnsi="Times New Roman"/>
          <w:sz w:val="16"/>
          <w:szCs w:val="16"/>
          <w:color w:val="auto"/>
        </w:rPr>
        <w:t>, ordering its processing under the ordinary procedural route.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2.3. ANSWER TO THE CLAIM</w:t>
      </w:r>
    </w:p>
    <w:p>
      <w:pPr>
        <w:spacing w:after="0" w:line="20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The defendant authority, </w:t>
      </w:r>
      <w:r>
        <w:rPr>
          <w:rFonts w:ascii="Times New Roman" w:cs="Times New Roman" w:eastAsia="Times New Roman" w:hAnsi="Times New Roman"/>
          <w:sz w:val="16"/>
          <w:szCs w:val="16"/>
          <w:b w:val="1"/>
          <w:bCs w:val="1"/>
          <w:color w:val="auto"/>
        </w:rPr>
        <w:t>SUPERINTENDENCY OF THE SECURITIES MARKET – SMV</w:t>
      </w:r>
      <w:r>
        <w:rPr>
          <w:rFonts w:ascii="Times New Roman" w:cs="Times New Roman" w:eastAsia="Times New Roman" w:hAnsi="Times New Roman"/>
          <w:sz w:val="16"/>
          <w:szCs w:val="16"/>
          <w:color w:val="auto"/>
        </w:rPr>
        <w:t>, submitted its answer to the claim on pages 1088–1097, requesting that it be declared unfounded, and stating the following:</w:t>
      </w:r>
    </w:p>
    <w:p>
      <w:pPr>
        <w:spacing w:after="0" w:line="140" w:lineRule="exact"/>
        <w:rPr>
          <w:sz w:val="20"/>
          <w:szCs w:val="20"/>
          <w:color w:val="auto"/>
        </w:rPr>
      </w:pPr>
    </w:p>
    <w:p>
      <w:pPr>
        <w:jc w:val="both"/>
        <w:ind w:right="20"/>
        <w:spacing w:after="0" w:line="198" w:lineRule="exact"/>
        <w:rPr>
          <w:sz w:val="20"/>
          <w:szCs w:val="20"/>
          <w:color w:val="auto"/>
        </w:rPr>
      </w:pPr>
      <w:r>
        <w:rPr>
          <w:rFonts w:ascii="Times New Roman" w:cs="Times New Roman" w:eastAsia="Times New Roman" w:hAnsi="Times New Roman"/>
          <w:sz w:val="16"/>
          <w:szCs w:val="16"/>
          <w:color w:val="auto"/>
        </w:rPr>
        <w:t>a. Regarding the alleged violation of the principles of legality and specificity, there is an inconsistency in arguing that Deputy Superintendency Resolution N.° 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violates these principles while simultaneously acknowledging that the charges brought fit perfectly within numeral 2.14 of Annex 1 of the Regulation on Sanctions (in force in 2011) and Annex 1 of the Regulation on Sanctions (in force in 2016). The plaintiff claims a violation of legality because it was supposedly imposed an obligation not expressly provided by law, yet at the same time acknowledges the existence of a specific legal classification that fits the conduct attributed. By proposing ambiguous arguments, the plaintiff improperly affects the authority’s ability to exercise its legitimate right of defense, presenting two legal interpretations of the same event.</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b. The </w:t>
      </w:r>
      <w:r>
        <w:rPr>
          <w:rFonts w:ascii="Times New Roman" w:cs="Times New Roman" w:eastAsia="Times New Roman" w:hAnsi="Times New Roman"/>
          <w:sz w:val="16"/>
          <w:szCs w:val="16"/>
          <w:color w:val="auto"/>
          <w:highlight w:val="yellow"/>
        </w:rPr>
        <w:t>plaintiff’s conduct of keeping secret the information regarding financial contributions to political campaigns</w:t>
      </w:r>
      <w:r>
        <w:rPr>
          <w:rFonts w:ascii="Times New Roman" w:cs="Times New Roman" w:eastAsia="Times New Roman" w:hAnsi="Times New Roman"/>
          <w:sz w:val="16"/>
          <w:szCs w:val="16"/>
          <w:color w:val="auto"/>
        </w:rPr>
        <w:t xml:space="preserve"> amounts to concealment, which even involved members of its corporate structure and senior executives. Furthermore, in the information disclosed between November 18 and 21, 2019, it was made public for the first time that through its Executive Committee, it agreed in 2016 to make contributions amounting to 180 UIT to the political party </w:t>
      </w:r>
      <w:r>
        <w:rPr>
          <w:rFonts w:ascii="Times New Roman" w:cs="Times New Roman" w:eastAsia="Times New Roman" w:hAnsi="Times New Roman"/>
          <w:sz w:val="16"/>
          <w:szCs w:val="16"/>
          <w:i w:val="1"/>
          <w:iCs w:val="1"/>
          <w:color w:val="auto"/>
        </w:rPr>
        <w:t>Peruanos Por El Kambio</w:t>
      </w:r>
      <w:r>
        <w:rPr>
          <w:rFonts w:ascii="Times New Roman" w:cs="Times New Roman" w:eastAsia="Times New Roman" w:hAnsi="Times New Roman"/>
          <w:sz w:val="16"/>
          <w:szCs w:val="16"/>
          <w:color w:val="auto"/>
        </w:rPr>
        <w:t>, channeled through its subsidiaries—Banco de Crédito del Perú, Mibanco Banco de la Microempresa S.A., and Pacífico Compañía de Seguros y Reaseguros. This agreement was adopted at the committee session of March 2, 2016. In an interview with El Comercio newspaper on November 19, 2019, the Chairman of the Board confirmed the contributions made to the political party Peruanos Por El Kambio.</w:t>
      </w:r>
    </w:p>
    <w:p>
      <w:pPr>
        <w:spacing w:after="0" w:line="16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c. The manifest and deliberate conduct of keeping secret and concealing information about the economic contributions to political campaigns for more than eight years and three years—considering that disclosure only occurred with the communication of the material event on November 21, 2019 (following a prior request)—amounts to a subtle way of withholding the truth.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46290"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2" w:name="page173"/>
    <w:bookmarkEnd w:id="172"/>
    <w:p>
      <w:pPr>
        <w:jc w:val="both"/>
        <w:spacing w:after="0" w:line="270" w:lineRule="auto"/>
        <w:rPr>
          <w:sz w:val="20"/>
          <w:szCs w:val="20"/>
          <w:color w:val="auto"/>
        </w:rPr>
      </w:pPr>
      <w:r>
        <w:rPr>
          <w:rFonts w:ascii="Times New Roman" w:cs="Times New Roman" w:eastAsia="Times New Roman" w:hAnsi="Times New Roman"/>
          <w:sz w:val="16"/>
          <w:szCs w:val="16"/>
          <w:color w:val="auto"/>
        </w:rPr>
        <w:t>d. The concealment of the truth regarding a material event and its untimely disclosure falls under Article 10 of the Securities Market Law, because: It seeks to protect the principle of transparency of the securities market, the objective elements of the infringement consist of the quality of the information submitted by issuers, which must be truthful, and its disclosure must be timely and sufficient.</w:t>
      </w:r>
    </w:p>
    <w:p>
      <w:pPr>
        <w:spacing w:after="0" w:line="1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 xml:space="preserve">e. The infringing conduct described in Article 28 of the Securities Market Law and subsection 2.14 of numeral 2 of Annex I of the Regulation on Sanctions refers solely to an obligation to disclose a </w:t>
      </w:r>
      <w:r>
        <w:rPr>
          <w:rFonts w:ascii="Times New Roman" w:cs="Times New Roman" w:eastAsia="Times New Roman" w:hAnsi="Times New Roman"/>
          <w:sz w:val="16"/>
          <w:szCs w:val="16"/>
          <w:i w:val="1"/>
          <w:iCs w:val="1"/>
          <w:color w:val="auto"/>
        </w:rPr>
        <w:t>material event</w:t>
      </w:r>
      <w:r>
        <w:rPr>
          <w:rFonts w:ascii="Times New Roman" w:cs="Times New Roman" w:eastAsia="Times New Roman" w:hAnsi="Times New Roman"/>
          <w:sz w:val="16"/>
          <w:szCs w:val="16"/>
          <w:color w:val="auto"/>
        </w:rPr>
        <w:t>, which does not assess whether the information disclosed was truthful and/or timely.</w:t>
      </w:r>
    </w:p>
    <w:p>
      <w:pPr>
        <w:spacing w:after="0" w:line="14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 xml:space="preserve">f. The facts and evidence show that the plaintiff company disclosed, belatedly, the information about the financial contributions made to the 2011 campaign of the political party </w:t>
      </w:r>
      <w:r>
        <w:rPr>
          <w:rFonts w:ascii="Times New Roman" w:cs="Times New Roman" w:eastAsia="Times New Roman" w:hAnsi="Times New Roman"/>
          <w:sz w:val="16"/>
          <w:szCs w:val="16"/>
          <w:i w:val="1"/>
          <w:iCs w:val="1"/>
          <w:color w:val="auto"/>
        </w:rPr>
        <w:t>Fuerza 2011</w:t>
      </w:r>
      <w:r>
        <w:rPr>
          <w:rFonts w:ascii="Times New Roman" w:cs="Times New Roman" w:eastAsia="Times New Roman" w:hAnsi="Times New Roman"/>
          <w:sz w:val="16"/>
          <w:szCs w:val="16"/>
          <w:color w:val="auto"/>
        </w:rPr>
        <w:t>, noting that this information was not disclosed until November 21, 2019. Furthermore, the information was first disclosed to certain shareholders and certain corporate officers only in November 2018.</w:t>
      </w:r>
    </w:p>
    <w:p>
      <w:pPr>
        <w:spacing w:after="0" w:line="15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g. It is not true that a criterion was established on the basis of the resolutions cited by the plaintiff, much less that such alleged criterion should be applied going forward and in the present case to the facts imputed, since, as a matter of logic, the principle of predictability cannot be applied to different facts and circumstances that constitute the commission of different infringements, where each unlawful act responds to specific and particular situations.</w:t>
      </w:r>
    </w:p>
    <w:p>
      <w:pPr>
        <w:spacing w:after="0" w:line="15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h. The </w:t>
      </w:r>
      <w:r>
        <w:rPr>
          <w:rFonts w:ascii="Times New Roman" w:cs="Times New Roman" w:eastAsia="Times New Roman" w:hAnsi="Times New Roman"/>
          <w:sz w:val="16"/>
          <w:szCs w:val="16"/>
          <w:color w:val="auto"/>
          <w:highlight w:val="yellow"/>
        </w:rPr>
        <w:t>conduct evidenced is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highlight w:val="yellow"/>
        </w:rPr>
        <w:t>permanent infringement</w:t>
      </w:r>
      <w:r>
        <w:rPr>
          <w:rFonts w:ascii="Times New Roman" w:cs="Times New Roman" w:eastAsia="Times New Roman" w:hAnsi="Times New Roman"/>
          <w:sz w:val="16"/>
          <w:szCs w:val="16"/>
          <w:color w:val="auto"/>
        </w:rPr>
        <w:t>, because the concealment of the information continued over time for more than eight and three years, and ceased only when the information was finally disclosed. Therefore, since the plaintiff engaged in a permanent infringement, the statute of limitations begins on the day the conduct ceased November 21, 2019, when the material event was finally reported. Thus, the authority’s power to determine the infringement had not expired.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2.4. DETERMINATION OF DISPUTED ISSUES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Through </w:t>
      </w:r>
      <w:r>
        <w:rPr>
          <w:rFonts w:ascii="Times New Roman" w:cs="Times New Roman" w:eastAsia="Times New Roman" w:hAnsi="Times New Roman"/>
          <w:sz w:val="16"/>
          <w:szCs w:val="16"/>
          <w:b w:val="1"/>
          <w:bCs w:val="1"/>
          <w:color w:val="auto"/>
        </w:rPr>
        <w:t>Resolution N.° Five, dated June 13, 2023</w:t>
      </w:r>
      <w:r>
        <w:rPr>
          <w:rFonts w:ascii="Times New Roman" w:cs="Times New Roman" w:eastAsia="Times New Roman" w:hAnsi="Times New Roman"/>
          <w:sz w:val="16"/>
          <w:szCs w:val="16"/>
          <w:color w:val="auto"/>
        </w:rPr>
        <w:t>, found on page 1136 of the case file, the following disputed issues were established: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Main Claim:</w:t>
      </w:r>
    </w:p>
    <w:p>
      <w:pPr>
        <w:spacing w:after="0" w:line="206" w:lineRule="exact"/>
        <w:rPr>
          <w:sz w:val="20"/>
          <w:szCs w:val="20"/>
          <w:color w:val="auto"/>
        </w:rPr>
      </w:pPr>
    </w:p>
    <w:p>
      <w:pPr>
        <w:jc w:val="both"/>
        <w:ind w:right="20"/>
        <w:spacing w:after="0" w:line="215" w:lineRule="exact"/>
        <w:rPr>
          <w:sz w:val="20"/>
          <w:szCs w:val="20"/>
          <w:color w:val="auto"/>
        </w:rPr>
      </w:pPr>
      <w:r>
        <w:rPr>
          <w:rFonts w:ascii="Times New Roman" w:cs="Times New Roman" w:eastAsia="Times New Roman" w:hAnsi="Times New Roman"/>
          <w:sz w:val="16"/>
          <w:szCs w:val="16"/>
          <w:color w:val="auto"/>
        </w:rPr>
        <w:t xml:space="preserve">To declare the total nullity of the deemed SMV resolution that, through negative administrative silence, dismissed the appeal of March 26, 2021 filed by Credicorp against </w:t>
      </w:r>
      <w:r>
        <w:rPr>
          <w:rFonts w:ascii="Times New Roman" w:cs="Times New Roman" w:eastAsia="Times New Roman" w:hAnsi="Times New Roman"/>
          <w:sz w:val="16"/>
          <w:szCs w:val="16"/>
          <w:b w:val="1"/>
          <w:bCs w:val="1"/>
          <w:color w:val="auto"/>
        </w:rPr>
        <w:t>Deputy Superintendency Resolution N.° 012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2021</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SMV/11</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Subsidiary Claims:</w:t>
      </w:r>
    </w:p>
    <w:p>
      <w:pPr>
        <w:spacing w:after="0" w:line="204" w:lineRule="exact"/>
        <w:rPr>
          <w:sz w:val="20"/>
          <w:szCs w:val="20"/>
          <w:color w:val="auto"/>
        </w:rPr>
      </w:pPr>
    </w:p>
    <w:p>
      <w:pPr>
        <w:jc w:val="both"/>
        <w:spacing w:after="0" w:line="198" w:lineRule="exact"/>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b w:val="1"/>
          <w:bCs w:val="1"/>
          <w:color w:val="auto"/>
        </w:rPr>
        <w:t>First Subsidiary Claim:</w:t>
      </w:r>
      <w:r>
        <w:rPr>
          <w:rFonts w:ascii="Times New Roman" w:cs="Times New Roman" w:eastAsia="Times New Roman" w:hAnsi="Times New Roman"/>
          <w:sz w:val="16"/>
          <w:szCs w:val="16"/>
          <w:color w:val="auto"/>
        </w:rPr>
        <w:t xml:space="preserve"> If the main claim is not upheld, to declare the total nullity of the deemed SMV resolution (resulting from negative administrative silence) that dismissed the appeal of March 26, 2021 filed by Credicorp against Deputy Superintendency Resolution N.° 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as well as the nullity of said resolution, because they constitute an abuse of rights by unjustifiably departing from a longstanding administrative precedent according to which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disclosure of relevant information is sanctioned under the infringement of “failing to disclose material events with significant market impact.” This claim is based on violations of the principles of impartiality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224155</wp:posOffset>
            </wp:positionV>
            <wp:extent cx="7146290"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3" w:name="page174"/>
    <w:bookmarkEnd w:id="173"/>
    <w:p>
      <w:pPr>
        <w:jc w:val="both"/>
        <w:ind w:left="3" w:right="20" w:hanging="3"/>
        <w:spacing w:after="0" w:line="201" w:lineRule="exact"/>
        <w:tabs>
          <w:tab w:leader="none" w:pos="187"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Second Subsidiary Claim: </w:t>
      </w:r>
      <w:r>
        <w:rPr>
          <w:rFonts w:ascii="Times New Roman" w:cs="Times New Roman" w:eastAsia="Times New Roman" w:hAnsi="Times New Roman"/>
          <w:sz w:val="16"/>
          <w:szCs w:val="16"/>
          <w:color w:val="auto"/>
        </w:rPr>
        <w:t>If the main claim and the first subsidiary claim are not upheld, to declare the partial nullity of the deemed SMV resolution (resulting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negative administrative silence) that dismissed the appeal of March 26, 2021 filed by Credicorp against Deputy Superintendency Resolution N.° 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specifically regarding the portion that imposed a fine of 300 UIT for the first charge. This claim is based on the alleged violation of the statute of limitations.</w:t>
      </w:r>
    </w:p>
    <w:p>
      <w:pPr>
        <w:spacing w:after="0" w:line="176" w:lineRule="exact"/>
        <w:rPr>
          <w:rFonts w:ascii="Times New Roman" w:cs="Times New Roman" w:eastAsia="Times New Roman" w:hAnsi="Times New Roman"/>
          <w:sz w:val="16"/>
          <w:szCs w:val="16"/>
          <w:color w:val="auto"/>
        </w:rPr>
      </w:pPr>
    </w:p>
    <w:p>
      <w:pPr>
        <w:jc w:val="both"/>
        <w:ind w:left="3" w:right="20" w:hanging="3"/>
        <w:spacing w:after="0" w:line="201" w:lineRule="exact"/>
        <w:tabs>
          <w:tab w:leader="none" w:pos="169"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Third Subordinary Claim</w:t>
      </w:r>
      <w:r>
        <w:rPr>
          <w:rFonts w:ascii="Times New Roman" w:cs="Times New Roman" w:eastAsia="Times New Roman" w:hAnsi="Times New Roman"/>
          <w:sz w:val="16"/>
          <w:szCs w:val="16"/>
          <w:color w:val="auto"/>
        </w:rPr>
        <w:t>: If the main claim and the second subordinary claim are not upheld, to declare the partial nullity of the deemed SMV resolution (resulting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negative administrative silence) that dismissed the appeal of March 26, 2021 filed by Credicorp against Deputy Superintendency Resolution N.° 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specifically regarding the portion that imposed a fine of 210 UIT for the second charge. This claim is based on the alleged violation of the principle of reasonableness.</w:t>
      </w:r>
    </w:p>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u w:val="single" w:color="auto"/>
          <w:color w:val="auto"/>
        </w:rPr>
        <w:t>2.5. JUDGMENT</w:t>
      </w:r>
    </w:p>
    <w:p>
      <w:pPr>
        <w:spacing w:after="0" w:line="206" w:lineRule="exact"/>
        <w:rPr>
          <w:sz w:val="20"/>
          <w:szCs w:val="20"/>
          <w:color w:val="auto"/>
        </w:rPr>
      </w:pPr>
    </w:p>
    <w:p>
      <w:pPr>
        <w:ind w:left="3" w:right="20"/>
        <w:spacing w:after="0" w:line="287" w:lineRule="auto"/>
        <w:rPr>
          <w:sz w:val="20"/>
          <w:szCs w:val="20"/>
          <w:color w:val="auto"/>
        </w:rPr>
      </w:pPr>
      <w:r>
        <w:rPr>
          <w:rFonts w:ascii="Times New Roman" w:cs="Times New Roman" w:eastAsia="Times New Roman" w:hAnsi="Times New Roman"/>
          <w:sz w:val="16"/>
          <w:szCs w:val="16"/>
          <w:color w:val="auto"/>
        </w:rPr>
        <w:t>The T Provisional Superior Chamber Specialized in Administrative Litigation of the Superior Court of Justice of Lima, through the judgment contained in Resolution N.° Nine dated August 15, 2023, found on page 1184 of the case file, ruled:</w:t>
      </w:r>
    </w:p>
    <w:p>
      <w:pPr>
        <w:spacing w:after="0" w:line="107" w:lineRule="exact"/>
        <w:rPr>
          <w:sz w:val="20"/>
          <w:szCs w:val="20"/>
          <w:color w:val="auto"/>
        </w:rPr>
      </w:pPr>
    </w:p>
    <w:p>
      <w:pPr>
        <w:ind w:left="583" w:right="20"/>
        <w:spacing w:after="0" w:line="22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UNFOUNDED</w:t>
      </w:r>
      <w:r>
        <w:rPr>
          <w:rFonts w:ascii="Times New Roman" w:cs="Times New Roman" w:eastAsia="Times New Roman" w:hAnsi="Times New Roman"/>
          <w:sz w:val="16"/>
          <w:szCs w:val="16"/>
          <w:color w:val="auto"/>
        </w:rPr>
        <w:t xml:space="preserve"> the claim from pages three to fifty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eight, without costs or fees; in the case brought by CREDICORP LTD. against the Superintendency of the Securities Market, concerning the challenge of an administrative act.”</w:t>
      </w:r>
    </w:p>
    <w:p>
      <w:pPr>
        <w:spacing w:after="0" w:line="1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decision was grounded on the following:</w:t>
      </w:r>
    </w:p>
    <w:p>
      <w:pPr>
        <w:spacing w:after="0" w:line="169" w:lineRule="exact"/>
        <w:rPr>
          <w:sz w:val="20"/>
          <w:szCs w:val="20"/>
          <w:color w:val="auto"/>
        </w:rPr>
      </w:pPr>
    </w:p>
    <w:p>
      <w:pPr>
        <w:jc w:val="both"/>
        <w:ind w:left="3"/>
        <w:spacing w:after="0" w:line="203" w:lineRule="exact"/>
        <w:rPr>
          <w:sz w:val="20"/>
          <w:szCs w:val="20"/>
          <w:color w:val="auto"/>
        </w:rPr>
      </w:pPr>
      <w:r>
        <w:rPr>
          <w:rFonts w:ascii="Times New Roman" w:cs="Times New Roman" w:eastAsia="Times New Roman" w:hAnsi="Times New Roman"/>
          <w:sz w:val="16"/>
          <w:szCs w:val="16"/>
          <w:color w:val="auto"/>
        </w:rPr>
        <w:t xml:space="preserve">– It is noted that, through </w:t>
      </w:r>
      <w:r>
        <w:rPr>
          <w:rFonts w:ascii="Times New Roman" w:cs="Times New Roman" w:eastAsia="Times New Roman" w:hAnsi="Times New Roman"/>
          <w:sz w:val="16"/>
          <w:szCs w:val="16"/>
          <w:b w:val="1"/>
          <w:bCs w:val="1"/>
          <w:color w:val="auto"/>
        </w:rPr>
        <w:t>Deputy Superintendency Resolution SMV N.° 012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2021</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SMV/11</w:t>
      </w:r>
      <w:r>
        <w:rPr>
          <w:rFonts w:ascii="Times New Roman" w:cs="Times New Roman" w:eastAsia="Times New Roman" w:hAnsi="Times New Roman"/>
          <w:sz w:val="16"/>
          <w:szCs w:val="16"/>
          <w:color w:val="auto"/>
        </w:rPr>
        <w:t xml:space="preserve">, the claimant company was sanctioned with a </w:t>
      </w:r>
      <w:r>
        <w:rPr>
          <w:rFonts w:ascii="Times New Roman" w:cs="Times New Roman" w:eastAsia="Times New Roman" w:hAnsi="Times New Roman"/>
          <w:sz w:val="16"/>
          <w:szCs w:val="16"/>
          <w:color w:val="auto"/>
          <w:highlight w:val="yellow"/>
        </w:rPr>
        <w:t>total fine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highlight w:val="yellow"/>
        </w:rPr>
        <w:t>510 UIT</w:t>
      </w:r>
      <w:r>
        <w:rPr>
          <w:rFonts w:ascii="Times New Roman" w:cs="Times New Roman" w:eastAsia="Times New Roman" w:hAnsi="Times New Roman"/>
          <w:sz w:val="16"/>
          <w:szCs w:val="16"/>
          <w:color w:val="auto"/>
        </w:rPr>
        <w:t xml:space="preserve"> for having committed very serious infringements classified, depending on the timing of the facts, under subsections 1.5 and 1.6 of numeral 1 of Annex I of CONASEV Resolution N.°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as amended by SMV Resolution N.° 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for having engaged in acts of concealment that affected the transparency of the securities market by failing to disclose relevant information regarding contributions to the political party Fuerza 2011 during the 2011 Peruvian presidential campaign, and failing to disclose information regarding the agreement to make contributions—through its subsidiaries—to the political party Peruanos Por el Kambio during the 2016 Peruvian presidential campaign.</w:t>
      </w:r>
    </w:p>
    <w:p>
      <w:pPr>
        <w:spacing w:after="0" w:line="181" w:lineRule="exact"/>
        <w:rPr>
          <w:sz w:val="20"/>
          <w:szCs w:val="20"/>
          <w:color w:val="auto"/>
        </w:rPr>
      </w:pPr>
    </w:p>
    <w:p>
      <w:pPr>
        <w:jc w:val="both"/>
        <w:ind w:left="3"/>
        <w:spacing w:after="0" w:line="198" w:lineRule="exact"/>
        <w:rPr>
          <w:sz w:val="20"/>
          <w:szCs w:val="20"/>
          <w:color w:val="auto"/>
        </w:rPr>
      </w:pPr>
      <w:r>
        <w:rPr>
          <w:rFonts w:ascii="Times New Roman" w:cs="Times New Roman" w:eastAsia="Times New Roman" w:hAnsi="Times New Roman"/>
          <w:sz w:val="16"/>
          <w:szCs w:val="16"/>
          <w:color w:val="auto"/>
        </w:rPr>
        <w:t>– The plaintiff company argues that “the defendant authority has no competence to regulate contributions to political organizations nor the manner in which such contributions are disclosed, because in Peru there is an independent regulatory framework aimed at achieving the public policy goal of transparency in electoral financing. This regulatory regime is comprised of the Political Organizations Act – Law N.° 28094 – which establishes the obligation of political organizations to disclose to the ONPE all contributions received from natural or legal persons and creates a mechanism for public disclosure of this information through the ONPE’s website. The plaintiff adds that within this regulatory regime, political contributions must be disclosed by the political organization that receives them, regardless of whether the contributor is an issuer of publicly offered securities, and regardless of whether the contributions are material or relevant from a securities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market perspective”. This argument cannot be accepted because if, for example, the contributor to a political campaign were a natural person with no participation in the securities market, there would be no obligation to report said contribution to the Superintendency of the Securities Market. However, the plaintiff company </w:t>
      </w:r>
      <w:r>
        <w:rPr>
          <w:rFonts w:ascii="Times New Roman" w:cs="Times New Roman" w:eastAsia="Times New Roman" w:hAnsi="Times New Roman"/>
          <w:sz w:val="16"/>
          <w:szCs w:val="16"/>
          <w:i w:val="1"/>
          <w:iCs w:val="1"/>
          <w:color w:val="auto"/>
        </w:rPr>
        <w:t>is</w:t>
      </w:r>
      <w:r>
        <w:rPr>
          <w:rFonts w:ascii="Times New Roman" w:cs="Times New Roman" w:eastAsia="Times New Roman" w:hAnsi="Times New Roman"/>
          <w:sz w:val="16"/>
          <w:szCs w:val="16"/>
          <w:color w:val="auto"/>
        </w:rPr>
        <w:t xml:space="preserve"> an issuer of securities listed on the Peruvian stock market. Therefore, under the first paragraph of Article 28 of the Securities Market Law, certain events may contain information that is important or relevant and capable of influencing investors’ decisions—known as the requirement of materiality or relevance—which must be disclosed under securities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146290"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74" w:name="page175"/>
    <w:bookmarkEnd w:id="174"/>
    <w:p>
      <w:pPr>
        <w:jc w:val="both"/>
        <w:ind w:right="20"/>
        <w:spacing w:after="0" w:line="203" w:lineRule="exact"/>
        <w:rPr>
          <w:sz w:val="20"/>
          <w:szCs w:val="20"/>
          <w:color w:val="auto"/>
        </w:rPr>
      </w:pPr>
      <w:r>
        <w:rPr>
          <w:rFonts w:ascii="Times New Roman" w:cs="Times New Roman" w:eastAsia="Times New Roman" w:hAnsi="Times New Roman"/>
          <w:sz w:val="16"/>
          <w:szCs w:val="16"/>
          <w:color w:val="auto"/>
        </w:rPr>
        <w:t>Consequently, the plaintiff, as an issuer of securities listed on the stock exchange, is required to disclose material events, thereby avoiding any impact on the transparency of the securities market. It is further specified that a fundamental obligation for ensuring transparency in the securities market is the timely submission of periodic or event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driven information by issuers of securities registered in the Public Registry of the Securities Market, in order to ensure that market participants make their investment decisions on the basis of adequate information. In this regard, failure to comply with such obligation—particularly the obligation to disclose information in a timely, periodic, or event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driven manner—undermines transparency, which is considered a legally protected interest.</w:t>
      </w:r>
    </w:p>
    <w:p>
      <w:pPr>
        <w:spacing w:after="0" w:line="154" w:lineRule="exact"/>
        <w:rPr>
          <w:sz w:val="20"/>
          <w:szCs w:val="20"/>
          <w:color w:val="auto"/>
        </w:rPr>
      </w:pPr>
    </w:p>
    <w:p>
      <w:pPr>
        <w:jc w:val="both"/>
        <w:spacing w:after="0" w:line="196" w:lineRule="exact"/>
        <w:rPr>
          <w:sz w:val="20"/>
          <w:szCs w:val="20"/>
          <w:color w:val="auto"/>
        </w:rPr>
      </w:pPr>
      <w:r>
        <w:rPr>
          <w:rFonts w:ascii="Times New Roman" w:cs="Times New Roman" w:eastAsia="Times New Roman" w:hAnsi="Times New Roman"/>
          <w:sz w:val="16"/>
          <w:szCs w:val="16"/>
          <w:color w:val="auto"/>
        </w:rPr>
        <w:t>– The plaintiff argues that “failure to disclose to the market the information regarding contributions to the political party Fuerza during the 2011 Peruvian presidential campaign and during the 2016 Peruvian presidential campaign lacked materiality or relevance from a securities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market standpoint, because the amounts were insignificant compared to the company’s operations; therefore, disclosing them under the Securities Market Law was inappropriate.” This argument cannot be accepted because during periods of major political change—such as a change in government—economic and social policies may significantly shape the country’s direction. For this reason, the general public, voters, and especially </w:t>
      </w:r>
      <w:r>
        <w:rPr>
          <w:rFonts w:ascii="Times New Roman" w:cs="Times New Roman" w:eastAsia="Times New Roman" w:hAnsi="Times New Roman"/>
          <w:sz w:val="16"/>
          <w:szCs w:val="16"/>
          <w:i w:val="1"/>
          <w:iCs w:val="1"/>
          <w:color w:val="auto"/>
        </w:rPr>
        <w:t>investors</w:t>
      </w:r>
      <w:r>
        <w:rPr>
          <w:rFonts w:ascii="Times New Roman" w:cs="Times New Roman" w:eastAsia="Times New Roman" w:hAnsi="Times New Roman"/>
          <w:sz w:val="16"/>
          <w:szCs w:val="16"/>
          <w:color w:val="auto"/>
        </w:rPr>
        <w:t xml:space="preserve"> need information about the involvement of a publicly listed issuer in political campaigns. This relationship between politics and financial markets is widely recognized. A new government’s decisions or the announcement of changes in central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bank monetary policy can completely alter the technical evolution of a financial market. Therefore, any information about the involvement or collaboration of a publicly listed issuer in political campaigns is relevant to investors. Markets often react to political developments, creating trading opportunities based on technical or fundamental analysis, or strategic positioning. Investors must consider that political events may play a decisive role in their decision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making. Thus, the securities market must anticipate the possibility of significant events—such as political announcements. In this context, situations may arise that lead to political instability or to announcements of changes in the monetary policy of central banks, resulting in advantages for certain companies and, conversely, disadvantages for others.</w:t>
      </w:r>
    </w:p>
    <w:p>
      <w:pPr>
        <w:spacing w:after="0" w:line="180"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6"/>
          <w:szCs w:val="16"/>
          <w:color w:val="auto"/>
        </w:rPr>
        <w:t>– Accordingly, political dynamics and the participation of publicly listed issuers in political campaigns have important implications that must be known to investors (to ensure transparency in the market). The information regarding such contributions was therefore relevant and should have been disclosed in a timely manner (political contributions and the agreement for subsidiaries to make contributions), as these events had significant impact on the securities market. Hence, the plaintiff’s argument that these contributions lacked relevance or materiality from a securities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 perspective is unfounded.</w:t>
      </w:r>
    </w:p>
    <w:p>
      <w:pPr>
        <w:spacing w:after="0" w:line="15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 xml:space="preserve">– The decision states: “The administration has imposed sanctions for the infringement consisting of ‘undermining market transparency,’ classified under numeral 1.6 of Annex 1 of the Regulation in force in 2011 and numeral 1.5 of Annex 1 of the Regulation in force in 2016. These are classified as </w:t>
      </w:r>
      <w:r>
        <w:rPr>
          <w:rFonts w:ascii="Times New Roman" w:cs="Times New Roman" w:eastAsia="Times New Roman" w:hAnsi="Times New Roman"/>
          <w:sz w:val="16"/>
          <w:szCs w:val="16"/>
          <w:b w:val="1"/>
          <w:bCs w:val="1"/>
          <w:color w:val="auto"/>
        </w:rPr>
        <w:t>very serious</w:t>
      </w:r>
      <w:r>
        <w:rPr>
          <w:rFonts w:ascii="Times New Roman" w:cs="Times New Roman" w:eastAsia="Times New Roman" w:hAnsi="Times New Roman"/>
          <w:sz w:val="16"/>
          <w:szCs w:val="16"/>
          <w:color w:val="auto"/>
        </w:rPr>
        <w:t xml:space="preserve"> infringements, punishable with a fine exceeding 50 UIT and up to 700 UIT or with the exclusion of the security from the Public Registry of Securities Market of the defendant entity. The principles of specificity and legality require that no sanction be imposed for the breach of an obligation that has not actually been violated, but rather that the transgressor be charged with the specifically defined infringement corresponding to the precise conduct attributed, and, if found responsible, be sanctioned under the penalty provided for that infringement. Sanctioning law does not permit imputing a generic infringement associated with a more severe penalty when there exists a specific infringement that precisely corresponds to the conduct described.”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7146290"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5" w:name="page176"/>
    <w:bookmarkEnd w:id="175"/>
    <w:p>
      <w:pPr>
        <w:jc w:val="both"/>
        <w:ind w:left="3" w:right="20"/>
        <w:spacing w:after="0" w:line="261" w:lineRule="auto"/>
        <w:rPr>
          <w:sz w:val="20"/>
          <w:szCs w:val="20"/>
          <w:color w:val="auto"/>
        </w:rPr>
      </w:pPr>
      <w:r>
        <w:rPr>
          <w:rFonts w:ascii="Times New Roman" w:cs="Times New Roman" w:eastAsia="Times New Roman" w:hAnsi="Times New Roman"/>
          <w:sz w:val="16"/>
          <w:szCs w:val="16"/>
          <w:color w:val="auto"/>
        </w:rPr>
        <w:t xml:space="preserve">This argument cannot be upheld because, although the contribution and the agreement to contribute through subsidiaries may have been declared before the ONPE, that institution and the SMV are distinct entities, and the relevant information was not disclosed but rather inferred from external events. Therefore, it is correct that eight and three years after the contributions and the agreement to contribute through subsidiaries, facts were discovered that had been concealed from the SMV and that should have been disclosed as material events, given their significance and impact on the securities market. Consequently, there were acts of concealment of relevant information, which transformed what would have been a </w:t>
      </w:r>
      <w:r>
        <w:rPr>
          <w:rFonts w:ascii="Times New Roman" w:cs="Times New Roman" w:eastAsia="Times New Roman" w:hAnsi="Times New Roman"/>
          <w:sz w:val="16"/>
          <w:szCs w:val="16"/>
          <w:i w:val="1"/>
          <w:iCs w:val="1"/>
          <w:color w:val="auto"/>
        </w:rPr>
        <w:t>serious</w:t>
      </w:r>
      <w:r>
        <w:rPr>
          <w:rFonts w:ascii="Times New Roman" w:cs="Times New Roman" w:eastAsia="Times New Roman" w:hAnsi="Times New Roman"/>
          <w:sz w:val="16"/>
          <w:szCs w:val="16"/>
          <w:color w:val="auto"/>
        </w:rPr>
        <w:t xml:space="preserve"> infringement (omission) into a </w:t>
      </w:r>
      <w:r>
        <w:rPr>
          <w:rFonts w:ascii="Times New Roman" w:cs="Times New Roman" w:eastAsia="Times New Roman" w:hAnsi="Times New Roman"/>
          <w:sz w:val="16"/>
          <w:szCs w:val="16"/>
          <w:i w:val="1"/>
          <w:iCs w:val="1"/>
          <w:color w:val="auto"/>
        </w:rPr>
        <w:t>very serious</w:t>
      </w:r>
      <w:r>
        <w:rPr>
          <w:rFonts w:ascii="Times New Roman" w:cs="Times New Roman" w:eastAsia="Times New Roman" w:hAnsi="Times New Roman"/>
          <w:sz w:val="16"/>
          <w:szCs w:val="16"/>
          <w:color w:val="auto"/>
        </w:rPr>
        <w:t xml:space="preserve"> one (concealment of relevant information for such an extended period).</w:t>
      </w:r>
    </w:p>
    <w:p>
      <w:pPr>
        <w:spacing w:after="0" w:line="165" w:lineRule="exact"/>
        <w:rPr>
          <w:sz w:val="20"/>
          <w:szCs w:val="20"/>
          <w:color w:val="auto"/>
        </w:rPr>
      </w:pPr>
    </w:p>
    <w:p>
      <w:pPr>
        <w:jc w:val="both"/>
        <w:ind w:left="3"/>
        <w:spacing w:after="0" w:line="258" w:lineRule="auto"/>
        <w:rPr>
          <w:sz w:val="20"/>
          <w:szCs w:val="20"/>
          <w:color w:val="auto"/>
        </w:rPr>
      </w:pPr>
      <w:r>
        <w:rPr>
          <w:rFonts w:ascii="Times New Roman" w:cs="Times New Roman" w:eastAsia="Times New Roman" w:hAnsi="Times New Roman"/>
          <w:sz w:val="16"/>
          <w:szCs w:val="16"/>
          <w:color w:val="auto"/>
        </w:rPr>
        <w:t xml:space="preserve">– It must be noted that subsections 1.6 and 1.5 of numeral 1 of Annex I of the Regulation, in force at the time of the infringing conduct, establish that a very serious infringement includes: “Engaging in any act, omission, practice, or conduct that undermines the integrity or transparency of the market.” In this regard, it is acknowledged that had these events—those having significant impact on the securities market—been disclosed within one day after the contribution or the subsidiaries’ agreement to contribute, or at least within a reasonably near period, the omissions could have been classified as a </w:t>
      </w:r>
      <w:r>
        <w:rPr>
          <w:rFonts w:ascii="Times New Roman" w:cs="Times New Roman" w:eastAsia="Times New Roman" w:hAnsi="Times New Roman"/>
          <w:sz w:val="16"/>
          <w:szCs w:val="16"/>
          <w:i w:val="1"/>
          <w:iCs w:val="1"/>
          <w:color w:val="auto"/>
        </w:rPr>
        <w:t>serious</w:t>
      </w:r>
      <w:r>
        <w:rPr>
          <w:rFonts w:ascii="Times New Roman" w:cs="Times New Roman" w:eastAsia="Times New Roman" w:hAnsi="Times New Roman"/>
          <w:sz w:val="16"/>
          <w:szCs w:val="16"/>
          <w:color w:val="auto"/>
        </w:rPr>
        <w:t xml:space="preserve"> infringement (“Failing to disclose material events that have significant market impact”). However, </w:t>
      </w:r>
      <w:r>
        <w:rPr>
          <w:rFonts w:ascii="Times New Roman" w:cs="Times New Roman" w:eastAsia="Times New Roman" w:hAnsi="Times New Roman"/>
          <w:sz w:val="16"/>
          <w:szCs w:val="16"/>
          <w:b w:val="1"/>
          <w:bCs w:val="1"/>
          <w:color w:val="auto"/>
        </w:rPr>
        <w:t>the plaintiff company not only failed to disclose this relevant information to investors but also kept it concealed from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supervisory authority for several years, until more than 8 and 3 years later</w:t>
      </w:r>
      <w:r>
        <w:rPr>
          <w:rFonts w:ascii="Times New Roman" w:cs="Times New Roman" w:eastAsia="Times New Roman" w:hAnsi="Times New Roman"/>
          <w:sz w:val="16"/>
          <w:szCs w:val="16"/>
          <w:color w:val="auto"/>
        </w:rPr>
        <w:t>, when it finally became known. This transformed the omission into a very serious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infringement due to the concealment, which undermined market transparency and prevented the authority from taking timely measures to protect investors as part of its supervisory role.</w:t>
      </w:r>
    </w:p>
    <w:p>
      <w:pPr>
        <w:spacing w:after="0" w:line="364" w:lineRule="exact"/>
        <w:rPr>
          <w:sz w:val="20"/>
          <w:szCs w:val="20"/>
          <w:color w:val="auto"/>
        </w:rPr>
      </w:pPr>
    </w:p>
    <w:p>
      <w:pPr>
        <w:jc w:val="both"/>
        <w:ind w:left="3" w:hanging="3"/>
        <w:spacing w:after="0" w:line="196" w:lineRule="exact"/>
        <w:tabs>
          <w:tab w:leader="none" w:pos="113"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specific issue is not only the omission classified as a serious infringement—“Failure to disclose material events that have significant impact on the market” (2.14, numeral 2 of Annex I of the Regulation), the application of which was requested (by default) by the plaintiff company; rather, </w:t>
      </w:r>
      <w:r>
        <w:rPr>
          <w:rFonts w:ascii="Times New Roman" w:cs="Times New Roman" w:eastAsia="Times New Roman" w:hAnsi="Times New Roman"/>
          <w:sz w:val="16"/>
          <w:szCs w:val="16"/>
          <w:u w:val="single" w:color="auto"/>
          <w:color w:val="auto"/>
        </w:rPr>
        <w:t>due to the passage of time, these omissions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were validly deemed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acts of concealment</w:t>
      </w:r>
      <w:r>
        <w:rPr>
          <w:rFonts w:ascii="Times New Roman" w:cs="Times New Roman" w:eastAsia="Times New Roman" w:hAnsi="Times New Roman"/>
          <w:sz w:val="16"/>
          <w:szCs w:val="16"/>
          <w:u w:val="single" w:color="auto"/>
          <w:color w:val="auto"/>
        </w:rPr>
        <w:t>, which transformed them into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very serious infringement</w:t>
      </w:r>
      <w:r>
        <w:rPr>
          <w:rFonts w:ascii="Times New Roman" w:cs="Times New Roman" w:eastAsia="Times New Roman" w:hAnsi="Times New Roman"/>
          <w:sz w:val="16"/>
          <w:szCs w:val="16"/>
          <w:color w:val="auto"/>
        </w:rPr>
        <w:t>—“Engaging in any act, omission, practice, or conduct that undermines the integrity or transparency of the market.” It is the concealment of this information from the supervisory authority that places the conduct within the type of infringement described by the administration, whose purpose (a public</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interest value), as previously stated, is to safeguard the transparency of the securities market and the protection of investors. Therefore, the supervisory authority correctly concluded that the elements of the type (act, omission, practice, or conduct that affect market transparency) include, as a substantive component, a </w:t>
      </w:r>
      <w:r>
        <w:rPr>
          <w:rFonts w:ascii="Times New Roman" w:cs="Times New Roman" w:eastAsia="Times New Roman" w:hAnsi="Times New Roman"/>
          <w:sz w:val="16"/>
          <w:szCs w:val="16"/>
          <w:b w:val="1"/>
          <w:bCs w:val="1"/>
          <w:color w:val="auto"/>
        </w:rPr>
        <w:t>pattern of concealment</w:t>
      </w:r>
      <w:r>
        <w:rPr>
          <w:rFonts w:ascii="Times New Roman" w:cs="Times New Roman" w:eastAsia="Times New Roman" w:hAnsi="Times New Roman"/>
          <w:sz w:val="16"/>
          <w:szCs w:val="16"/>
          <w:color w:val="auto"/>
        </w:rPr>
        <w:t xml:space="preserve"> carried out by the plaintiff company over time, which only came to light as a result of the actions taken by the Public Prosecutor’s Office. Consequently, the company did not inform the 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management area in a timely manner; there are no reports regarding the evaluation of the 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management system in connection with the 2011 contribution or the 2016 subsidiaries’ contribution agreement; nor was any information provided to Internal Audit or Risk Management about the execution of such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146290"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176" w:name="page177"/>
    <w:bookmarkEnd w:id="176"/>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It must be emphasized that the information was withheld for more than eight and three years, respectively, and was disclosed only due to a request from the supervisory authority and the release of statements on November 22, 2019 before the Public Prosecutor’s Office. For these reasons, these facts were validly subsumed by the supervisory authority as conduct constituting concealment before said supervisory body (a very serious infringement). If the company had merely failed to exercise due diligence (voluntary yet late submission), it would constitute a serious infringement—“Failure to disclose material events that have significant impact on the market” (2.14, numeral 2 of Annex I of the Regulation). However, the failure to disclose the information—regardless of the purpose or intent behind the concealment—constitutes a very serious infringement, meaning there is no incorrect legal classification (subsumption) of the conduct. It should be added that compliance consists of establishing adequate and sufficient policies and procedures to ensure that a company—including its executives, employees, and related agents—complies with the applicable regulatory framework.</w:t>
      </w:r>
    </w:p>
    <w:p>
      <w:pPr>
        <w:spacing w:after="0" w:line="162" w:lineRule="exact"/>
        <w:rPr>
          <w:sz w:val="20"/>
          <w:szCs w:val="20"/>
          <w:color w:val="auto"/>
        </w:rPr>
      </w:pPr>
    </w:p>
    <w:p>
      <w:pPr>
        <w:jc w:val="both"/>
        <w:spacing w:after="0" w:line="197"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Regarding predictability</w:t>
      </w:r>
      <w:r>
        <w:rPr>
          <w:rFonts w:ascii="Times New Roman" w:cs="Times New Roman" w:eastAsia="Times New Roman" w:hAnsi="Times New Roman"/>
          <w:sz w:val="16"/>
          <w:szCs w:val="16"/>
          <w:color w:val="auto"/>
        </w:rPr>
        <w:t>, with respect to the charges and sanction imposed on the sugar company Andahuasi under subsection 2.14, numeral 2 of Annex 1 of the Regulation on Sanctions, it is not possible to assert legitimate expectations between companies engaged in different activities and operating at different scales, as it is unreasonable to compare situations involving entities dedicated to the sugar industry with those of a financial institution, which is accessible to a much larger number of users and presents higher investment expectations. A similar situation may be argued with respect to Industria Textil Piura, cited by the plaintiff and reflected in Deputy Superintendency Resolution SMV N.° 033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SMV/11 (pp. 988–994 of the main file). Notwithstanding this, invoking the principle of predictability in the present case, involving the review of an administrative sanctioning procedure, would distort such principle, since its purpose is to allow citizens to plan their activities on the basis of the information provided by the administration—but </w:t>
      </w:r>
      <w:r>
        <w:rPr>
          <w:rFonts w:ascii="Times New Roman" w:cs="Times New Roman" w:eastAsia="Times New Roman" w:hAnsi="Times New Roman"/>
          <w:sz w:val="16"/>
          <w:szCs w:val="16"/>
          <w:b w:val="1"/>
          <w:bCs w:val="1"/>
          <w:color w:val="auto"/>
        </w:rPr>
        <w:t>only</w:t>
      </w:r>
      <w:r>
        <w:rPr>
          <w:rFonts w:ascii="Times New Roman" w:cs="Times New Roman" w:eastAsia="Times New Roman" w:hAnsi="Times New Roman"/>
          <w:sz w:val="16"/>
          <w:szCs w:val="16"/>
          <w:color w:val="auto"/>
        </w:rPr>
        <w:t xml:space="preserve"> for lawful conduct. Otherwise, this principle would encourage the commission of infringing conduct (i.e., committing conduct that would be serious instead of very serious), which is entirely illogical.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Regarding the subordinary claim, in which the plaintiff argues that “the supervisory authority had a previously established criterion and departed from it without justification, despite having applied it consistently for years,” such a claim cannot be upheld because the cited examples concern legal entities that do not have the same scope or expectations as a banking or financial institution, which is the case of the plaintiff company. Regarding the third subordinary claim, which alleges violations of the principles of reasonableness and specificity, it must be noted that the amount of the sanction imposed falls within the parameters permitted by law, and that specificity was correctly applied given the concealment of information from the supervisory authority.</w:t>
      </w:r>
    </w:p>
    <w:p>
      <w:pPr>
        <w:spacing w:after="0" w:line="16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 xml:space="preserve">– On the principle of reasonableness, in accordance with the foregoing, the supervisory authority applied the sanctioning criteria that incorporate the evaluation of aggravating and mitigating circumstances in relation to the infringement attributed to the company, having contravened the regulations by engaging in concealment that affected the transparency of the securities market by failing to disclose relevant information. Therefore, the company was sanctioned with fines of </w:t>
      </w:r>
      <w:r>
        <w:rPr>
          <w:rFonts w:ascii="Times New Roman" w:cs="Times New Roman" w:eastAsia="Times New Roman" w:hAnsi="Times New Roman"/>
          <w:sz w:val="16"/>
          <w:szCs w:val="16"/>
          <w:color w:val="auto"/>
          <w:highlight w:val="yellow"/>
        </w:rPr>
        <w:t>300 and 210 UIT</w:t>
      </w:r>
      <w:r>
        <w:rPr>
          <w:rFonts w:ascii="Times New Roman" w:cs="Times New Roman" w:eastAsia="Times New Roman" w:hAnsi="Times New Roman"/>
          <w:sz w:val="16"/>
          <w:szCs w:val="16"/>
          <w:color w:val="auto"/>
        </w:rPr>
        <w:t>, which, although higher than the minimum (50 UIT), remain below the maximum (700 UIT).</w:t>
      </w:r>
    </w:p>
    <w:p>
      <w:pPr>
        <w:spacing w:after="0" w:line="16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 Regarding the argument that the statute of limitations for the supervisory authority’s sanctioning power had been violated, under the first paragraph of numeral 233.2 of Article 233 of the Administrative Procedure Act, the 2011 campaign contribution and the agreement for subsidiaries’ contributions to the 2016 presidential campaign cannot be considered the starting point for the statute of limitations, because these constitute permanent infringements. The infringing conduct (concealment of information) continued after the contributions and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213360</wp:posOffset>
            </wp:positionV>
            <wp:extent cx="7146290"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7" w:name="page178"/>
    <w:bookmarkEnd w:id="177"/>
    <w:p>
      <w:pPr>
        <w:jc w:val="both"/>
        <w:ind w:right="20"/>
        <w:spacing w:after="0" w:line="203" w:lineRule="exact"/>
        <w:rPr>
          <w:sz w:val="20"/>
          <w:szCs w:val="20"/>
          <w:color w:val="auto"/>
        </w:rPr>
      </w:pPr>
      <w:r>
        <w:rPr>
          <w:rFonts w:ascii="Times New Roman" w:cs="Times New Roman" w:eastAsia="Times New Roman" w:hAnsi="Times New Roman"/>
          <w:sz w:val="16"/>
          <w:szCs w:val="16"/>
          <w:color w:val="auto"/>
        </w:rPr>
        <w:t>– In accordance with Article 197 of the Civil Procedure Code, which applies supplementarily to administrative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litigation proceedings, it has been explained why the financial contributions (made directly by the company or authorized to be made by its subsidiaries) to political parties during election campaigns, by an issuer of publicly traded securities, constitute relevant information that must be communicated in a timely manner to the supervisory authority. Such disclosure enables the authority to perform its mandate to protect investors, safeguard the efficiency and transparency of the markets under its supervision, ensure proper price formation, and promote the disclosure of all information necessary for such purposes. Therefore, the omission to disclose these contributions—or to authorize subsidiaries’ contributions for years—constitutes concealment of information toward the supervisory authority, thereby transforming a serious infringement (omission) into a very serious infringement (concealment).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III. APPEAL</w:t>
      </w:r>
    </w:p>
    <w:p>
      <w:pPr>
        <w:spacing w:after="0" w:line="20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The plaintiff, Credicorp LTD, through a brief dated September 18, 2023, on page 1208 of the case file, appeals the judgment issued in the present proceedings, essentially arguing the following: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Violation of Article 139(5) of the Political Constitution of Peru and Article 50(6) of the Civil Procedure Code: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 With respect to the principal claim:</w:t>
      </w:r>
    </w:p>
    <w:p>
      <w:pPr>
        <w:spacing w:after="0" w:line="28" w:lineRule="exact"/>
        <w:rPr>
          <w:sz w:val="20"/>
          <w:szCs w:val="20"/>
          <w:color w:val="auto"/>
        </w:rPr>
      </w:pPr>
    </w:p>
    <w:p>
      <w:pPr>
        <w:jc w:val="both"/>
        <w:spacing w:after="0" w:line="194" w:lineRule="exact"/>
        <w:rPr>
          <w:sz w:val="20"/>
          <w:szCs w:val="20"/>
          <w:color w:val="auto"/>
        </w:rPr>
      </w:pPr>
      <w:r>
        <w:rPr>
          <w:rFonts w:ascii="Times New Roman" w:cs="Times New Roman" w:eastAsia="Times New Roman" w:hAnsi="Times New Roman"/>
          <w:sz w:val="16"/>
          <w:szCs w:val="16"/>
          <w:color w:val="auto"/>
        </w:rPr>
        <w:t xml:space="preserve">The appellant argues that the appealed judgment contains a defect of </w:t>
      </w:r>
      <w:r>
        <w:rPr>
          <w:rFonts w:ascii="Times New Roman" w:cs="Times New Roman" w:eastAsia="Times New Roman" w:hAnsi="Times New Roman"/>
          <w:sz w:val="16"/>
          <w:szCs w:val="16"/>
          <w:b w:val="1"/>
          <w:bCs w:val="1"/>
          <w:color w:val="auto"/>
          <w:highlight w:val="yellow"/>
        </w:rPr>
        <w:t>lack of internal reasoning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yellow"/>
        </w:rPr>
        <w:t>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highlight w:val="yellow"/>
        </w:rPr>
        <w:t>logical inconsistencies</w:t>
      </w:r>
      <w:r>
        <w:rPr>
          <w:rFonts w:ascii="Times New Roman" w:cs="Times New Roman" w:eastAsia="Times New Roman" w:hAnsi="Times New Roman"/>
          <w:sz w:val="16"/>
          <w:szCs w:val="16"/>
          <w:color w:val="auto"/>
        </w:rPr>
        <w:t xml:space="preserve">. It states that the Chamber erroneously concludes that political changes, governments, economic policies, and political contributions constitute </w:t>
      </w:r>
      <w:r>
        <w:rPr>
          <w:rFonts w:ascii="Times New Roman" w:cs="Times New Roman" w:eastAsia="Times New Roman" w:hAnsi="Times New Roman"/>
          <w:sz w:val="16"/>
          <w:szCs w:val="16"/>
          <w:i w:val="1"/>
          <w:iCs w:val="1"/>
          <w:color w:val="auto"/>
        </w:rPr>
        <w:t>material events</w:t>
      </w:r>
      <w:r>
        <w:rPr>
          <w:rFonts w:ascii="Times New Roman" w:cs="Times New Roman" w:eastAsia="Times New Roman" w:hAnsi="Times New Roman"/>
          <w:sz w:val="16"/>
          <w:szCs w:val="16"/>
          <w:color w:val="auto"/>
        </w:rPr>
        <w:t xml:space="preserve"> that must be disclosed to the market— a conclusion that does not follow from the premises established nor from Article 63 of the Regulation on </w:t>
      </w:r>
      <w:r>
        <w:rPr>
          <w:rFonts w:ascii="Times New Roman" w:cs="Times New Roman" w:eastAsia="Times New Roman" w:hAnsi="Times New Roman"/>
          <w:sz w:val="16"/>
          <w:szCs w:val="16"/>
          <w:b w:val="1"/>
          <w:bCs w:val="1"/>
          <w:color w:val="auto"/>
        </w:rPr>
        <w:t>Material Events</w:t>
      </w:r>
      <w:r>
        <w:rPr>
          <w:rFonts w:ascii="Times New Roman" w:cs="Times New Roman" w:eastAsia="Times New Roman" w:hAnsi="Times New Roman"/>
          <w:sz w:val="16"/>
          <w:szCs w:val="16"/>
          <w:color w:val="auto"/>
        </w:rPr>
        <w:t xml:space="preserve">. Likewise, it challenges the Chamber’s finding that failing to disclose a </w:t>
      </w:r>
      <w:r>
        <w:rPr>
          <w:rFonts w:ascii="Times New Roman" w:cs="Times New Roman" w:eastAsia="Times New Roman" w:hAnsi="Times New Roman"/>
          <w:sz w:val="16"/>
          <w:szCs w:val="16"/>
          <w:b w:val="1"/>
          <w:bCs w:val="1"/>
          <w:color w:val="auto"/>
        </w:rPr>
        <w:t>material event</w:t>
      </w:r>
      <w:r>
        <w:rPr>
          <w:rFonts w:ascii="Times New Roman" w:cs="Times New Roman" w:eastAsia="Times New Roman" w:hAnsi="Times New Roman"/>
          <w:sz w:val="16"/>
          <w:szCs w:val="16"/>
          <w:color w:val="auto"/>
        </w:rPr>
        <w:t xml:space="preserve"> constitutes an act of concealment, and that such concealment may aggravate the infringement from </w:t>
      </w:r>
      <w:r>
        <w:rPr>
          <w:rFonts w:ascii="Times New Roman" w:cs="Times New Roman" w:eastAsia="Times New Roman" w:hAnsi="Times New Roman"/>
          <w:sz w:val="16"/>
          <w:szCs w:val="16"/>
          <w:i w:val="1"/>
          <w:iCs w:val="1"/>
          <w:color w:val="auto"/>
        </w:rPr>
        <w:t>serious</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i w:val="1"/>
          <w:iCs w:val="1"/>
          <w:color w:val="auto"/>
        </w:rPr>
        <w:t>very serious</w:t>
      </w:r>
      <w:r>
        <w:rPr>
          <w:rFonts w:ascii="Times New Roman" w:cs="Times New Roman" w:eastAsia="Times New Roman" w:hAnsi="Times New Roman"/>
          <w:sz w:val="16"/>
          <w:szCs w:val="16"/>
          <w:color w:val="auto"/>
        </w:rPr>
        <w:t xml:space="preserve">. It argues that the fact that information regarding the 2011 Contributions and the 2016 Agreement was not disclosed as a </w:t>
      </w:r>
      <w:r>
        <w:rPr>
          <w:rFonts w:ascii="Times New Roman" w:cs="Times New Roman" w:eastAsia="Times New Roman" w:hAnsi="Times New Roman"/>
          <w:sz w:val="16"/>
          <w:szCs w:val="16"/>
          <w:b w:val="1"/>
          <w:bCs w:val="1"/>
          <w:color w:val="auto"/>
        </w:rPr>
        <w:t>material event</w:t>
      </w:r>
      <w:r>
        <w:rPr>
          <w:rFonts w:ascii="Times New Roman" w:cs="Times New Roman" w:eastAsia="Times New Roman" w:hAnsi="Times New Roman"/>
          <w:sz w:val="16"/>
          <w:szCs w:val="16"/>
          <w:color w:val="auto"/>
        </w:rPr>
        <w:t xml:space="preserve"> but later became known to the SMV does not imply an intention to conceal—particularly considering that the 2016 contributions were public information, disclosed by the ONPE and a media outlet. Finally, Credicorp argues that it did not disclose such information because it deemed it immaterial for investors’ decision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making, and that the Chamber’s reasoning is illogical in assuming that the SMV may aggravate the classification of the infringement without legal basis.</w:t>
      </w:r>
    </w:p>
    <w:p>
      <w:pPr>
        <w:spacing w:after="0" w:line="179" w:lineRule="exact"/>
        <w:rPr>
          <w:sz w:val="20"/>
          <w:szCs w:val="20"/>
          <w:color w:val="auto"/>
        </w:rPr>
      </w:pPr>
    </w:p>
    <w:p>
      <w:pPr>
        <w:jc w:val="both"/>
        <w:ind w:right="20"/>
        <w:spacing w:after="0" w:line="196" w:lineRule="exact"/>
        <w:rPr>
          <w:sz w:val="20"/>
          <w:szCs w:val="20"/>
          <w:color w:val="auto"/>
        </w:rPr>
      </w:pPr>
      <w:r>
        <w:rPr>
          <w:rFonts w:ascii="Times New Roman" w:cs="Times New Roman" w:eastAsia="Times New Roman" w:hAnsi="Times New Roman"/>
          <w:sz w:val="16"/>
          <w:szCs w:val="16"/>
          <w:color w:val="auto"/>
        </w:rPr>
        <w:t xml:space="preserve">It argues that the judgment contains deficiencies in </w:t>
      </w:r>
      <w:r>
        <w:rPr>
          <w:rFonts w:ascii="Times New Roman" w:cs="Times New Roman" w:eastAsia="Times New Roman" w:hAnsi="Times New Roman"/>
          <w:sz w:val="16"/>
          <w:szCs w:val="16"/>
          <w:b w:val="1"/>
          <w:bCs w:val="1"/>
          <w:color w:val="auto"/>
        </w:rPr>
        <w:t>external motivation that violate the right to evidence</w:t>
      </w:r>
      <w:r>
        <w:rPr>
          <w:rFonts w:ascii="Times New Roman" w:cs="Times New Roman" w:eastAsia="Times New Roman" w:hAnsi="Times New Roman"/>
          <w:sz w:val="16"/>
          <w:szCs w:val="16"/>
          <w:color w:val="auto"/>
        </w:rPr>
        <w:t>. In paragraph 18, the Chamber asserts that the Company did not inform the Risk Management System area about the 2016 Contributions, that there were no evaluations of the Risk Management System regarding the 2016 Agreement, and that Credicorp did not report such contributions to Internal Audit or Risk Management. However, the Chamber does not contrast these assertions with the evidence in the record. This omission is particularly serious because, had the constitutional duty of proper reasoning been fulfilled, it would have been clear that the 2016 contributions made by the subsidiaries were carried out pursuant to a formal corporate policy of Credicorp, published in 2016: the Corporate Policy for the Prevention of Corruption and Bribery (Annex 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O of the complaint). It is also documented that the delegation agreements were approved by the subsidiaries’ boards of directors (BCP and Pacífico in January 2016, and Mibanco), that Credicorp’s Executive Committee approved the execution of the contributions on March 2, 2016 and communicated this decision, and that such decision was conveyed by the Head of Corporate Affairs to the subsidiaries. Finally, each company made its respective contribution via bank transfer, and the political party </w:t>
      </w:r>
      <w:r>
        <w:rPr>
          <w:rFonts w:ascii="Times New Roman" w:cs="Times New Roman" w:eastAsia="Times New Roman" w:hAnsi="Times New Roman"/>
          <w:sz w:val="16"/>
          <w:szCs w:val="16"/>
          <w:i w:val="1"/>
          <w:iCs w:val="1"/>
          <w:color w:val="auto"/>
        </w:rPr>
        <w:t xml:space="preserve">Peruanos por el Kambio </w:t>
      </w:r>
      <w:r>
        <w:rPr>
          <w:rFonts w:ascii="Times New Roman" w:cs="Times New Roman" w:eastAsia="Times New Roman" w:hAnsi="Times New Roman"/>
          <w:sz w:val="16"/>
          <w:szCs w:val="16"/>
          <w:color w:val="auto"/>
        </w:rPr>
        <w:t>issued the corresponding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227965</wp:posOffset>
            </wp:positionV>
            <wp:extent cx="7146290"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88" w:right="319" w:bottom="1440" w:gutter="0" w:footer="0" w:header="0"/>
        </w:sectPr>
      </w:pPr>
    </w:p>
    <w:bookmarkStart w:id="178" w:name="page179"/>
    <w:bookmarkEnd w:id="178"/>
    <w:p>
      <w:pPr>
        <w:jc w:val="both"/>
        <w:spacing w:after="0" w:line="198" w:lineRule="exact"/>
        <w:rPr>
          <w:sz w:val="20"/>
          <w:szCs w:val="20"/>
          <w:color w:val="auto"/>
        </w:rPr>
      </w:pPr>
      <w:r>
        <w:rPr>
          <w:rFonts w:ascii="Times New Roman" w:cs="Times New Roman" w:eastAsia="Times New Roman" w:hAnsi="Times New Roman"/>
          <w:sz w:val="16"/>
          <w:szCs w:val="16"/>
          <w:color w:val="auto"/>
        </w:rPr>
        <w:t xml:space="preserve">Credicorp further argues that the judgment violates its </w:t>
      </w:r>
      <w:r>
        <w:rPr>
          <w:rFonts w:ascii="Times New Roman" w:cs="Times New Roman" w:eastAsia="Times New Roman" w:hAnsi="Times New Roman"/>
          <w:sz w:val="16"/>
          <w:szCs w:val="16"/>
          <w:b w:val="1"/>
          <w:bCs w:val="1"/>
          <w:color w:val="auto"/>
        </w:rPr>
        <w:t>fundamental right to present evidence</w:t>
      </w:r>
      <w:r>
        <w:rPr>
          <w:rFonts w:ascii="Times New Roman" w:cs="Times New Roman" w:eastAsia="Times New Roman" w:hAnsi="Times New Roman"/>
          <w:sz w:val="16"/>
          <w:szCs w:val="16"/>
          <w:color w:val="auto"/>
        </w:rPr>
        <w:t>, since although it submitted, and the Chamber admitted, the Corporate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corruption and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bribery Policy and the Monitoring Report of the Compliance Management Office as evidence, these documents were not evaluated. These materials were intended to demonstrate that the contributions made in 2016 by the subsidiaries complied with applicable regulations and were internally reviewed. Nevertheless, the Chamber concluded that Credicorp neither informed nor reported such contributions to the 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management area and that no reports existed in this regard, thereby committing a serious and arbitrary error that implicitly violates Article 139(3) of the Political Constitution of Peru.</w:t>
      </w:r>
    </w:p>
    <w:p>
      <w:pPr>
        <w:spacing w:after="0" w:line="17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On apparent motivation: </w:t>
      </w:r>
      <w:r>
        <w:rPr>
          <w:rFonts w:ascii="Times New Roman" w:cs="Times New Roman" w:eastAsia="Times New Roman" w:hAnsi="Times New Roman"/>
          <w:sz w:val="16"/>
          <w:szCs w:val="16"/>
          <w:color w:val="auto"/>
        </w:rPr>
        <w:t>The Company argued that the SMV applied a different and unjustified sanctioning criterion in its case. To support this, it attached prior SMV</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resolutions in which—regarding failures to disclose material events committed by other issuers, even when such omissions were intentional and prolonged—the authority applied only the specific infringement of failure to disclose material events, without resorting to the more severe generic type of “undermining market transparency,” as it did in Credicorp’s case. In response, the Chamber, in paragraphs 19 and 20 of the judgment, dismissed the argument solely on the basis that the judicial outcomes of the sanctions imposed on Empresa Agraria Azucarera Andahuasi and Industria Textil Piura were not proven, and that the criteria applied to those companies were not transferable to Credicorp because they do not engage in financial activities and operate on a smaller scale. However, the Chamber did not explain how Credicorp’s status as a financial entity justifies the application of different sanctioning criteria, nor why this would allow departing from a longstanding jurisprudential line concerning the application and interpretation of the infringement set out in numeral 2.14 of Annex I of the Regulation on Sanctions in force in 2011 and 2016 regarding the failure to disclose material events. This reveals a lack of sufficient reasoning or merely apparent motivation.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ii) With respect to the subordinary claim:</w:t>
      </w:r>
    </w:p>
    <w:p>
      <w:pPr>
        <w:spacing w:after="0" w:line="171" w:lineRule="exact"/>
        <w:rPr>
          <w:sz w:val="20"/>
          <w:szCs w:val="20"/>
          <w:color w:val="auto"/>
        </w:rPr>
      </w:pPr>
    </w:p>
    <w:p>
      <w:pPr>
        <w:jc w:val="both"/>
        <w:spacing w:after="0" w:line="199" w:lineRule="exact"/>
        <w:rPr>
          <w:sz w:val="20"/>
          <w:szCs w:val="20"/>
          <w:color w:val="auto"/>
        </w:rPr>
      </w:pPr>
      <w:r>
        <w:rPr>
          <w:rFonts w:ascii="Times New Roman" w:cs="Times New Roman" w:eastAsia="Times New Roman" w:hAnsi="Times New Roman"/>
          <w:sz w:val="16"/>
          <w:szCs w:val="16"/>
          <w:color w:val="auto"/>
        </w:rPr>
        <w:t>The appellant argues that the Chamber incurs in error and arbitrariness by characterizing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disclosure of a </w:t>
      </w:r>
      <w:r>
        <w:rPr>
          <w:rFonts w:ascii="Times New Roman" w:cs="Times New Roman" w:eastAsia="Times New Roman" w:hAnsi="Times New Roman"/>
          <w:sz w:val="16"/>
          <w:szCs w:val="16"/>
          <w:b w:val="1"/>
          <w:bCs w:val="1"/>
          <w:color w:val="auto"/>
        </w:rPr>
        <w:t>material event</w:t>
      </w:r>
      <w:r>
        <w:rPr>
          <w:rFonts w:ascii="Times New Roman" w:cs="Times New Roman" w:eastAsia="Times New Roman" w:hAnsi="Times New Roman"/>
          <w:sz w:val="16"/>
          <w:szCs w:val="16"/>
          <w:color w:val="auto"/>
        </w:rPr>
        <w:t xml:space="preserve"> as a generic infringement, distinct from and more severe than the specific infringement expressly defined in numeral 2.14 of Annex I of the Regulation on Sanctions in force in 2011 and 2016. That provision specifically sanctions the conduct of “failing to disclose material events that have significant impact on the market” as a </w:t>
      </w:r>
      <w:r>
        <w:rPr>
          <w:rFonts w:ascii="Times New Roman" w:cs="Times New Roman" w:eastAsia="Times New Roman" w:hAnsi="Times New Roman"/>
          <w:sz w:val="16"/>
          <w:szCs w:val="16"/>
          <w:i w:val="1"/>
          <w:iCs w:val="1"/>
          <w:color w:val="auto"/>
        </w:rPr>
        <w:t>serious</w:t>
      </w:r>
      <w:r>
        <w:rPr>
          <w:rFonts w:ascii="Times New Roman" w:cs="Times New Roman" w:eastAsia="Times New Roman" w:hAnsi="Times New Roman"/>
          <w:sz w:val="16"/>
          <w:szCs w:val="16"/>
          <w:color w:val="auto"/>
        </w:rPr>
        <w:t xml:space="preserve"> infringement, with a maximum fine of 50 UIT. According to the appellant, the Chamber erroneously assumes that this omission falls under a different, more severe infringement relating to the impairment of market transparency or integrity (numeral 1.6 in 2011 and numeral 1.5 in 2016), which is classified as </w:t>
      </w:r>
      <w:r>
        <w:rPr>
          <w:rFonts w:ascii="Times New Roman" w:cs="Times New Roman" w:eastAsia="Times New Roman" w:hAnsi="Times New Roman"/>
          <w:sz w:val="16"/>
          <w:szCs w:val="16"/>
          <w:i w:val="1"/>
          <w:iCs w:val="1"/>
          <w:color w:val="auto"/>
        </w:rPr>
        <w:t>very serious</w:t>
      </w:r>
      <w:r>
        <w:rPr>
          <w:rFonts w:ascii="Times New Roman" w:cs="Times New Roman" w:eastAsia="Times New Roman" w:hAnsi="Times New Roman"/>
          <w:sz w:val="16"/>
          <w:szCs w:val="16"/>
          <w:color w:val="auto"/>
        </w:rPr>
        <w:t xml:space="preserve"> and punishable with fines up to 700 UIT. However, the appellant maintains that the two infringements are autonomous and distinct: failure to disclose material events is a clearly regulated specific infraction, while impairment of market transparency corresponds to broader and different conduct. Therefore, the reclassification carried out by the Chamber disregards the express typification in the Regulation on Sanctions and violates the principles of legality and specificity by imposing a more severe sanction on conduct that already has a specific regulatory provision. The Chamber errs in concluding that all information regarding political contributions must be disclosed by issuers as material events. It overlooks the fact that material events, under Article 3 of the applicable Regulation, refer exclusively to economic information originating from the issuing company, not political information or government decisions. Accordingly, it is incorrect to assert that a publicly listed company’s participation in a political campaign or contributions made to a political party must be disclosed </w:t>
      </w:r>
      <w:r>
        <w:rPr>
          <w:rFonts w:ascii="Times New Roman" w:cs="Times New Roman" w:eastAsia="Times New Roman" w:hAnsi="Times New Roman"/>
          <w:sz w:val="16"/>
          <w:szCs w:val="16"/>
          <w:b w:val="1"/>
          <w:bCs w:val="1"/>
          <w:color w:val="auto"/>
        </w:rPr>
        <w:t>as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material events</w:t>
      </w:r>
      <w:r>
        <w:rPr>
          <w:rFonts w:ascii="Times New Roman" w:cs="Times New Roman" w:eastAsia="Times New Roman" w:hAnsi="Times New Roman"/>
          <w:sz w:val="16"/>
          <w:szCs w:val="16"/>
          <w:color w:val="auto"/>
        </w:rPr>
        <w:t>, since that concept is strictly economic and outside the political sphere.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224155</wp:posOffset>
            </wp:positionV>
            <wp:extent cx="7146290"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9" w:name="page180"/>
    <w:bookmarkEnd w:id="179"/>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The Chamber also errs in failing to acknowledge that the regulation and supervision of information regarding political contributions corresponds to the ONPE and not to the SMV.</w:t>
      </w:r>
    </w:p>
    <w:p>
      <w:pPr>
        <w:spacing w:after="0" w:line="107" w:lineRule="exact"/>
        <w:rPr>
          <w:sz w:val="20"/>
          <w:szCs w:val="20"/>
          <w:color w:val="auto"/>
        </w:rPr>
      </w:pPr>
    </w:p>
    <w:p>
      <w:pPr>
        <w:jc w:val="both"/>
        <w:ind w:right="20"/>
        <w:spacing w:after="0" w:line="234" w:lineRule="exact"/>
        <w:rPr>
          <w:sz w:val="20"/>
          <w:szCs w:val="20"/>
          <w:color w:val="auto"/>
        </w:rPr>
      </w:pPr>
      <w:r>
        <w:rPr>
          <w:rFonts w:ascii="Times New Roman" w:cs="Times New Roman" w:eastAsia="Times New Roman" w:hAnsi="Times New Roman"/>
          <w:sz w:val="16"/>
          <w:szCs w:val="16"/>
          <w:color w:val="auto"/>
        </w:rPr>
        <w:t>The Chamber further errs in asserting that Credicorp failed to inform the 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Management System area about the 2016 Agreement, that no evaluations of the 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Management System existed, and that it did not inform Internal Audit or Risk Management about the 2016 contributions made by the subsidiaries.</w:t>
      </w:r>
    </w:p>
    <w:p>
      <w:pPr>
        <w:spacing w:after="0" w:line="153" w:lineRule="exact"/>
        <w:rPr>
          <w:sz w:val="20"/>
          <w:szCs w:val="20"/>
          <w:color w:val="auto"/>
        </w:rPr>
      </w:pPr>
    </w:p>
    <w:p>
      <w:pPr>
        <w:jc w:val="both"/>
        <w:spacing w:after="0" w:line="197" w:lineRule="exact"/>
        <w:rPr>
          <w:sz w:val="20"/>
          <w:szCs w:val="20"/>
          <w:color w:val="auto"/>
        </w:rPr>
      </w:pPr>
      <w:r>
        <w:rPr>
          <w:rFonts w:ascii="Times New Roman" w:cs="Times New Roman" w:eastAsia="Times New Roman" w:hAnsi="Times New Roman"/>
          <w:sz w:val="16"/>
          <w:szCs w:val="16"/>
          <w:color w:val="auto"/>
        </w:rPr>
        <w:t xml:space="preserve">The Chamber also errs in concluding that the SMV did not violate the principle of predictability; it disregards prior sanctions imposed by the SMV on other issuers, which are valid administrative acts and must be respected. The appellant argues that numeral 2.14 of Annex I of the Sanctions Regulation, in force in 2011 and 2016 concerning the failure to disclose material events, applies uniformly to </w:t>
      </w:r>
      <w:r>
        <w:rPr>
          <w:rFonts w:ascii="Times New Roman" w:cs="Times New Roman" w:eastAsia="Times New Roman" w:hAnsi="Times New Roman"/>
          <w:sz w:val="16"/>
          <w:szCs w:val="16"/>
          <w:b w:val="1"/>
          <w:bCs w:val="1"/>
          <w:color w:val="auto"/>
        </w:rPr>
        <w:t>all issuers</w:t>
      </w:r>
      <w:r>
        <w:rPr>
          <w:rFonts w:ascii="Times New Roman" w:cs="Times New Roman" w:eastAsia="Times New Roman" w:hAnsi="Times New Roman"/>
          <w:sz w:val="16"/>
          <w:szCs w:val="16"/>
          <w:color w:val="auto"/>
        </w:rPr>
        <w:t>, regardless of the nature of their business (financial, agro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industrial, or mass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consumption). Therefore, there is no legal basis for excluding financial companies such as Credicorp from the application of this rule or subjecting them to more severe treatment. The Chamber’s refusal to apply the same criteria used in cases such as Empresa Agraria Azucarera Andahuasi and Industria Textil Piura is arbitrary and unconstitutional, as it violates the right to equality before the law. Finally, it is asserted that the SMV must protect investors and apply its regulations equally to all issuers of securities, regardless of their line of business.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With respect to the second subordinary claim, the Chamber errs in disregarding that the Challenged Resolution and the Deputy Superintendency Resolution </w:t>
      </w:r>
      <w:r>
        <w:rPr>
          <w:rFonts w:ascii="Times New Roman" w:cs="Times New Roman" w:eastAsia="Times New Roman" w:hAnsi="Times New Roman"/>
          <w:sz w:val="16"/>
          <w:szCs w:val="16"/>
          <w:b w:val="1"/>
          <w:bCs w:val="1"/>
          <w:color w:val="auto"/>
        </w:rPr>
        <w:t>violate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prohibition of abuse of rights and abuse of power, as well as the principle of impartiality</w:t>
      </w:r>
      <w:r>
        <w:rPr>
          <w:rFonts w:ascii="Times New Roman" w:cs="Times New Roman" w:eastAsia="Times New Roman" w:hAnsi="Times New Roman"/>
          <w:sz w:val="16"/>
          <w:szCs w:val="16"/>
          <w:color w:val="auto"/>
        </w:rPr>
        <w:t>. It challenges the Chamber’s decision, arguing that the administrative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resolutions submitted by Credicorp were misinterpreted. The sanctions imposed by the SMV on other issuers, such as Empresa Agraria Azucarera Andahuasi and Industria Textil Piura, were based on failures to disclose material events, applying the appropriate type of infringement according to the Sanctions Regulation. The Chamber erred in concluding that these criteria should not apply to Credicorp on the grounds that its corporate purpose differs from that of the other companies. It argues that all issuers of securities must comply with the same rules on the disclosure of material events, and therefore identical criteria must be applied, irrespective of sector or size. The Chamber also erred by ignoring that the SMV abused its power by applying a different and more severe infraction type, related to impairment of market transparency, in order to impose a higher monetary sanction, when in fact the applicable infringement was the failure to disclose material events concerning the 2011 Contributions and the 2016 Agreement. Consequently, it is asserted that the SMV must apply the same sanctions and regulations to all issuers, without distinctions based on the type of activity they engage in, and that using a more severe type of infringement in Credicorp’s case was an abuse of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146290"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0" w:name="page181"/>
    <w:bookmarkEnd w:id="180"/>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Regarding the third subordinary claim, </w:t>
      </w:r>
      <w:r>
        <w:rPr>
          <w:rFonts w:ascii="Times New Roman" w:cs="Times New Roman" w:eastAsia="Times New Roman" w:hAnsi="Times New Roman"/>
          <w:sz w:val="16"/>
          <w:szCs w:val="16"/>
          <w:b w:val="1"/>
          <w:bCs w:val="1"/>
          <w:color w:val="auto"/>
        </w:rPr>
        <w:t>the Chamber errs in concluding that the SMV’s authority to sanction Credicorp for failing to disclose the 2011 Contributions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as a Material Event has not prescribed</w:t>
      </w:r>
      <w:r>
        <w:rPr>
          <w:rFonts w:ascii="Times New Roman" w:cs="Times New Roman" w:eastAsia="Times New Roman" w:hAnsi="Times New Roman"/>
          <w:sz w:val="16"/>
          <w:szCs w:val="16"/>
          <w:color w:val="auto"/>
        </w:rPr>
        <w:t>. Credicorp denies having committed any infraction, but argues that if it had, it would have occurred 24 hours after the decision was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made or after the event occurred. The alleged infraction—failure to disclose the 2011 Contributions as a material event—is instantaneous, not permanent. This means that the failure to comply with the disclosure obligation occurs at the exact moment when the deadline to disclose expires. Under Article 252(2) of the Unified Administrative Procedure Act, the infringement is deemed committed when the disclosure deadline expires. In this case, Credicorp explained that the last withdrawal of funds occurred on May 23, 2011, meaning the deadline to disclose the information was May 24, 2011. Thus, if the obligation had been breached, the infraction would have occurred on May 24. Credicorp also emphasized that the SMV itself has recognized that the infringement is instantaneous in nature.</w:t>
      </w:r>
    </w:p>
    <w:p>
      <w:pPr>
        <w:spacing w:after="0" w:line="164" w:lineRule="exact"/>
        <w:rPr>
          <w:sz w:val="20"/>
          <w:szCs w:val="20"/>
          <w:color w:val="auto"/>
        </w:rPr>
      </w:pPr>
    </w:p>
    <w:p>
      <w:pPr>
        <w:jc w:val="both"/>
        <w:spacing w:after="0" w:line="196" w:lineRule="exact"/>
        <w:rPr>
          <w:sz w:val="20"/>
          <w:szCs w:val="20"/>
          <w:color w:val="auto"/>
        </w:rPr>
      </w:pPr>
      <w:r>
        <w:rPr>
          <w:rFonts w:ascii="Times New Roman" w:cs="Times New Roman" w:eastAsia="Times New Roman" w:hAnsi="Times New Roman"/>
          <w:sz w:val="16"/>
          <w:szCs w:val="16"/>
          <w:color w:val="auto"/>
        </w:rPr>
        <w:t xml:space="preserve">Regarding the fourth subordinary claim, the Chamber errs in concluding that the SMV </w:t>
      </w:r>
      <w:r>
        <w:rPr>
          <w:rFonts w:ascii="Times New Roman" w:cs="Times New Roman" w:eastAsia="Times New Roman" w:hAnsi="Times New Roman"/>
          <w:sz w:val="16"/>
          <w:szCs w:val="16"/>
          <w:b w:val="1"/>
          <w:bCs w:val="1"/>
          <w:color w:val="auto"/>
        </w:rPr>
        <w:t>did not violate the principle of reasonableness</w:t>
      </w:r>
      <w:r>
        <w:rPr>
          <w:rFonts w:ascii="Times New Roman" w:cs="Times New Roman" w:eastAsia="Times New Roman" w:hAnsi="Times New Roman"/>
          <w:sz w:val="16"/>
          <w:szCs w:val="16"/>
          <w:color w:val="auto"/>
        </w:rPr>
        <w:t xml:space="preserve">. Credicorp argued that the SMV did not properly apply the criteria for the graduation of sanctions set forth in Article 248(3) of the Administrative Procedure Act when imposing a fine of 210 UIT. The company contends that the SMV failed to consider several relevant factors, such as the absence of any intention to conceal the 2016 political contributions. These contributions were registered, disclosed by the political party </w:t>
      </w:r>
      <w:r>
        <w:rPr>
          <w:rFonts w:ascii="Times New Roman" w:cs="Times New Roman" w:eastAsia="Times New Roman" w:hAnsi="Times New Roman"/>
          <w:sz w:val="16"/>
          <w:szCs w:val="16"/>
          <w:i w:val="1"/>
          <w:iCs w:val="1"/>
          <w:color w:val="auto"/>
        </w:rPr>
        <w:t>Peruanos Por El Kambio</w:t>
      </w:r>
      <w:r>
        <w:rPr>
          <w:rFonts w:ascii="Times New Roman" w:cs="Times New Roman" w:eastAsia="Times New Roman" w:hAnsi="Times New Roman"/>
          <w:sz w:val="16"/>
          <w:szCs w:val="16"/>
          <w:color w:val="auto"/>
        </w:rPr>
        <w:t>, and covered by media outlets, in addition to having been reviewed by Credicorp’s Compliance Division to ensure adherence to its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corruption program. Furthermore, since information about these contributions had been public since 2016 and caused no economic harm, the imposed fine should have been less than 210 UIT. Credicorp also argues that the SMV did not apply the criteria of reasonableness, as the fine was disproportionate to the infringement committed. The Chamber concluded that the principle of reasonableness was not violated simply because the fine of 210 UIT was below the maximum possible of 700 UIT. However, Credicorp considered this conclusion erroneous, as the Chamber did not verify whether the SMV actually applied the sanction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graduation criteria proposed by the company, limiting itself to a general statement without explaining how such conclusion was reached. Credicorp argues that the fine is disproportionate and that the SMV did not follow proper procedures to determine it, while the Chamber failed to clearly justify why the imposed sanction complies with the principles of reasonableness.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IV. GROUNDS OF THE SUPREME CIVIL CHAMBER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On the Administrative Contentious Process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FIRST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Article 148 of the Political Constitution of Peru establishes the following:</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“Administrative decisions that exhaust administrative remedies are subject to challenge through the administrative contentious action.”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constitutional provision is developed in Article 1 of the Consolidated Text of the Law governing the Administrative Contentious Process, N.° 27584, approved by</w:t>
      </w:r>
    </w:p>
    <w:p>
      <w:pPr>
        <w:spacing w:after="0" w:line="26"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Supreme Decree N.° 011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JUS, under the following terms:</w:t>
      </w:r>
    </w:p>
    <w:p>
      <w:pPr>
        <w:spacing w:after="0" w:line="187" w:lineRule="exact"/>
        <w:rPr>
          <w:sz w:val="20"/>
          <w:szCs w:val="20"/>
          <w:color w:val="auto"/>
        </w:rPr>
      </w:pPr>
    </w:p>
    <w:p>
      <w:pPr>
        <w:jc w:val="both"/>
        <w:ind w:left="580" w:right="20"/>
        <w:spacing w:after="0" w:line="271" w:lineRule="auto"/>
        <w:rPr>
          <w:sz w:val="20"/>
          <w:szCs w:val="20"/>
          <w:color w:val="auto"/>
        </w:rPr>
      </w:pPr>
      <w:r>
        <w:rPr>
          <w:rFonts w:ascii="Times New Roman" w:cs="Times New Roman" w:eastAsia="Times New Roman" w:hAnsi="Times New Roman"/>
          <w:sz w:val="16"/>
          <w:szCs w:val="16"/>
          <w:i w:val="1"/>
          <w:iCs w:val="1"/>
          <w:color w:val="auto"/>
        </w:rPr>
        <w:t>“The administrative contentious action provided for in Article 148 of the Political Constitution has the purpose of enabling judicial review by the Judiciary of the acts of the public administration subject to administrative law, as well as ensuring the effective protection of the rights and interests of administrated parties. For the purposes of this Law, the administrative contentious action shall be referred to as the administrative contentious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46290"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1" w:name="page182"/>
    <w:bookmarkEnd w:id="181"/>
    <w:p>
      <w:pPr>
        <w:ind w:left="3"/>
        <w:spacing w:after="0" w:line="198" w:lineRule="exact"/>
        <w:rPr>
          <w:sz w:val="20"/>
          <w:szCs w:val="20"/>
          <w:color w:val="auto"/>
        </w:rPr>
      </w:pPr>
      <w:r>
        <w:rPr>
          <w:rFonts w:ascii="Times New Roman" w:cs="Times New Roman" w:eastAsia="Times New Roman" w:hAnsi="Times New Roman"/>
          <w:sz w:val="16"/>
          <w:szCs w:val="16"/>
          <w:b w:val="1"/>
          <w:bCs w:val="1"/>
          <w:u w:val="single" w:color="auto"/>
          <w:color w:val="auto"/>
        </w:rPr>
        <w:t>SECOND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purpose of the administrative contentious process is to ensure compliance with the legality of administrative acts, as such acts must be governed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legal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constitutional principles that regulate the conduct of those who exercise administrative public functions, thereby safeguarding the interests of administrated parties. Therefore, in this contentious process, it must be reviewed whether, within the administrative proceeding, the rules and principles governing the General Administrative Procedure— Unified Administrative Procedure Act N.° 27444, approved by Supreme Decree N.° 004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JUS—have been observed. These principles materialize in due administrative procedure, which guarantees administrated parties the means to assert their defense, present and produce evidence, and thus obtain from the competent administrative authority a decision grounded in facts and legal reasoning.</w:t>
      </w:r>
    </w:p>
    <w:p>
      <w:pPr>
        <w:spacing w:after="0" w:line="1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In that regard, the Supreme Court of Justice of the Republic, with respect to the administrative contentious action, has generally established the following:</w:t>
      </w:r>
    </w:p>
    <w:p>
      <w:pPr>
        <w:spacing w:after="0" w:line="202" w:lineRule="exact"/>
        <w:rPr>
          <w:sz w:val="20"/>
          <w:szCs w:val="20"/>
          <w:color w:val="auto"/>
        </w:rPr>
      </w:pPr>
    </w:p>
    <w:p>
      <w:pPr>
        <w:ind w:left="583" w:right="20"/>
        <w:spacing w:after="0" w:line="287" w:lineRule="auto"/>
        <w:rPr>
          <w:sz w:val="20"/>
          <w:szCs w:val="20"/>
          <w:color w:val="auto"/>
        </w:rPr>
      </w:pPr>
      <w:r>
        <w:rPr>
          <w:rFonts w:ascii="Times New Roman" w:cs="Times New Roman" w:eastAsia="Times New Roman" w:hAnsi="Times New Roman"/>
          <w:sz w:val="16"/>
          <w:szCs w:val="16"/>
          <w:i w:val="1"/>
          <w:iCs w:val="1"/>
          <w:color w:val="auto"/>
        </w:rPr>
        <w:t>“[…] The administrative contentious action provided for in the constitution [sic – read Constitution] seeks to guarantee adequate respect for, and recognition of, the rights of administrated parties by the administration, controlling any excess in the exercise of its ius imperium […]”.</w:t>
      </w:r>
      <w:r>
        <w:rPr>
          <w:rFonts w:ascii="Times New Roman" w:cs="Times New Roman" w:eastAsia="Times New Roman" w:hAnsi="Times New Roman"/>
          <w:sz w:val="26"/>
          <w:szCs w:val="26"/>
          <w:i w:val="1"/>
          <w:iCs w:val="1"/>
          <w:color w:val="auto"/>
          <w:vertAlign w:val="superscript"/>
        </w:rPr>
        <w:t>1</w:t>
      </w:r>
    </w:p>
    <w:p>
      <w:pPr>
        <w:spacing w:after="0" w:line="5" w:lineRule="exact"/>
        <w:rPr>
          <w:sz w:val="20"/>
          <w:szCs w:val="20"/>
          <w:color w:val="auto"/>
        </w:rPr>
      </w:pPr>
    </w:p>
    <w:p>
      <w:pPr>
        <w:ind w:left="583" w:right="20"/>
        <w:spacing w:after="0" w:line="272" w:lineRule="auto"/>
        <w:rPr>
          <w:sz w:val="20"/>
          <w:szCs w:val="20"/>
          <w:color w:val="auto"/>
        </w:rPr>
      </w:pPr>
      <w:r>
        <w:rPr>
          <w:rFonts w:ascii="Times New Roman" w:cs="Times New Roman" w:eastAsia="Times New Roman" w:hAnsi="Times New Roman"/>
          <w:sz w:val="16"/>
          <w:szCs w:val="16"/>
          <w:i w:val="1"/>
          <w:iCs w:val="1"/>
          <w:color w:val="auto"/>
        </w:rPr>
        <w:t>“[…] In the administrative contentious process […] what is debated is the validity or invalidity of a resolution issued by an administrative authority in the exercise of its functions; therefore, procedural activity in general, and evidentiary activity in particular, must be oriented toward that purpose […]”.</w:t>
      </w:r>
      <w:r>
        <w:rPr>
          <w:rFonts w:ascii="Times New Roman" w:cs="Times New Roman" w:eastAsia="Times New Roman" w:hAnsi="Times New Roman"/>
          <w:sz w:val="26"/>
          <w:szCs w:val="26"/>
          <w:i w:val="1"/>
          <w:iCs w:val="1"/>
          <w:color w:val="auto"/>
          <w:vertAlign w:val="superscript"/>
        </w:rPr>
        <w:t>2</w:t>
      </w:r>
    </w:p>
    <w:p>
      <w:pPr>
        <w:spacing w:after="0" w:line="1" w:lineRule="exact"/>
        <w:rPr>
          <w:sz w:val="20"/>
          <w:szCs w:val="20"/>
          <w:color w:val="auto"/>
        </w:rPr>
      </w:pPr>
    </w:p>
    <w:p>
      <w:pPr>
        <w:ind w:left="3"/>
        <w:spacing w:after="0" w:line="184" w:lineRule="exact"/>
        <w:rPr>
          <w:sz w:val="20"/>
          <w:szCs w:val="20"/>
          <w:color w:val="auto"/>
        </w:rPr>
      </w:pPr>
      <w:r>
        <w:rPr>
          <w:rFonts w:ascii="Times New Roman" w:cs="Times New Roman" w:eastAsia="Times New Roman" w:hAnsi="Times New Roman"/>
          <w:sz w:val="16"/>
          <w:szCs w:val="16"/>
          <w:b w:val="1"/>
          <w:bCs w:val="1"/>
          <w:color w:val="auto"/>
        </w:rPr>
        <w:t>On the Powers of the Second</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Instance Tribunal</w:t>
      </w:r>
    </w:p>
    <w:p>
      <w:pPr>
        <w:spacing w:after="0" w:line="238" w:lineRule="exact"/>
        <w:rPr>
          <w:sz w:val="20"/>
          <w:szCs w:val="20"/>
          <w:color w:val="auto"/>
        </w:rPr>
      </w:pPr>
    </w:p>
    <w:p>
      <w:pPr>
        <w:jc w:val="both"/>
        <w:ind w:left="3" w:right="20"/>
        <w:spacing w:after="0" w:line="262" w:lineRule="auto"/>
        <w:rPr>
          <w:sz w:val="20"/>
          <w:szCs w:val="20"/>
          <w:color w:val="auto"/>
        </w:rPr>
      </w:pPr>
      <w:r>
        <w:rPr>
          <w:rFonts w:ascii="Times New Roman" w:cs="Times New Roman" w:eastAsia="Times New Roman" w:hAnsi="Times New Roman"/>
          <w:sz w:val="16"/>
          <w:szCs w:val="16"/>
          <w:b w:val="1"/>
          <w:bCs w:val="1"/>
          <w:u w:val="single" w:color="auto"/>
          <w:color w:val="auto"/>
        </w:rPr>
        <w:t>THIRD: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constitutional guarantee of a plural instance, set forth in subsection 6 of Article 139 of the Political Constitution of Peru, imposes on the reviewing judicial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body the obligation to issue a ruling on both the procedural form and the merits of the case submitted on appeal. However, when there is no situation of manifest nullity in the process, the higher instance must limit its review in accordance with the rules and principles governing the appellate stage, among which—being one of the most important—is the principle limiting the superior court’s review strictly to the terms and conditions contained in the appeal. This principle, known in procedural doctrine as the partially devolutive effect (</w:t>
      </w:r>
      <w:r>
        <w:rPr>
          <w:rFonts w:ascii="Times New Roman" w:cs="Times New Roman" w:eastAsia="Times New Roman" w:hAnsi="Times New Roman"/>
          <w:sz w:val="16"/>
          <w:szCs w:val="16"/>
          <w:b w:val="1"/>
          <w:bCs w:val="1"/>
          <w:i w:val="1"/>
          <w:iCs w:val="1"/>
          <w:color w:val="auto"/>
        </w:rPr>
        <w:t>tantum devolutum quantum appellatum</w:t>
      </w:r>
      <w:r>
        <w:rPr>
          <w:rFonts w:ascii="Times New Roman" w:cs="Times New Roman" w:eastAsia="Times New Roman" w:hAnsi="Times New Roman"/>
          <w:sz w:val="16"/>
          <w:szCs w:val="16"/>
          <w:color w:val="auto"/>
        </w:rPr>
        <w:t>), requires the superior court to confine its review to the matters raised in the appeal.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-625475</wp:posOffset>
            </wp:positionV>
            <wp:extent cx="6768465" cy="1155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68465" cy="115570"/>
                    </a:xfrm>
                    <a:prstGeom prst="rect">
                      <a:avLst/>
                    </a:prstGeom>
                    <a:noFill/>
                  </pic:spPr>
                </pic:pic>
              </a:graphicData>
            </a:graphic>
          </wp:anchor>
        </w:drawing>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On the Superintendency of the Securities Market</w:t>
      </w:r>
    </w:p>
    <w:p>
      <w:pPr>
        <w:spacing w:after="0" w:line="204" w:lineRule="exact"/>
        <w:rPr>
          <w:sz w:val="20"/>
          <w:szCs w:val="20"/>
          <w:color w:val="auto"/>
        </w:rPr>
      </w:pPr>
    </w:p>
    <w:p>
      <w:pPr>
        <w:jc w:val="both"/>
        <w:ind w:left="3" w:right="20"/>
        <w:spacing w:after="0" w:line="271" w:lineRule="auto"/>
        <w:rPr>
          <w:sz w:val="20"/>
          <w:szCs w:val="20"/>
          <w:color w:val="auto"/>
        </w:rPr>
      </w:pPr>
      <w:r>
        <w:rPr>
          <w:rFonts w:ascii="Times New Roman" w:cs="Times New Roman" w:eastAsia="Times New Roman" w:hAnsi="Times New Roman"/>
          <w:sz w:val="16"/>
          <w:szCs w:val="16"/>
          <w:b w:val="1"/>
          <w:bCs w:val="1"/>
          <w:u w:val="single" w:color="auto"/>
          <w:color w:val="auto"/>
        </w:rPr>
        <w:t>FOURTH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Article 1 of the Consolidated Text of the Organic Law of the Superintendency of the Securities Market (SMV), approved by Legislative Decree N.° 26126,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establishes that the SMV’s purpose is to ensure the protection of investors, the efficiency and transparency of the markets under its supervision, proper price formation, and the disclosure of all information necessary for such purposes, through regulation, supervision, and promotion.</w:t>
      </w:r>
    </w:p>
    <w:p>
      <w:pPr>
        <w:spacing w:after="0" w:line="156"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In line with this, the first paragraph of Article 1 of the Securities Market Law states that the purpose of said law is to promote the orderly development and transparency of the securities market, as well as the adequate protection of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1426210"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26210" cy="15240"/>
                    </a:xfrm>
                    <a:prstGeom prst="rect">
                      <a:avLst/>
                    </a:prstGeom>
                    <a:noFill/>
                  </pic:spPr>
                </pic:pic>
              </a:graphicData>
            </a:graphic>
          </wp:anchor>
        </w:drawing>
      </w:r>
    </w:p>
    <w:p>
      <w:pPr>
        <w:spacing w:after="0" w:line="229" w:lineRule="exact"/>
        <w:rPr>
          <w:sz w:val="20"/>
          <w:szCs w:val="20"/>
          <w:color w:val="auto"/>
        </w:rPr>
      </w:pPr>
    </w:p>
    <w:p>
      <w:pPr>
        <w:ind w:left="103" w:hanging="103"/>
        <w:spacing w:after="0"/>
        <w:tabs>
          <w:tab w:leader="none" w:pos="103" w:val="left"/>
        </w:tabs>
        <w:numPr>
          <w:ilvl w:val="0"/>
          <w:numId w:val="2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Cassation N.° 1518-2006-Lima, published in the Official Gazette </w:t>
      </w:r>
      <w:r>
        <w:rPr>
          <w:rFonts w:ascii="Times New Roman" w:cs="Times New Roman" w:eastAsia="Times New Roman" w:hAnsi="Times New Roman"/>
          <w:sz w:val="16"/>
          <w:szCs w:val="16"/>
          <w:i w:val="1"/>
          <w:iCs w:val="1"/>
          <w:color w:val="auto"/>
        </w:rPr>
        <w:t>El Peruano</w:t>
      </w:r>
      <w:r>
        <w:rPr>
          <w:rFonts w:ascii="Times New Roman" w:cs="Times New Roman" w:eastAsia="Times New Roman" w:hAnsi="Times New Roman"/>
          <w:sz w:val="16"/>
          <w:szCs w:val="16"/>
          <w:color w:val="auto"/>
        </w:rPr>
        <w:t xml:space="preserve"> on February 29, 2008, pp. 21614–21615</w:t>
      </w:r>
    </w:p>
    <w:p>
      <w:pPr>
        <w:spacing w:after="0" w:line="2" w:lineRule="exact"/>
        <w:rPr>
          <w:rFonts w:ascii="Times New Roman" w:cs="Times New Roman" w:eastAsia="Times New Roman" w:hAnsi="Times New Roman"/>
          <w:sz w:val="27"/>
          <w:szCs w:val="27"/>
          <w:color w:val="auto"/>
          <w:vertAlign w:val="superscript"/>
        </w:rPr>
      </w:pPr>
    </w:p>
    <w:p>
      <w:pPr>
        <w:ind w:left="3"/>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Cassation N.° 1252-2007-Lima, published in the Official Gazette El Peruano on June 30, 2008, pp. 22341–22342.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146290"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82" w:name="page183"/>
    <w:bookmarkEnd w:id="182"/>
    <w:p>
      <w:pPr>
        <w:ind w:left="3"/>
        <w:spacing w:after="0"/>
        <w:rPr>
          <w:sz w:val="20"/>
          <w:szCs w:val="20"/>
          <w:color w:val="auto"/>
        </w:rPr>
      </w:pPr>
      <w:r>
        <w:rPr>
          <w:rFonts w:ascii="Times New Roman" w:cs="Times New Roman" w:eastAsia="Times New Roman" w:hAnsi="Times New Roman"/>
          <w:sz w:val="16"/>
          <w:szCs w:val="16"/>
          <w:b w:val="1"/>
          <w:bCs w:val="1"/>
          <w:u w:val="single" w:color="auto"/>
          <w:color w:val="auto"/>
        </w:rPr>
        <w:t>FIFTH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Furthermore, in accordance with numerals 9 and 13 of Article 3 of the Unified Text of the Organic Law of the Supervisory Commission of Companies and</w:t>
      </w:r>
    </w:p>
    <w:p>
      <w:pPr>
        <w:spacing w:after="0" w:line="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Securities, the Superintendent of the Securities Market has the following powers:</w:t>
      </w:r>
    </w:p>
    <w:p>
      <w:pPr>
        <w:spacing w:after="0" w:line="185" w:lineRule="exact"/>
        <w:rPr>
          <w:sz w:val="20"/>
          <w:szCs w:val="20"/>
          <w:color w:val="auto"/>
        </w:rPr>
      </w:pPr>
    </w:p>
    <w:p>
      <w:pPr>
        <w:jc w:val="both"/>
        <w:ind w:left="583"/>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“9. </w:t>
      </w:r>
      <w:r>
        <w:rPr>
          <w:rFonts w:ascii="Times New Roman" w:cs="Times New Roman" w:eastAsia="Times New Roman" w:hAnsi="Times New Roman"/>
          <w:sz w:val="16"/>
          <w:szCs w:val="16"/>
          <w:b w:val="1"/>
          <w:bCs w:val="1"/>
          <w:i w:val="1"/>
          <w:iCs w:val="1"/>
          <w:color w:val="auto"/>
        </w:rPr>
        <w:t>To impose sanctions on those who contravene the rules within its competence.</w:t>
      </w:r>
      <w:r>
        <w:rPr>
          <w:rFonts w:ascii="Times New Roman" w:cs="Times New Roman" w:eastAsia="Times New Roman" w:hAnsi="Times New Roman"/>
          <w:sz w:val="16"/>
          <w:szCs w:val="16"/>
          <w:i w:val="1"/>
          <w:iCs w:val="1"/>
          <w:color w:val="auto"/>
        </w:rPr>
        <w:t xml:space="preserve"> The Securities Market Superintendency (SMV) may issue precautionary or corrective measures ex officio or at the request of a party, as well as refrain from initiating sanctioning proceedings in cases of minor infractions if, at the time the infraction is detected, it has been reversed or remedied, provided that the conditions of admissibility established in the corresponding regulation are met and such fact is communicated to the administrated party, or if the corrective measures issued by the Securities Market Superintendency (SMV) pursuant to Article 358 of Legislative Decree 861, Securities Market Law, have been complied with. The Securities Market Superintendency (SMV) may impose sanctions in a single instance through the Administrative Tribunal or the body determined in the Regulation on Organization and Functions.</w:t>
      </w:r>
    </w:p>
    <w:p>
      <w:pPr>
        <w:spacing w:after="0" w:line="161"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i w:val="1"/>
          <w:iCs w:val="1"/>
          <w:color w:val="auto"/>
        </w:rPr>
        <w:t>Preliminary inquiries prior to the initiation of the sanctioning procedure shall be confidential.</w:t>
      </w:r>
    </w:p>
    <w:p>
      <w:pPr>
        <w:spacing w:after="0" w:line="171" w:lineRule="exact"/>
        <w:rPr>
          <w:sz w:val="20"/>
          <w:szCs w:val="20"/>
          <w:color w:val="auto"/>
        </w:rPr>
      </w:pPr>
    </w:p>
    <w:p>
      <w:pPr>
        <w:jc w:val="both"/>
        <w:ind w:left="583" w:right="20"/>
        <w:spacing w:after="0" w:line="207" w:lineRule="exact"/>
        <w:rPr>
          <w:sz w:val="20"/>
          <w:szCs w:val="20"/>
          <w:color w:val="auto"/>
        </w:rPr>
      </w:pPr>
      <w:r>
        <w:rPr>
          <w:rFonts w:ascii="Times New Roman" w:cs="Times New Roman" w:eastAsia="Times New Roman" w:hAnsi="Times New Roman"/>
          <w:sz w:val="16"/>
          <w:szCs w:val="16"/>
          <w:i w:val="1"/>
          <w:iCs w:val="1"/>
          <w:color w:val="auto"/>
        </w:rPr>
        <w:t>13</w:t>
      </w:r>
      <w:r>
        <w:rPr>
          <w:rFonts w:ascii="Times New Roman" w:cs="Times New Roman" w:eastAsia="Times New Roman" w:hAnsi="Times New Roman"/>
          <w:sz w:val="26"/>
          <w:szCs w:val="26"/>
          <w:i w:val="1"/>
          <w:iCs w:val="1"/>
          <w:color w:val="auto"/>
          <w:vertAlign w:val="superscript"/>
        </w:rPr>
        <w:t>3</w:t>
      </w:r>
      <w:r>
        <w:rPr>
          <w:rFonts w:ascii="Times New Roman" w:cs="Times New Roman" w:eastAsia="Times New Roman" w:hAnsi="Times New Roman"/>
          <w:sz w:val="16"/>
          <w:szCs w:val="16"/>
          <w:i w:val="1"/>
          <w:iCs w:val="1"/>
          <w:color w:val="auto"/>
        </w:rPr>
        <w:t>. To impose, through a reasoned resolution, coercive fines for the execution of certain acts, of up to twenty</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five (25) tax units (UIT). Such fine must be paid within five (5) business days after notification, after which coercive collection shall be ordered. At the time of its imposition, the deadline available to the administrated party to comply with the required act shall be established. If, after such deadline, the obliged party persists in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compliance, a new coercive fine shall be imposed, successively doubling the amount of the previous fine, which shall in no case exceed seven hundred (700) UIT, until the required act is executed.”</w:t>
      </w:r>
    </w:p>
    <w:p>
      <w:pPr>
        <w:spacing w:after="0" w:line="179" w:lineRule="exact"/>
        <w:rPr>
          <w:sz w:val="20"/>
          <w:szCs w:val="20"/>
          <w:color w:val="auto"/>
        </w:rPr>
      </w:pPr>
    </w:p>
    <w:p>
      <w:pPr>
        <w:jc w:val="both"/>
        <w:ind w:left="3"/>
        <w:spacing w:after="0" w:line="271" w:lineRule="auto"/>
        <w:rPr>
          <w:sz w:val="20"/>
          <w:szCs w:val="20"/>
          <w:color w:val="auto"/>
        </w:rPr>
      </w:pPr>
      <w:r>
        <w:rPr>
          <w:rFonts w:ascii="Times New Roman" w:cs="Times New Roman" w:eastAsia="Times New Roman" w:hAnsi="Times New Roman"/>
          <w:sz w:val="16"/>
          <w:szCs w:val="16"/>
          <w:b w:val="1"/>
          <w:bCs w:val="1"/>
          <w:u w:val="single" w:color="auto"/>
          <w:color w:val="auto"/>
        </w:rPr>
        <w:t>SIXTH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Accordingly, subsection (d) of Article 56 of the aforementioned Unified Text establishes that one of the powers of the Board of Directors of the Securities Market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Superintendency is to classify the infringing conduct of those who participate in the securities market, the products market, collective fund systems, and other matters within its competence, in accordance with Articles 343, 349, 350, and 351 of the Securities Market Law—Legislative Decree N.° 861—which provide:</w:t>
      </w:r>
    </w:p>
    <w:p>
      <w:pPr>
        <w:spacing w:after="0" w:line="152"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“Article 343: </w:t>
      </w:r>
      <w:r>
        <w:rPr>
          <w:rFonts w:ascii="Times New Roman" w:cs="Times New Roman" w:eastAsia="Times New Roman" w:hAnsi="Times New Roman"/>
          <w:sz w:val="16"/>
          <w:szCs w:val="16"/>
          <w:i w:val="1"/>
          <w:iCs w:val="1"/>
          <w:color w:val="auto"/>
        </w:rPr>
        <w:t>The sanctions CONASEV is empowered to impose are the following:</w:t>
      </w:r>
    </w:p>
    <w:p>
      <w:pPr>
        <w:spacing w:after="0" w:line="206" w:lineRule="exact"/>
        <w:rPr>
          <w:sz w:val="20"/>
          <w:szCs w:val="20"/>
          <w:color w:val="auto"/>
        </w:rPr>
      </w:pPr>
    </w:p>
    <w:p>
      <w:pPr>
        <w:jc w:val="both"/>
        <w:ind w:left="583" w:right="20"/>
        <w:spacing w:after="0" w:line="198" w:lineRule="exact"/>
        <w:rPr>
          <w:sz w:val="20"/>
          <w:szCs w:val="20"/>
          <w:color w:val="auto"/>
        </w:rPr>
      </w:pPr>
      <w:r>
        <w:rPr>
          <w:rFonts w:ascii="Times New Roman" w:cs="Times New Roman" w:eastAsia="Times New Roman" w:hAnsi="Times New Roman"/>
          <w:sz w:val="16"/>
          <w:szCs w:val="16"/>
          <w:i w:val="1"/>
          <w:iCs w:val="1"/>
          <w:color w:val="auto"/>
        </w:rPr>
        <w:t>a)Warning; b) Fine not less than one (1) UIT and not greater than three hundred (300) UIT; c) Suspension of the operating authorization for a period not exceeding forty</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five (45) days; d) Suspension of the representative of the brokerage firm for a period not exceeding thirty (30) days; e) Suspension of the placement of the public offering, as well as of the trading of one or more securities; f) Exclusion of a security from the Registry; g) Cancellation of the registration in the Registry; h) Revocation of the operating authorization; and, i) Suspension for up to thirty (30) days, dismissal, or disqualification of the members of the Investment Committee, Oversight Committee, Rating Committee, and of the directors, managers, representatives, and auditors of the legal entities under its control and supervision.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1426210"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426210" cy="15240"/>
                    </a:xfrm>
                    <a:prstGeom prst="rect">
                      <a:avLst/>
                    </a:prstGeom>
                    <a:noFill/>
                  </pic:spPr>
                </pic:pic>
              </a:graphicData>
            </a:graphic>
          </wp:anchor>
        </w:drawing>
      </w:r>
    </w:p>
    <w:p>
      <w:pPr>
        <w:spacing w:after="0" w:line="228" w:lineRule="exact"/>
        <w:rPr>
          <w:sz w:val="20"/>
          <w:szCs w:val="20"/>
          <w:color w:val="auto"/>
        </w:rPr>
      </w:pPr>
    </w:p>
    <w:p>
      <w:pPr>
        <w:ind w:left="103" w:hanging="103"/>
        <w:spacing w:after="0"/>
        <w:tabs>
          <w:tab w:leader="none" w:pos="103" w:val="left"/>
        </w:tabs>
        <w:numPr>
          <w:ilvl w:val="0"/>
          <w:numId w:val="2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5 Subsection amended by Article 4 of Law No. 30050, published in the Official Gazette </w:t>
      </w:r>
      <w:r>
        <w:rPr>
          <w:rFonts w:ascii="Times New Roman" w:cs="Times New Roman" w:eastAsia="Times New Roman" w:hAnsi="Times New Roman"/>
          <w:sz w:val="16"/>
          <w:szCs w:val="16"/>
          <w:i w:val="1"/>
          <w:iCs w:val="1"/>
          <w:color w:val="auto"/>
        </w:rPr>
        <w:t>El Peruano</w:t>
      </w:r>
      <w:r>
        <w:rPr>
          <w:rFonts w:ascii="Times New Roman" w:cs="Times New Roman" w:eastAsia="Times New Roman" w:hAnsi="Times New Roman"/>
          <w:sz w:val="16"/>
          <w:szCs w:val="16"/>
          <w:color w:val="auto"/>
        </w:rPr>
        <w:t xml:space="preserve"> on June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146290"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83" w:name="page184"/>
    <w:bookmarkEnd w:id="183"/>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Article 349: </w:t>
      </w:r>
      <w:r>
        <w:rPr>
          <w:rFonts w:ascii="Times New Roman" w:cs="Times New Roman" w:eastAsia="Times New Roman" w:hAnsi="Times New Roman"/>
          <w:sz w:val="16"/>
          <w:szCs w:val="16"/>
          <w:i w:val="1"/>
          <w:iCs w:val="1"/>
          <w:color w:val="auto"/>
        </w:rPr>
        <w:t>For the commission of</w:t>
      </w:r>
      <w:r>
        <w:rPr>
          <w:rFonts w:ascii="Times New Roman" w:cs="Times New Roman" w:eastAsia="Times New Roman" w:hAnsi="Times New Roman"/>
          <w:sz w:val="16"/>
          <w:szCs w:val="16"/>
          <w:b w:val="1"/>
          <w:bCs w:val="1"/>
          <w:i w:val="1"/>
          <w:iCs w:val="1"/>
          <w:color w:val="auto"/>
        </w:rPr>
        <w:t xml:space="preserve"> very serious infractions, one of the following sanctions shall be imposed on the offender: a) Fine not less than fifty (50) UIT</w:t>
      </w:r>
      <w:r>
        <w:rPr>
          <w:rFonts w:ascii="Times New Roman" w:cs="Times New Roman" w:eastAsia="Times New Roman" w:hAnsi="Times New Roman"/>
          <w:sz w:val="16"/>
          <w:szCs w:val="16"/>
          <w:i w:val="1"/>
          <w:iCs w:val="1"/>
          <w:color w:val="auto"/>
        </w:rPr>
        <w:t>;</w:t>
      </w:r>
    </w:p>
    <w:p>
      <w:pPr>
        <w:spacing w:after="0" w:line="30" w:lineRule="exact"/>
        <w:rPr>
          <w:sz w:val="20"/>
          <w:szCs w:val="20"/>
          <w:color w:val="auto"/>
        </w:rPr>
      </w:pPr>
    </w:p>
    <w:p>
      <w:pPr>
        <w:ind w:left="580" w:right="20" w:hanging="10"/>
        <w:spacing w:after="0" w:line="266" w:lineRule="auto"/>
        <w:tabs>
          <w:tab w:leader="none" w:pos="764" w:val="left"/>
        </w:tabs>
        <w:numPr>
          <w:ilvl w:val="0"/>
          <w:numId w:val="23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Suspension of the operating authorization for not less than ten (10) days; c) Exclusion of securities from the Registry; d) Cancellation of the registration in the Registry; e) Revocation of the operating authorization; and, f) Dismissal or disqualification.</w:t>
      </w:r>
    </w:p>
    <w:p>
      <w:pPr>
        <w:spacing w:after="0" w:line="123" w:lineRule="exact"/>
        <w:rPr>
          <w:sz w:val="20"/>
          <w:szCs w:val="20"/>
          <w:color w:val="auto"/>
        </w:rPr>
      </w:pPr>
    </w:p>
    <w:p>
      <w:pPr>
        <w:jc w:val="both"/>
        <w:ind w:left="580"/>
        <w:spacing w:after="0" w:line="211" w:lineRule="exact"/>
        <w:rPr>
          <w:sz w:val="20"/>
          <w:szCs w:val="20"/>
          <w:color w:val="auto"/>
        </w:rPr>
      </w:pPr>
      <w:r>
        <w:rPr>
          <w:rFonts w:ascii="Times New Roman" w:cs="Times New Roman" w:eastAsia="Times New Roman" w:hAnsi="Times New Roman"/>
          <w:sz w:val="16"/>
          <w:szCs w:val="16"/>
          <w:b w:val="1"/>
          <w:bCs w:val="1"/>
          <w:i w:val="1"/>
          <w:iCs w:val="1"/>
          <w:color w:val="auto"/>
        </w:rPr>
        <w:t xml:space="preserve">Article 350: </w:t>
      </w:r>
      <w:r>
        <w:rPr>
          <w:rFonts w:ascii="Times New Roman" w:cs="Times New Roman" w:eastAsia="Times New Roman" w:hAnsi="Times New Roman"/>
          <w:sz w:val="16"/>
          <w:szCs w:val="16"/>
          <w:i w:val="1"/>
          <w:iCs w:val="1"/>
          <w:color w:val="auto"/>
        </w:rPr>
        <w:t>For the commission of serious infractions, one of the following sanctions shall be imposed on the offender: a) Fine not less than twenty</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five (25) UIT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and up to fifty (50) UIT; b) Suspension for up to one (1) year of the trading of securities or the placement of the public offering; and, c) Suspension of the operating authorization, or of the representatives of brokerage firms, for up to twenty (20) days.</w:t>
      </w:r>
    </w:p>
    <w:p>
      <w:pPr>
        <w:spacing w:after="0" w:line="176" w:lineRule="exact"/>
        <w:rPr>
          <w:sz w:val="20"/>
          <w:szCs w:val="20"/>
          <w:color w:val="auto"/>
        </w:rPr>
      </w:pPr>
    </w:p>
    <w:p>
      <w:pPr>
        <w:jc w:val="both"/>
        <w:ind w:left="580" w:right="20"/>
        <w:spacing w:after="0" w:line="217" w:lineRule="exact"/>
        <w:rPr>
          <w:sz w:val="20"/>
          <w:szCs w:val="20"/>
          <w:color w:val="auto"/>
        </w:rPr>
      </w:pPr>
      <w:r>
        <w:rPr>
          <w:rFonts w:ascii="Times New Roman" w:cs="Times New Roman" w:eastAsia="Times New Roman" w:hAnsi="Times New Roman"/>
          <w:sz w:val="16"/>
          <w:szCs w:val="16"/>
          <w:b w:val="1"/>
          <w:bCs w:val="1"/>
          <w:i w:val="1"/>
          <w:iCs w:val="1"/>
          <w:color w:val="auto"/>
        </w:rPr>
        <w:t xml:space="preserve">Article 351: </w:t>
      </w:r>
      <w:r>
        <w:rPr>
          <w:rFonts w:ascii="Times New Roman" w:cs="Times New Roman" w:eastAsia="Times New Roman" w:hAnsi="Times New Roman"/>
          <w:sz w:val="16"/>
          <w:szCs w:val="16"/>
          <w:i w:val="1"/>
          <w:iCs w:val="1"/>
          <w:color w:val="auto"/>
        </w:rPr>
        <w:t>For the commission of minor infractions, one of the following sanctions shall be imposed on the offender: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Warning; and b) Fine not less than one (1)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UIT and up to twenty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five (25) UIT.”</w:t>
      </w:r>
    </w:p>
    <w:p>
      <w:pPr>
        <w:spacing w:after="0" w:line="117"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6"/>
          <w:szCs w:val="16"/>
          <w:b w:val="1"/>
          <w:bCs w:val="1"/>
          <w:u w:val="single" w:color="auto"/>
          <w:color w:val="auto"/>
        </w:rPr>
        <w:t>SEVENTH: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Consequently, the sanctioning authority of the SMV (formerly CONASEV) empowers it to penalize regulatory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in the securities market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imposing sanctions such as fines, warnings, and even suspension or disqualification (as applicable), always under the principles of legality, due procedure, and proportionality, using the SMV Administrative Tribunal as the competent body to impose such sanctions. This authority is governed by the Securities Market Law and its regulations, as well as by Law N.° 27444.</w:t>
      </w:r>
    </w:p>
    <w:p>
      <w:pPr>
        <w:spacing w:after="0" w:line="177" w:lineRule="exact"/>
        <w:rPr>
          <w:sz w:val="20"/>
          <w:szCs w:val="20"/>
          <w:color w:val="auto"/>
        </w:rPr>
      </w:pPr>
    </w:p>
    <w:p>
      <w:pPr>
        <w:jc w:val="both"/>
        <w:ind w:right="20"/>
        <w:spacing w:after="0" w:line="217" w:lineRule="exact"/>
        <w:rPr>
          <w:sz w:val="20"/>
          <w:szCs w:val="20"/>
          <w:color w:val="auto"/>
        </w:rPr>
      </w:pPr>
      <w:r>
        <w:rPr>
          <w:rFonts w:ascii="Times New Roman" w:cs="Times New Roman" w:eastAsia="Times New Roman" w:hAnsi="Times New Roman"/>
          <w:sz w:val="16"/>
          <w:szCs w:val="16"/>
          <w:b w:val="1"/>
          <w:bCs w:val="1"/>
          <w:u w:val="single" w:color="auto"/>
          <w:color w:val="auto"/>
        </w:rPr>
        <w:t>EIGHTH: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Finally, regarding the principle of legality, numeral 1.1 of Article IV of the Preliminary Title of the Unified Text of Law N.° 27444, General Administrative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Procedure Act, approved by Supreme Decree 004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JUS, states:</w:t>
      </w:r>
    </w:p>
    <w:p>
      <w:pPr>
        <w:spacing w:after="0" w:line="1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“Article IV – Principles of the Administrative Procedure</w:t>
      </w:r>
    </w:p>
    <w:p>
      <w:pPr>
        <w:spacing w:after="0" w:line="206" w:lineRule="exact"/>
        <w:rPr>
          <w:sz w:val="20"/>
          <w:szCs w:val="20"/>
          <w:color w:val="auto"/>
        </w:rPr>
      </w:pPr>
    </w:p>
    <w:p>
      <w:pPr>
        <w:ind w:left="580" w:hanging="292"/>
        <w:spacing w:after="0"/>
        <w:tabs>
          <w:tab w:leader="none" w:pos="580" w:val="left"/>
        </w:tabs>
        <w:numPr>
          <w:ilvl w:val="0"/>
          <w:numId w:val="23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administrative procedure is fundamentally based on the following principles, without prejudice to the validity of other general principles of administrative law:</w:t>
      </w:r>
    </w:p>
    <w:p>
      <w:pPr>
        <w:spacing w:after="0" w:line="190" w:lineRule="exact"/>
        <w:rPr>
          <w:rFonts w:ascii="Times New Roman" w:cs="Times New Roman" w:eastAsia="Times New Roman" w:hAnsi="Times New Roman"/>
          <w:sz w:val="16"/>
          <w:szCs w:val="16"/>
          <w:i w:val="1"/>
          <w:iCs w:val="1"/>
          <w:color w:val="auto"/>
        </w:rPr>
      </w:pPr>
    </w:p>
    <w:p>
      <w:pPr>
        <w:ind w:left="1160" w:right="20" w:hanging="583"/>
        <w:spacing w:after="0" w:line="292"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b w:val="1"/>
          <w:bCs w:val="1"/>
          <w:i w:val="1"/>
          <w:iCs w:val="1"/>
          <w:color w:val="auto"/>
        </w:rPr>
        <w:t xml:space="preserve">1.1.Principle of Legality. </w:t>
      </w:r>
      <w:r>
        <w:rPr>
          <w:rFonts w:ascii="Times New Roman" w:cs="Times New Roman" w:eastAsia="Times New Roman" w:hAnsi="Times New Roman"/>
          <w:sz w:val="16"/>
          <w:szCs w:val="16"/>
          <w:i w:val="1"/>
          <w:iCs w:val="1"/>
          <w:color w:val="auto"/>
        </w:rPr>
        <w:t>– Administrative authorities must act in respect of the Constitution, the law, and the legal system, within the powers granted to them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and in accordance with the purposes for which such powers were conferred.”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numeral 70.1 of Article 70 of the same legal text provides: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“Article 70 – Source of Administrative Competence</w:t>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70.1 The competence of public entities originates from the Constitution and the law and is regulated by the administrative rules derived therefrom.</w:t>
      </w:r>
    </w:p>
    <w:p>
      <w:pPr>
        <w:spacing w:after="0" w:line="187"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 xml:space="preserve">Accordingly, the </w:t>
      </w:r>
      <w:r>
        <w:rPr>
          <w:rFonts w:ascii="Times New Roman" w:cs="Times New Roman" w:eastAsia="Times New Roman" w:hAnsi="Times New Roman"/>
          <w:sz w:val="16"/>
          <w:szCs w:val="16"/>
          <w:b w:val="1"/>
          <w:bCs w:val="1"/>
          <w:color w:val="auto"/>
        </w:rPr>
        <w:t>principle of legality</w:t>
      </w:r>
      <w:r>
        <w:rPr>
          <w:rFonts w:ascii="Times New Roman" w:cs="Times New Roman" w:eastAsia="Times New Roman" w:hAnsi="Times New Roman"/>
          <w:sz w:val="16"/>
          <w:szCs w:val="16"/>
          <w:color w:val="auto"/>
        </w:rPr>
        <w:t xml:space="preserve"> requires that administrative authorities act in compliance with the legal order, within the powers that have been legally attributed to them, and in accordance with the purposes for which such powers were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7146290"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9" w:right="3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b w:val="1"/>
          <w:bCs w:val="1"/>
          <w:color w:val="auto"/>
          <w:highlight w:val="yellow"/>
        </w:rPr>
        <w:t>Analysis of the Specific Case</w:t>
      </w:r>
    </w:p>
    <w:p>
      <w:pPr>
        <w:spacing w:after="0" w:line="171" w:lineRule="exact"/>
        <w:rPr>
          <w:sz w:val="20"/>
          <w:szCs w:val="20"/>
          <w:color w:val="auto"/>
        </w:rPr>
      </w:pPr>
    </w:p>
    <w:p>
      <w:pPr>
        <w:jc w:val="both"/>
        <w:ind w:right="20"/>
        <w:spacing w:after="0" w:line="202" w:lineRule="exact"/>
        <w:rPr>
          <w:sz w:val="20"/>
          <w:szCs w:val="20"/>
          <w:color w:val="auto"/>
        </w:rPr>
      </w:pPr>
      <w:r>
        <w:rPr>
          <w:rFonts w:ascii="Times New Roman" w:cs="Times New Roman" w:eastAsia="Times New Roman" w:hAnsi="Times New Roman"/>
          <w:sz w:val="16"/>
          <w:szCs w:val="16"/>
          <w:b w:val="1"/>
          <w:bCs w:val="1"/>
          <w:u w:val="single" w:color="auto"/>
          <w:color w:val="auto"/>
        </w:rPr>
        <w:t>NINTH: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previously indicated, through Official Letter N.° 6143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SMV/11.2 dated December 27, 2019, the SMV notified the appellant company of the initiation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administrative sanctioning procedure for the following charges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 Engaging in conduct that allegedly affected the transparency of the securities market by failing to disclose relevant information concerning cash contributions to the political party </w:t>
      </w:r>
      <w:r>
        <w:rPr>
          <w:rFonts w:ascii="Times New Roman" w:cs="Times New Roman" w:eastAsia="Times New Roman" w:hAnsi="Times New Roman"/>
          <w:sz w:val="16"/>
          <w:szCs w:val="16"/>
          <w:i w:val="1"/>
          <w:iCs w:val="1"/>
          <w:color w:val="auto"/>
        </w:rPr>
        <w:t>Fuerza 2011</w:t>
      </w:r>
      <w:r>
        <w:rPr>
          <w:rFonts w:ascii="Times New Roman" w:cs="Times New Roman" w:eastAsia="Times New Roman" w:hAnsi="Times New Roman"/>
          <w:sz w:val="16"/>
          <w:szCs w:val="16"/>
          <w:color w:val="auto"/>
        </w:rPr>
        <w:t xml:space="preserve"> during the 2011 Peruvian presidential campaign. This conduct is classified under subsection 1.6, numeral 1 of Annex I of the Sanctioning Regulations, in force at the time of the commission of the infraction; and (ii) Engaging in conduct that allegedly affected market transparency by failing to disclose relevant information regarding the agreement to make, through its subsidiaries, cash contributions to the political party </w:t>
      </w:r>
      <w:r>
        <w:rPr>
          <w:rFonts w:ascii="Times New Roman" w:cs="Times New Roman" w:eastAsia="Times New Roman" w:hAnsi="Times New Roman"/>
          <w:sz w:val="16"/>
          <w:szCs w:val="16"/>
          <w:i w:val="1"/>
          <w:iCs w:val="1"/>
          <w:color w:val="auto"/>
        </w:rPr>
        <w:t>Peruanos Por el Kambio</w:t>
      </w:r>
      <w:r>
        <w:rPr>
          <w:rFonts w:ascii="Times New Roman" w:cs="Times New Roman" w:eastAsia="Times New Roman" w:hAnsi="Times New Roman"/>
          <w:sz w:val="16"/>
          <w:szCs w:val="16"/>
          <w:color w:val="auto"/>
        </w:rPr>
        <w:t xml:space="preserve"> during the 2016 Peruvian presidential campaign. This conduct is classified under subsection 1.5, numeral 1 of Annex I of the Sanctioning Regulations, in force at the time of the commission of the infraction.</w:t>
      </w:r>
    </w:p>
    <w:p>
      <w:pPr>
        <w:spacing w:after="0" w:line="143" w:lineRule="exact"/>
        <w:rPr>
          <w:sz w:val="20"/>
          <w:szCs w:val="20"/>
          <w:color w:val="auto"/>
        </w:rPr>
      </w:pPr>
    </w:p>
    <w:p>
      <w:pPr>
        <w:jc w:val="both"/>
        <w:ind w:right="20"/>
        <w:spacing w:after="0" w:line="214" w:lineRule="exact"/>
        <w:rPr>
          <w:sz w:val="20"/>
          <w:szCs w:val="20"/>
          <w:color w:val="auto"/>
        </w:rPr>
      </w:pPr>
      <w:r>
        <w:rPr>
          <w:rFonts w:ascii="Times New Roman" w:cs="Times New Roman" w:eastAsia="Times New Roman" w:hAnsi="Times New Roman"/>
          <w:sz w:val="16"/>
          <w:szCs w:val="16"/>
          <w:color w:val="auto"/>
        </w:rPr>
        <w:t>Through Deputy Superintendency Resolution N.° 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dated March 5, 2021, it was determined that the appellant company had committed very serious infractions classified under subsection 1.6, numeral 1 of Annex I of the Sanctioning Regulations approved by CONASEV Resolution N.°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and subsection 1.5, numeral 1 of Annex I of the Sanctioning Regulations approved by CONASEV Resolution N.° 055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EF/94.10, as amended by SMV Resolution N°. 1006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SMV/01, the company was sanctioned with a total fine of 510 UIT.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Subsequently, by brief dated March 26, 2021, </w:t>
      </w:r>
      <w:r>
        <w:rPr>
          <w:rFonts w:ascii="Times New Roman" w:cs="Times New Roman" w:eastAsia="Times New Roman" w:hAnsi="Times New Roman"/>
          <w:sz w:val="16"/>
          <w:szCs w:val="16"/>
          <w:color w:val="auto"/>
          <w:highlight w:val="yellow"/>
        </w:rPr>
        <w:t>the claimant company filed an appeal; however, the administrative authority failed to rule on said appeal.</w:t>
      </w:r>
    </w:p>
    <w:p>
      <w:pPr>
        <w:spacing w:after="0" w:line="202" w:lineRule="exact"/>
        <w:rPr>
          <w:sz w:val="20"/>
          <w:szCs w:val="20"/>
          <w:color w:val="auto"/>
        </w:rPr>
      </w:pPr>
    </w:p>
    <w:p>
      <w:pPr>
        <w:jc w:val="both"/>
        <w:spacing w:after="0" w:line="198" w:lineRule="exact"/>
        <w:rPr>
          <w:sz w:val="20"/>
          <w:szCs w:val="20"/>
          <w:color w:val="auto"/>
        </w:rPr>
      </w:pPr>
      <w:r>
        <w:rPr>
          <w:rFonts w:ascii="Times New Roman" w:cs="Times New Roman" w:eastAsia="Times New Roman" w:hAnsi="Times New Roman"/>
          <w:sz w:val="16"/>
          <w:szCs w:val="16"/>
          <w:b w:val="1"/>
          <w:bCs w:val="1"/>
          <w:u w:val="single" w:color="auto"/>
          <w:color w:val="auto"/>
        </w:rPr>
        <w:t>TENTH: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filing the present lawsuit, the claimant has requested, as its</w:t>
      </w:r>
      <w:r>
        <w:rPr>
          <w:rFonts w:ascii="Times New Roman" w:cs="Times New Roman" w:eastAsia="Times New Roman" w:hAnsi="Times New Roman"/>
          <w:sz w:val="16"/>
          <w:szCs w:val="16"/>
          <w:b w:val="1"/>
          <w:bCs w:val="1"/>
          <w:color w:val="auto"/>
        </w:rPr>
        <w:t xml:space="preserve"> main claim</w:t>
      </w:r>
      <w:r>
        <w:rPr>
          <w:rFonts w:ascii="Times New Roman" w:cs="Times New Roman" w:eastAsia="Times New Roman" w:hAnsi="Times New Roman"/>
          <w:sz w:val="16"/>
          <w:szCs w:val="16"/>
          <w:color w:val="auto"/>
        </w:rPr>
        <w:t>, a declaration of nullity of the implied decision that, through negative administrative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silence, rejected its appeal of March 26, 2021, filed against </w:t>
      </w:r>
      <w:r>
        <w:rPr>
          <w:rFonts w:ascii="Times New Roman" w:cs="Times New Roman" w:eastAsia="Times New Roman" w:hAnsi="Times New Roman"/>
          <w:sz w:val="16"/>
          <w:szCs w:val="16"/>
          <w:b w:val="1"/>
          <w:bCs w:val="1"/>
          <w:color w:val="auto"/>
        </w:rPr>
        <w:t>Deputy Superintendency Resolution N.° 012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2021</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SMV/11</w:t>
      </w:r>
      <w:r>
        <w:rPr>
          <w:rFonts w:ascii="Times New Roman" w:cs="Times New Roman" w:eastAsia="Times New Roman" w:hAnsi="Times New Roman"/>
          <w:sz w:val="16"/>
          <w:szCs w:val="16"/>
          <w:color w:val="auto"/>
        </w:rPr>
        <w:t>. The appellant also seeks the nullity of that resolution itself (based on cause N.° 1 of Article 10 of the Unified Text of the General Administrative Procedure Act), which imposed a fine of 300 UIT for an alleged very serious infraction classified under subsection 1.6, numeral 1 of Annex I of the Sanctioning Regulations, and a fine of 210 UIT for an alleged very serious infraction classified under subsection 1.5, numeral 1 of the same Annex.</w:t>
      </w:r>
    </w:p>
    <w:p>
      <w:pPr>
        <w:spacing w:after="0" w:line="143" w:lineRule="exact"/>
        <w:rPr>
          <w:sz w:val="20"/>
          <w:szCs w:val="20"/>
          <w:color w:val="auto"/>
        </w:rPr>
      </w:pPr>
    </w:p>
    <w:p>
      <w:pPr>
        <w:jc w:val="both"/>
        <w:ind w:right="20"/>
        <w:spacing w:after="0" w:line="221" w:lineRule="exact"/>
        <w:rPr>
          <w:sz w:val="20"/>
          <w:szCs w:val="20"/>
          <w:color w:val="auto"/>
        </w:rPr>
      </w:pPr>
      <w:r>
        <w:rPr>
          <w:rFonts w:ascii="Times New Roman" w:cs="Times New Roman" w:eastAsia="Times New Roman" w:hAnsi="Times New Roman"/>
          <w:sz w:val="16"/>
          <w:szCs w:val="16"/>
          <w:color w:val="auto"/>
        </w:rPr>
        <w:t xml:space="preserve">As </w:t>
      </w:r>
      <w:r>
        <w:rPr>
          <w:rFonts w:ascii="Times New Roman" w:cs="Times New Roman" w:eastAsia="Times New Roman" w:hAnsi="Times New Roman"/>
          <w:sz w:val="16"/>
          <w:szCs w:val="16"/>
          <w:b w:val="1"/>
          <w:bCs w:val="1"/>
          <w:color w:val="auto"/>
        </w:rPr>
        <w:t>subsidiary claims</w:t>
      </w:r>
      <w:r>
        <w:rPr>
          <w:rFonts w:ascii="Times New Roman" w:cs="Times New Roman" w:eastAsia="Times New Roman" w:hAnsi="Times New Roman"/>
          <w:sz w:val="16"/>
          <w:szCs w:val="16"/>
          <w:color w:val="auto"/>
        </w:rPr>
        <w:t>, the claimant requests the nullity of Deputy Superintendency Resolution N.° 012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SMV/11 on the grounds of: abuse of rights, violation of the statute of limitations, and violation of the principle of reasonableness.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ELEVENTH: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 a judgment dated August 15, 2023, the Superior Court declared the claim</w:t>
      </w:r>
      <w:r>
        <w:rPr>
          <w:rFonts w:ascii="Times New Roman" w:cs="Times New Roman" w:eastAsia="Times New Roman" w:hAnsi="Times New Roman"/>
          <w:sz w:val="16"/>
          <w:szCs w:val="16"/>
          <w:b w:val="1"/>
          <w:bCs w:val="1"/>
          <w:color w:val="auto"/>
        </w:rPr>
        <w:t xml:space="preserve"> unfounded</w:t>
      </w:r>
      <w:r>
        <w:rPr>
          <w:rFonts w:ascii="Times New Roman" w:cs="Times New Roman" w:eastAsia="Times New Roman" w:hAnsi="Times New Roman"/>
          <w:sz w:val="16"/>
          <w:szCs w:val="16"/>
          <w:color w:val="auto"/>
        </w:rPr>
        <w:t>, essentially stating that:</w:t>
      </w:r>
    </w:p>
    <w:p>
      <w:pPr>
        <w:spacing w:after="0" w:line="20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i w:val="1"/>
          <w:iCs w:val="1"/>
          <w:color w:val="auto"/>
        </w:rPr>
        <w:t>“The financial contributions (made directly or through authorization to subsidiaries) to political parties during election campaigns, carried out by the plaintiff company as an issuer of securities listed on the stock market, constitute relevant information that must be promptly communicated to the defendant entity. This is necessary for the fulfillment of its function of safeguarding investor protection, ensuring the efficiency and transparency of the markets under its supervision, promoting proper price formation, and ensuring the disclosure of all information necessary for such purposes through regulation, supervision, and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212725</wp:posOffset>
            </wp:positionV>
            <wp:extent cx="7146290"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5" w:name="page186"/>
    <w:bookmarkEnd w:id="185"/>
    <w:p>
      <w:pPr>
        <w:jc w:val="both"/>
        <w:ind w:right="20"/>
        <w:spacing w:after="0" w:line="198" w:lineRule="exact"/>
        <w:rPr>
          <w:sz w:val="20"/>
          <w:szCs w:val="20"/>
          <w:color w:val="auto"/>
        </w:rPr>
      </w:pPr>
      <w:r>
        <w:rPr>
          <w:rFonts w:ascii="Times New Roman" w:cs="Times New Roman" w:eastAsia="Times New Roman" w:hAnsi="Times New Roman"/>
          <w:sz w:val="16"/>
          <w:szCs w:val="16"/>
          <w:i w:val="1"/>
          <w:iCs w:val="1"/>
          <w:color w:val="auto"/>
        </w:rPr>
        <w:t xml:space="preserve">The omission to report these contributions and the authorization of contributions by its subsidiaries for years involves the concealment of information from the defendant entity, turning a serious infraction (omission) into a very serious one (concealment). The present judgment includes the essential and determining assessments that justify the decision. </w:t>
      </w:r>
      <w:r>
        <w:rPr>
          <w:rFonts w:ascii="Times New Roman" w:cs="Times New Roman" w:eastAsia="Times New Roman" w:hAnsi="Times New Roman"/>
          <w:sz w:val="16"/>
          <w:szCs w:val="16"/>
          <w:color w:val="auto"/>
        </w:rPr>
        <w:t>Therefore,</w:t>
      </w:r>
      <w:r>
        <w:rPr>
          <w:rFonts w:ascii="Times New Roman" w:cs="Times New Roman" w:eastAsia="Times New Roman" w:hAnsi="Times New Roman"/>
          <w:sz w:val="16"/>
          <w:szCs w:val="16"/>
          <w:i w:val="1"/>
          <w:iCs w:val="1"/>
          <w:color w:val="auto"/>
        </w:rPr>
        <w:t xml:space="preserve"> “there is no indication that the determination of liability or the graduation of the sanction established by the challenged Deputy Superintendency Resolution N.° 012</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2021</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SMV/02 (pages 1261–1430 of the accompanying record) dated March 5, 2021, falls under any grounds for nullity established in Article 10 of the General Administrative Procedure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TWELFTH: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its</w:t>
      </w:r>
      <w:r>
        <w:rPr>
          <w:rFonts w:ascii="Times New Roman" w:cs="Times New Roman" w:eastAsia="Times New Roman" w:hAnsi="Times New Roman"/>
          <w:sz w:val="16"/>
          <w:szCs w:val="16"/>
          <w:b w:val="1"/>
          <w:bCs w:val="1"/>
          <w:color w:val="auto"/>
        </w:rPr>
        <w:t xml:space="preserve"> appeal brief</w:t>
      </w:r>
      <w:r>
        <w:rPr>
          <w:rFonts w:ascii="Times New Roman" w:cs="Times New Roman" w:eastAsia="Times New Roman" w:hAnsi="Times New Roman"/>
          <w:sz w:val="16"/>
          <w:szCs w:val="16"/>
          <w:color w:val="auto"/>
        </w:rPr>
        <w:t>, the appellant argues that the judgment violates the right to due motivation of judicial decisions.</w:t>
      </w:r>
    </w:p>
    <w:p>
      <w:pPr>
        <w:spacing w:after="0" w:line="20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Given this context, in addressing the grievances raised by the appellant regarding the alleged violation of Article 139, subsections 3 and 5 of the Political Constitution of Peru, such grievances cannot be upheld. The arguments put forth by the claimant are aimed at questioning the analysis and evaluative criteria applied by the Court. Accordingly:</w:t>
      </w: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Regarding the alleged violation due to </w:t>
      </w:r>
      <w:r>
        <w:rPr>
          <w:rFonts w:ascii="Times New Roman" w:cs="Times New Roman" w:eastAsia="Times New Roman" w:hAnsi="Times New Roman"/>
          <w:sz w:val="16"/>
          <w:szCs w:val="16"/>
          <w:b w:val="1"/>
          <w:bCs w:val="1"/>
          <w:color w:val="auto"/>
        </w:rPr>
        <w:t>lack of internal reasoning and logical defects</w:t>
      </w:r>
      <w:r>
        <w:rPr>
          <w:rFonts w:ascii="Times New Roman" w:cs="Times New Roman" w:eastAsia="Times New Roman" w:hAnsi="Times New Roman"/>
          <w:sz w:val="16"/>
          <w:szCs w:val="16"/>
          <w:color w:val="auto"/>
        </w:rPr>
        <w:t xml:space="preserve">, deficiencies in </w:t>
      </w:r>
      <w:r>
        <w:rPr>
          <w:rFonts w:ascii="Times New Roman" w:cs="Times New Roman" w:eastAsia="Times New Roman" w:hAnsi="Times New Roman"/>
          <w:sz w:val="16"/>
          <w:szCs w:val="16"/>
          <w:b w:val="1"/>
          <w:bCs w:val="1"/>
          <w:color w:val="auto"/>
        </w:rPr>
        <w:t>external motivation affecting the right to evidence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and apparent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motivation. </w:t>
      </w:r>
      <w:r>
        <w:rPr>
          <w:rFonts w:ascii="Times New Roman" w:cs="Times New Roman" w:eastAsia="Times New Roman" w:hAnsi="Times New Roman"/>
          <w:sz w:val="16"/>
          <w:szCs w:val="16"/>
          <w:color w:val="auto"/>
        </w:rPr>
        <w:t>The challenged judgment shows that the Court developed its decision logically and coherently, based on the evidence submitted in the proceedings and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applicable law. This is verified in paragraphs 13 to 18 of the judgment. The Superior Court concluded that the plaintiff company is an issuer of securities listed on the Peruvian Stock Exchange and is therefore required to disclose relevant facts that may influence investment decisions under Article 28 of the Securities Market Law.</w:t>
      </w:r>
    </w:p>
    <w:p>
      <w:pPr>
        <w:spacing w:after="0" w:line="16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obligation to disclose relevant information is essential for market transparency, and failure to do so negatively affects investor confidence. Therefore, the appellant company should have provided timely information regarding facts that may impact investors’ decisions, such as political events or changes in economic policies. Political changes—such as a change in government or new Central Bank policies—can generate market volatility, affecting issuing companies either positively or negatively.</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For this reason, investors must have access to all relevant information concerning the involvement of such companies in political campaigns, as this information may create trading opportunities and influence market trends. In this case, the political contributions made by the plaintiff company, as well as the agreement with its subsidiaries to make such contributions, were not timely communicated to the SMV, despite their significant relevance to the securities market. It is deduced that this information was kept concealed for several years and came to light only after more than eight and three years, respectively, turning the omission into a </w:t>
      </w:r>
      <w:r>
        <w:rPr>
          <w:rFonts w:ascii="Times New Roman" w:cs="Times New Roman" w:eastAsia="Times New Roman" w:hAnsi="Times New Roman"/>
          <w:sz w:val="16"/>
          <w:szCs w:val="16"/>
          <w:i w:val="1"/>
          <w:iCs w:val="1"/>
          <w:color w:val="auto"/>
        </w:rPr>
        <w:t>very serious infraction</w:t>
      </w:r>
      <w:r>
        <w:rPr>
          <w:rFonts w:ascii="Times New Roman" w:cs="Times New Roman" w:eastAsia="Times New Roman" w:hAnsi="Times New Roman"/>
          <w:sz w:val="16"/>
          <w:szCs w:val="16"/>
          <w:color w:val="auto"/>
        </w:rPr>
        <w:t>, as the failure to disclose such information affected market transparency.</w:t>
      </w:r>
    </w:p>
    <w:p>
      <w:pPr>
        <w:spacing w:after="0" w:line="16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b w:val="1"/>
          <w:bCs w:val="1"/>
          <w:u w:val="single" w:color="auto"/>
          <w:color w:val="auto"/>
        </w:rPr>
        <w:t>THIRTEENTH: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Additionally, the Superior Court determined that the plaintiff company should have disclosed these facts as relevant information in a timely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appropriate manner, in accordance with securities market regulations.</w:t>
      </w:r>
    </w:p>
    <w:p>
      <w:pPr>
        <w:spacing w:after="0" w:line="14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Court also found contradictions in the arguments presented in the complaint. On one hand, it is asserted that the facts were not important; yet on the other hand, it is acknowledged that the company should be sanctioned for not having reported the facts promptly. This indicates that the claimant recognizes that the concealed information was indeed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46290"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6" w:name="page187"/>
    <w:bookmarkEnd w:id="186"/>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Therefore, it is clear that the Superior Court adequately supported its decision. No violation is observed regarding lack of internal motivation, logical defects in reasoning, deficiencies in external motivation affecting the right to evidence, or apparent motivation.</w:t>
      </w:r>
    </w:p>
    <w:p>
      <w:pPr>
        <w:spacing w:after="0" w:line="14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b w:val="1"/>
          <w:bCs w:val="1"/>
          <w:u w:val="single" w:color="auto"/>
          <w:color w:val="auto"/>
        </w:rPr>
        <w:t>FOURTEENTH: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Consequently, the Superintendency of Securities Market (SMV) is indeed responsible for regulating and supervising aspects that affect the transparency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and efficiency of the securities market, including information relevant to investors. Although the SMV does not directly regulate contributions to political parties, it </w:t>
      </w:r>
      <w:r>
        <w:rPr>
          <w:rFonts w:ascii="Times New Roman" w:cs="Times New Roman" w:eastAsia="Times New Roman" w:hAnsi="Times New Roman"/>
          <w:sz w:val="16"/>
          <w:szCs w:val="16"/>
          <w:i w:val="1"/>
          <w:iCs w:val="1"/>
          <w:color w:val="auto"/>
        </w:rPr>
        <w:t>does</w:t>
      </w:r>
      <w:r>
        <w:rPr>
          <w:rFonts w:ascii="Times New Roman" w:cs="Times New Roman" w:eastAsia="Times New Roman" w:hAnsi="Times New Roman"/>
          <w:sz w:val="16"/>
          <w:szCs w:val="16"/>
          <w:color w:val="auto"/>
        </w:rPr>
        <w:t xml:space="preserve"> require the disclosure of relevant information from listed companies, which may include such contributions if they affect the company’s finances or value, in order to protect investors.</w:t>
      </w:r>
    </w:p>
    <w:p>
      <w:pPr>
        <w:spacing w:after="0" w:line="15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 xml:space="preserve">One of the functions of the SMV is to </w:t>
      </w:r>
      <w:r>
        <w:rPr>
          <w:rFonts w:ascii="Times New Roman" w:cs="Times New Roman" w:eastAsia="Times New Roman" w:hAnsi="Times New Roman"/>
          <w:sz w:val="16"/>
          <w:szCs w:val="16"/>
          <w:b w:val="1"/>
          <w:bCs w:val="1"/>
          <w:color w:val="auto"/>
        </w:rPr>
        <w:t>safeguard investor protection, market efficiency and transparency</w:t>
      </w:r>
      <w:r>
        <w:rPr>
          <w:rFonts w:ascii="Times New Roman" w:cs="Times New Roman" w:eastAsia="Times New Roman" w:hAnsi="Times New Roman"/>
          <w:sz w:val="16"/>
          <w:szCs w:val="16"/>
          <w:color w:val="auto"/>
        </w:rPr>
        <w:t xml:space="preserve">, including proper price formation and the disclosure of information. This includes </w:t>
      </w:r>
      <w:r>
        <w:rPr>
          <w:rFonts w:ascii="Times New Roman" w:cs="Times New Roman" w:eastAsia="Times New Roman" w:hAnsi="Times New Roman"/>
          <w:sz w:val="16"/>
          <w:szCs w:val="16"/>
          <w:b w:val="1"/>
          <w:bCs w:val="1"/>
          <w:color w:val="auto"/>
        </w:rPr>
        <w:t>information for Investors:</w:t>
      </w:r>
      <w:r>
        <w:rPr>
          <w:rFonts w:ascii="Times New Roman" w:cs="Times New Roman" w:eastAsia="Times New Roman" w:hAnsi="Times New Roman"/>
          <w:sz w:val="16"/>
          <w:szCs w:val="16"/>
          <w:color w:val="auto"/>
        </w:rPr>
        <w:t xml:space="preserve"> If a publicly traded company makes significant contributions to political organizations, and such information is material (i.e., capable of influencing investment decisions), the SMV would require public disclosure as part of the financial and corporate information that listed companies must provide, and regarding t</w:t>
      </w:r>
      <w:r>
        <w:rPr>
          <w:rFonts w:ascii="Times New Roman" w:cs="Times New Roman" w:eastAsia="Times New Roman" w:hAnsi="Times New Roman"/>
          <w:sz w:val="16"/>
          <w:szCs w:val="16"/>
          <w:b w:val="1"/>
          <w:bCs w:val="1"/>
          <w:color w:val="auto"/>
        </w:rPr>
        <w:t>ransparency:</w:t>
      </w:r>
      <w:r>
        <w:rPr>
          <w:rFonts w:ascii="Times New Roman" w:cs="Times New Roman" w:eastAsia="Times New Roman" w:hAnsi="Times New Roman"/>
          <w:sz w:val="16"/>
          <w:szCs w:val="16"/>
          <w:color w:val="auto"/>
        </w:rPr>
        <w:t xml:space="preserve"> The goal is to ensure that investors have all necessary information to assess risks and opportunities, avoiding information asymmetries.</w:t>
      </w:r>
    </w:p>
    <w:p>
      <w:pPr>
        <w:spacing w:after="0" w:line="35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Therefore, while the SMV does not regulate political party financing, it does regulate the </w:t>
      </w:r>
      <w:r>
        <w:rPr>
          <w:rFonts w:ascii="Times New Roman" w:cs="Times New Roman" w:eastAsia="Times New Roman" w:hAnsi="Times New Roman"/>
          <w:sz w:val="16"/>
          <w:szCs w:val="16"/>
          <w:b w:val="1"/>
          <w:bCs w:val="1"/>
          <w:color w:val="auto"/>
        </w:rPr>
        <w:t>information</w:t>
      </w:r>
      <w:r>
        <w:rPr>
          <w:rFonts w:ascii="Times New Roman" w:cs="Times New Roman" w:eastAsia="Times New Roman" w:hAnsi="Times New Roman"/>
          <w:sz w:val="16"/>
          <w:szCs w:val="16"/>
          <w:color w:val="auto"/>
        </w:rPr>
        <w:t xml:space="preserve"> that companies participating in the securities market must disclose regarding their activities, including those that may affect their value and, consequently, citizens’ investments.</w:t>
      </w:r>
    </w:p>
    <w:p>
      <w:pPr>
        <w:spacing w:after="0" w:line="13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b w:val="1"/>
          <w:bCs w:val="1"/>
          <w:u w:val="single" w:color="auto"/>
          <w:color w:val="auto"/>
        </w:rPr>
        <w:t>FIFTEENTH: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Regarding the grievance raised under the subsidiary claim concerning the</w:t>
      </w:r>
      <w:r>
        <w:rPr>
          <w:rFonts w:ascii="Times New Roman" w:cs="Times New Roman" w:eastAsia="Times New Roman" w:hAnsi="Times New Roman"/>
          <w:sz w:val="16"/>
          <w:szCs w:val="16"/>
          <w:b w:val="1"/>
          <w:bCs w:val="1"/>
          <w:color w:val="auto"/>
        </w:rPr>
        <w:t xml:space="preserve"> violation of the principles of legality and specificity</w:t>
      </w:r>
      <w:r>
        <w:rPr>
          <w:rFonts w:ascii="Times New Roman" w:cs="Times New Roman" w:eastAsia="Times New Roman" w:hAnsi="Times New Roman"/>
          <w:sz w:val="16"/>
          <w:szCs w:val="16"/>
          <w:color w:val="auto"/>
        </w:rPr>
        <w:t>, it appears that the Superior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Court, in paragraphs 16 to 18 of the challenged judgment, addressed these principles. Specifically, paragraphs 17 and 18 state the following:</w:t>
      </w:r>
    </w:p>
    <w:p>
      <w:pPr>
        <w:spacing w:after="0" w:line="136"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17.</w:t>
      </w:r>
      <w:r>
        <w:rPr>
          <w:rFonts w:ascii="Times New Roman" w:cs="Times New Roman" w:eastAsia="Times New Roman" w:hAnsi="Times New Roman"/>
          <w:sz w:val="16"/>
          <w:szCs w:val="16"/>
          <w:i w:val="1"/>
          <w:iCs w:val="1"/>
          <w:color w:val="auto"/>
        </w:rPr>
        <w:t xml:space="preserve"> Additionally, it should be noted that subsections 1.6 and 1.5 of numeral 1 of Annex I of the ‘Regulations on Sanctions for Infractions to the Securities Market, Investment Funds and their Management Companies, Commodities Exchange, and Collective Fund Management Companies, as well as their Regulatory Standards,’ in force at the time the infringing conduct occurred, establish that it constitutes a very serious infraction to: ‘Carry out any act, omission, practice, or conduct that undermines the integrity or transparency of the market.’ Regarding this point, it is agreed that these important facts, which had significant repercussions in the securities market, could have been disclosed within the day following the contribution and the agreement for contributions by subsidiaries, or at least within a reasonable period. Had this occurred, such omissions could have been considered a serious infraction: ‘Failure to disclose important facts that have significant repercussions in the market.’ However, the plaintiff company not only failed to disclose this relevant information to investors, but also kept it hidden from the defendant entity for several years, until these omissions—after more than 8 and 3 years—came to light. This concealment constitutes a very serious infraction, as it prevented the defendant entity from timely taking measures to protect investors, as the supervisor of the securities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7146290"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7" w:name="page188"/>
    <w:bookmarkEnd w:id="187"/>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18</w:t>
      </w:r>
      <w:r>
        <w:rPr>
          <w:rFonts w:ascii="Times New Roman" w:cs="Times New Roman" w:eastAsia="Times New Roman" w:hAnsi="Times New Roman"/>
          <w:sz w:val="16"/>
          <w:szCs w:val="16"/>
          <w:i w:val="1"/>
          <w:iCs w:val="1"/>
          <w:color w:val="auto"/>
        </w:rPr>
        <w:t>. It should also be added that the Chairman of the Board of Credicorp stated that such contributions have an impact on the organization and the opinion of 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stakeholders (Credicorp Annual Report 2019). Therefore, the concrete issue is not merely the omission classified as a serious infraction: ‘Failure to disclose important facts that have significant repercussions in the market’ (2.14, numeral 2 of Annex I of the ‘Regulations on Sanctions for Infractions to the Securities Market, Investment Funds and their Management Companies, Commodities Exchange, and Collective Fund Management Companies, as well as their Regulatory Standards’), which the plaintiff company requested be applied instead. Rather, due to the passage of time, these omissions were validly considered as concealment, turning them into a very serious infraction: ‘Carrying out any act, omission, practice, or conduct that undermines the integrity or transparency of the market’. It is due to this concealment before the defendant entity that the conduct falls within the type of infraction described by the administration, whose purpose (public value) is to safeguard market transparency and investor protection. Therefore, the Court agrees with the defendant entity that the elements of the infraction (act, omission, practice, or conduct affecting market transparency) include, as a substantive component, a conduct of concealment carried out by the plaintiff company over time, which was only revealed due to inquiries made by the Public Prosecutor’s Office.</w:t>
      </w:r>
    </w:p>
    <w:p>
      <w:pPr>
        <w:spacing w:after="0" w:line="16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Consequently, the company failed to inform the area in charge of risk management, there are no reports regarding the assessment of the risk management system concerning the 2011 contribution and the 2016 subsidiary contribution agreement, nor was Internal Audit or Risk Management informed. It must be reiterated that the information not submitted for more than eight and three years was disclosed only due to the request made by the defendant entity and due to the public statements of November 22, 2019 before the Public Prosecutor’s Office. For these reasons, these facts were validly classified by the defendant entity as conduct constituting concealment before the supervisory body (very serious infraction).</w:t>
      </w:r>
    </w:p>
    <w:p>
      <w:pPr>
        <w:spacing w:after="0" w:line="16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6"/>
          <w:szCs w:val="16"/>
          <w:i w:val="1"/>
          <w:iCs w:val="1"/>
          <w:color w:val="auto"/>
        </w:rPr>
        <w:t>If the company had merely failed to exercise due diligence (voluntary but late submission), it would have constituted a serious infraction: ‘Failure to disclose important facts that have significant repercussions in the market’ (2.14, numeral 2 of Annex I of the Regulations on Sanctions for Infractions to the Securities Market, Investment Funds and their Management Companies, Commodities Exchange, and Collective Fund Management Companies, as well as their Regulatory Standards).</w:t>
      </w:r>
    </w:p>
    <w:p>
      <w:pPr>
        <w:spacing w:after="0" w:line="3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i w:val="1"/>
          <w:iCs w:val="1"/>
          <w:color w:val="auto"/>
        </w:rPr>
        <w:t>However, the failure to disclose the information, regardless of any intention behind the concealment, constitutes a very serious infraction. Therefore, there is no incorrect classification of the facts under the legal standard (subsumption). It should be added that compliance consists of establishing adequate and sufficient policies and procedures to ensure that a company—including its executives, employees, and related agents—complies with the applicable regulatory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209550</wp:posOffset>
            </wp:positionV>
            <wp:extent cx="7146290"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680"/>
          </w:cols>
          <w:pgMar w:left="900" w:top="119" w:right="319" w:bottom="1440" w:gutter="0" w:footer="0" w:header="0"/>
        </w:sectPr>
      </w:pPr>
    </w:p>
    <w:bookmarkStart w:id="188" w:name="page189"/>
    <w:bookmarkEnd w:id="188"/>
    <w:p>
      <w:pPr>
        <w:jc w:val="both"/>
        <w:ind w:right="20"/>
        <w:spacing w:after="0" w:line="257" w:lineRule="auto"/>
        <w:rPr>
          <w:sz w:val="20"/>
          <w:szCs w:val="20"/>
          <w:color w:val="auto"/>
        </w:rPr>
      </w:pPr>
      <w:r>
        <w:rPr>
          <w:rFonts w:ascii="Times New Roman" w:cs="Times New Roman" w:eastAsia="Times New Roman" w:hAnsi="Times New Roman"/>
          <w:sz w:val="16"/>
          <w:szCs w:val="16"/>
          <w:b w:val="1"/>
          <w:bCs w:val="1"/>
          <w:u w:val="single" w:color="auto"/>
          <w:color w:val="auto"/>
        </w:rPr>
        <w:t>SIXTEENTH: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highlight w:val="white"/>
        </w:rPr>
        <w:t>Consequently, this concealment of information, and in accordance with the provisions of subsections 1.6 and 1.5 of numeral 1 of Annex I of the “Regulations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Sanctions for Infractions to the Securities Market Laws, Investment Funds and their Management Companies, Commodities Exchange, Collective Fund Management Companies, as well as their Regulatory Standards,” and due to the passage of time, the omissions committed were considered concealment, which becomes a very serious infraction under the applicable regulations. In this case, the company involved concealed information from the competent entity, which falls under the infraction identified by the defendant administration. The purpose of this regulation is to protect transparency in the securities market and investors. The concealment conduct by the company was substantive and prolonged over time, becoming known only after inquiries made by the Public Prosecutor’s Office. As a result, the company did not timely inform the area responsible for the risk management system, nor did it provide a report on the assessment of such system in relation to the 2011 contributions or the 2016 subsidiary contribution agreement. Furthermore, no communication was made to the Internal Audit or Risk Management areas regarding these actions. Therefore, the classification of the infraction as very serious is in accordance with the principle of legality, since the amount of the imposed sanction falls within the limits permitted by the previously cited legal rules, without evidence of any violation thereof, as alleged by the appellant. Accordingly, this grievance must be dismissed.</w:t>
      </w:r>
    </w:p>
    <w:p>
      <w:pPr>
        <w:spacing w:after="0" w:line="1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b w:val="1"/>
          <w:bCs w:val="1"/>
          <w:u w:val="single" w:color="auto"/>
          <w:color w:val="auto"/>
        </w:rPr>
        <w:t>SEVENTEENTH: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highlight w:val="white"/>
        </w:rPr>
        <w:t>Regarding the grievance raised under the subsidiary claim concerning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color w:val="auto"/>
          <w:highlight w:val="white"/>
        </w:rPr>
        <w:t>violation of the principle of predictability</w:t>
      </w:r>
      <w:r>
        <w:rPr>
          <w:rFonts w:ascii="Times New Roman" w:cs="Times New Roman" w:eastAsia="Times New Roman" w:hAnsi="Times New Roman"/>
          <w:sz w:val="16"/>
          <w:szCs w:val="16"/>
          <w:color w:val="auto"/>
          <w:highlight w:val="white"/>
        </w:rPr>
        <w:t>; it must be taken into account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this principle “requires that the Public Administration and the courts act with </w:t>
      </w:r>
      <w:r>
        <w:rPr>
          <w:rFonts w:ascii="Times New Roman" w:cs="Times New Roman" w:eastAsia="Times New Roman" w:hAnsi="Times New Roman"/>
          <w:sz w:val="16"/>
          <w:szCs w:val="16"/>
          <w:b w:val="1"/>
          <w:bCs w:val="1"/>
          <w:color w:val="auto"/>
        </w:rPr>
        <w:t>coherence and regularity</w:t>
      </w:r>
      <w:r>
        <w:rPr>
          <w:rFonts w:ascii="Times New Roman" w:cs="Times New Roman" w:eastAsia="Times New Roman" w:hAnsi="Times New Roman"/>
          <w:sz w:val="16"/>
          <w:szCs w:val="16"/>
          <w:color w:val="auto"/>
        </w:rPr>
        <w:t xml:space="preserve">, allowing citizens to reasonably foresee the legal consequences of their actions, avoiding arbitrariness and ensuring </w:t>
      </w:r>
      <w:r>
        <w:rPr>
          <w:rFonts w:ascii="Times New Roman" w:cs="Times New Roman" w:eastAsia="Times New Roman" w:hAnsi="Times New Roman"/>
          <w:sz w:val="16"/>
          <w:szCs w:val="16"/>
          <w:b w:val="1"/>
          <w:bCs w:val="1"/>
          <w:color w:val="auto"/>
        </w:rPr>
        <w:t>legitimate trust</w:t>
      </w:r>
      <w:r>
        <w:rPr>
          <w:rFonts w:ascii="Times New Roman" w:cs="Times New Roman" w:eastAsia="Times New Roman" w:hAnsi="Times New Roman"/>
          <w:sz w:val="16"/>
          <w:szCs w:val="16"/>
          <w:color w:val="auto"/>
        </w:rPr>
        <w:t xml:space="preserve"> that there will be no abrupt and unjustified changes in criteria, based on legal certainty so that the administrated parties know in advance the outcome of their procedures.” In this regard, the Superior Court, in paragraph 19 of the challenged judgment, stated:</w:t>
      </w:r>
    </w:p>
    <w:p>
      <w:pPr>
        <w:spacing w:after="0" w:line="157"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19.</w:t>
      </w:r>
      <w:r>
        <w:rPr>
          <w:rFonts w:ascii="Times New Roman" w:cs="Times New Roman" w:eastAsia="Times New Roman" w:hAnsi="Times New Roman"/>
          <w:sz w:val="16"/>
          <w:szCs w:val="16"/>
          <w:i w:val="1"/>
          <w:iCs w:val="1"/>
          <w:color w:val="auto"/>
        </w:rPr>
        <w:t xml:space="preserve"> As for predictability, regarding the attribution and sanction imposed on the sugar company Andahuasi under subsection 2.14, numeral 2 of Annex 1 of the Sanctioning Regulations for ‘Failure to disclose important facts that have significant repercussions on the market’ and the failure to report events that occurred in 2009, as reflected in Deputy Superintendency Resolution SMV N.° 169-2015-SMV/11 (pp. 979-986 of the main file); in this case, the principle of predictability or legitimate trust establishes that ‘The administrative authority provides the administrated parties or their representatives with truthful, complete, and reliable information regarding each procedure under its responsibility, so that, at all times, the administrated party may have a clear understanding of the requirements, procedures, estimated duration, and possible outcomes. The actions of the administrative authority must be consistent with the legitimate expectations reasonably generated by administrative practice and precedent, unless, for reasons explicitly stated in writing, it decides to depart from them. The administrative authority must comply with the prevailing legal system and cannot act arbitrarily. Therefore, the administrative authority cannot change the interpretation of applicable rules in an unreasonable or unjustified manner’ (subsection 1.15 of Article IV of the Preliminary Title of the General Administrative Procedure Act). Application of this principle involves that the provision of any information to citizens regarding procedural sequences, administrative competencies, processing fees or duties, prior administrative criteria, among others, allows citizens to anticipate and plan their activities. For this reason, such information must be reliable, and this is possible only if no important data is concealed, or if it is not outdated or simply inaccurate. For this purpose, the LPAG incorporated certain rules that reinforce predictability through precedents (Article VI of the Preliminary Title of the Unified LPAG), the delimitation of discretion for classifying procedures in the TUPA (Articles 32 et seq. of the Unified Text of the LPAG), the notification of applicable remedies and indication of whether administrative channels are exhausted (Article 24 of the Unified Text of the LPAG), the publication of non-working days for the Public Administration (Article 146 of the Unified Text of the LPAG), the disclosure of requirements and other procedural rules in the TUPA, etc. Therefore, the outcome of a potential judicial review of the sanction is not proven in the record, nor is it appropriate to analyze this matter in the present process. Regardless of the above, </w:t>
      </w:r>
      <w:r>
        <w:rPr>
          <w:rFonts w:ascii="Times New Roman" w:cs="Times New Roman" w:eastAsia="Times New Roman" w:hAnsi="Times New Roman"/>
          <w:sz w:val="16"/>
          <w:szCs w:val="16"/>
          <w:b w:val="1"/>
          <w:bCs w:val="1"/>
          <w:i w:val="1"/>
          <w:iCs w:val="1"/>
          <w:color w:val="auto"/>
        </w:rPr>
        <w:t>it is not possible to argue legitimate expectations for companies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of different activities and scopes, as it is unreasonable to compare entities dedicated to the sugar business with a financial institution that is accessible to a larger number of users and with greater investment expectations; a similar situation applies to Industria Textil Piura</w:t>
      </w:r>
      <w:r>
        <w:rPr>
          <w:rFonts w:ascii="Times New Roman" w:cs="Times New Roman" w:eastAsia="Times New Roman" w:hAnsi="Times New Roman"/>
          <w:sz w:val="16"/>
          <w:szCs w:val="16"/>
          <w:i w:val="1"/>
          <w:iCs w:val="1"/>
          <w:color w:val="auto"/>
        </w:rPr>
        <w:t>, cited by the plaintiff, as reflected in Deputy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Superintendency Resolution SMV N.° 033-2019-SMV/11 (pp. 988-994 of the main file). Moreover, invoking the principle of predictability in the present case of review of an administrative sanctioning procedure would distort this principle, as it is meant to allow citizens to plan their activities based on information obtained from the administration, but for lawful actions; otherwise, this principle would encourage the commission of infractions (i.e., committing conduct classified as serious rather than very serious), which is illogical.” (emphasis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146290"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9" w:name="page190"/>
    <w:bookmarkEnd w:id="189"/>
    <w:p>
      <w:pPr>
        <w:jc w:val="both"/>
        <w:ind w:left="3" w:right="20"/>
        <w:spacing w:after="0" w:line="257" w:lineRule="auto"/>
        <w:rPr>
          <w:sz w:val="20"/>
          <w:szCs w:val="20"/>
          <w:color w:val="auto"/>
        </w:rPr>
      </w:pPr>
      <w:r>
        <w:rPr>
          <w:rFonts w:ascii="Times New Roman" w:cs="Times New Roman" w:eastAsia="Times New Roman" w:hAnsi="Times New Roman"/>
          <w:sz w:val="16"/>
          <w:szCs w:val="16"/>
          <w:b w:val="1"/>
          <w:bCs w:val="1"/>
          <w:u w:val="single" w:color="auto"/>
          <w:color w:val="auto"/>
        </w:rPr>
        <w:t>EIGHTEENTH: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supported by the Superior Court: “</w:t>
      </w:r>
      <w:r>
        <w:rPr>
          <w:rFonts w:ascii="Times New Roman" w:cs="Times New Roman" w:eastAsia="Times New Roman" w:hAnsi="Times New Roman"/>
          <w:sz w:val="16"/>
          <w:szCs w:val="16"/>
          <w:b w:val="1"/>
          <w:bCs w:val="1"/>
          <w:color w:val="auto"/>
        </w:rPr>
        <w:t>it is not possible to argue legitimate expectations in companies with different activities and scopes, since it is not reasonable to compare situations of persons engaged in the sugar business with those of a financial entity that is accessible to a larger number of users and with greater investment expectations; a similar situation can be argued regarding Industria Textil Piura</w:t>
      </w:r>
      <w:r>
        <w:rPr>
          <w:rFonts w:ascii="Times New Roman" w:cs="Times New Roman" w:eastAsia="Times New Roman" w:hAnsi="Times New Roman"/>
          <w:sz w:val="16"/>
          <w:szCs w:val="16"/>
          <w:color w:val="auto"/>
        </w:rPr>
        <w:t>”; therefore, the appellant cannot seek to equate its case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previous sanctions imposed by the SMV on other companies with different activities and scopes. Although the SMV should not issue completely opposite decisions in identical cases and must maintain a consistent interpretative line in accordance with the principle of predictability, such circumstance does not arise in the present case, since the plaintiff, Empresa Agraria Azucarera Andahuasi, and Industria Textil Piura have different activities, and such companies do not have the scope or the same expectations as a banking or financial entity. Therefore, the same criterion cannot be applied when classifying the infraction committed by the plaintiff. Consequently, the appellant cannot claim that failure to apply the principle of predictability in the present case amounts to a violation of the prohibition of abuse of rights and abuse of power, or of the principle of impartiality, which is not true according to the analysis above; thus, the arguments analyzed must be dismissed.</w:t>
      </w:r>
    </w:p>
    <w:p>
      <w:pPr>
        <w:spacing w:after="0" w:line="169" w:lineRule="exact"/>
        <w:rPr>
          <w:sz w:val="20"/>
          <w:szCs w:val="20"/>
          <w:color w:val="auto"/>
        </w:rPr>
      </w:pPr>
    </w:p>
    <w:p>
      <w:pPr>
        <w:jc w:val="both"/>
        <w:ind w:left="3"/>
        <w:spacing w:after="0" w:line="243" w:lineRule="auto"/>
        <w:rPr>
          <w:sz w:val="20"/>
          <w:szCs w:val="20"/>
          <w:color w:val="auto"/>
        </w:rPr>
      </w:pPr>
      <w:r>
        <w:rPr>
          <w:rFonts w:ascii="Times New Roman" w:cs="Times New Roman" w:eastAsia="Times New Roman" w:hAnsi="Times New Roman"/>
          <w:sz w:val="16"/>
          <w:szCs w:val="16"/>
          <w:b w:val="1"/>
          <w:bCs w:val="1"/>
          <w:u w:val="single" w:color="auto"/>
          <w:color w:val="auto"/>
        </w:rPr>
        <w:t>NINETEENTH: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highlight w:val="white"/>
        </w:rPr>
        <w:t>Regarding the grievance that the Superior Court erred in concluding that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highlight w:val="yellow"/>
        </w:rPr>
        <w:t>SMV’s authority to sanction Credicorp has not prescribed</w:t>
      </w:r>
      <w:r>
        <w:rPr>
          <w:rFonts w:ascii="Times New Roman" w:cs="Times New Roman" w:eastAsia="Times New Roman" w:hAnsi="Times New Roman"/>
          <w:sz w:val="16"/>
          <w:szCs w:val="16"/>
          <w:color w:val="auto"/>
          <w:highlight w:val="white"/>
        </w:rPr>
        <w:t>, the Superior Court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analyzed the different types of infractions, as this classification leads to important legal consequences, especially regarding the beginning of the statute of limitations period, but also to determine the applicable rule for the specific case. The Court concluded that the infraction committed by the appellant is of a </w:t>
      </w:r>
      <w:r>
        <w:rPr>
          <w:rFonts w:ascii="Times New Roman" w:cs="Times New Roman" w:eastAsia="Times New Roman" w:hAnsi="Times New Roman"/>
          <w:sz w:val="16"/>
          <w:szCs w:val="16"/>
          <w:color w:val="auto"/>
          <w:highlight w:val="yellow"/>
        </w:rPr>
        <w:t>permanent nature, and not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yellow"/>
        </w:rPr>
        <w:t>instantaneous as alleged by the appellant, given that</w:t>
      </w:r>
      <w:r>
        <w:rPr>
          <w:rFonts w:ascii="Times New Roman" w:cs="Times New Roman" w:eastAsia="Times New Roman" w:hAnsi="Times New Roman"/>
          <w:sz w:val="16"/>
          <w:szCs w:val="16"/>
          <w:color w:val="auto"/>
        </w:rPr>
        <w:t>: “According to the foregoing, the contribution made in the 2011 presidential campaign and the agreement for</w:t>
      </w:r>
      <w:r>
        <w:rPr>
          <w:rFonts w:ascii="Times New Roman" w:cs="Times New Roman" w:eastAsia="Times New Roman" w:hAnsi="Times New Roman"/>
          <w:sz w:val="16"/>
          <w:szCs w:val="16"/>
          <w:color w:val="auto"/>
          <w:highlight w:val="yellow"/>
        </w:rPr>
        <w:t xml:space="preserve"> </w:t>
      </w:r>
      <w:r>
        <w:rPr>
          <w:rFonts w:ascii="Times New Roman" w:cs="Times New Roman" w:eastAsia="Times New Roman" w:hAnsi="Times New Roman"/>
          <w:sz w:val="16"/>
          <w:szCs w:val="16"/>
          <w:color w:val="auto"/>
        </w:rPr>
        <w:t>contributions by subsidiaries for the 2016 presidential campaign cannot be considered as the starting point for the computation of the statute of limitations period, as these are permanent infractions. The conduct constituting the infraction by the plaintiff company (concealment of information) continued after the contributions and the agreement, which is consistent with Cassation N.° 23624-2017 LIMA, which established that: “Thus, doctrine indicates that an infraction is permanent when the administrated party remains in an infringing situation, the maintenance of which is attributable to it. In this manner, the illicit act continues to be committed, the infraction continues and is prolonged until the unlawful situation is abandoned; therefore, as the infraction in question is permanent, the statute of limitations begins when the infringing situation ceases, because until that moment the infraction has continued to be committed, in accordance with Article 233.2 of the Unified Text of Law N.° 27444, General Administrative Procedure Act”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a criterion that this Supreme Panel shares, since the conduct constituting the infraction by the plaintiff company (concealment of information) continued after the contributions and the agreement, maintaining </w:t>
      </w:r>
      <w:r>
        <w:rPr>
          <w:rFonts w:ascii="Times New Roman" w:cs="Times New Roman" w:eastAsia="Times New Roman" w:hAnsi="Times New Roman"/>
          <w:sz w:val="16"/>
          <w:szCs w:val="16"/>
          <w:color w:val="auto"/>
          <w:highlight w:val="yellow"/>
        </w:rPr>
        <w:t>a permanent infringing situation until the moment</w:t>
      </w:r>
      <w:r>
        <w:rPr>
          <w:rFonts w:ascii="Times New Roman" w:cs="Times New Roman" w:eastAsia="Times New Roman" w:hAnsi="Times New Roman"/>
          <w:sz w:val="16"/>
          <w:szCs w:val="16"/>
          <w:color w:val="auto"/>
        </w:rPr>
        <w:t xml:space="preserve"> it reported due to repeated requests from the Public Prosecutor’s Office, thus the concealment infraction continued to be committed. Therefore, the infraction attributed to the appellant has not prescribed, and the grievance must be dismissed.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1426210"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426210" cy="1524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03" w:hanging="103"/>
        <w:spacing w:after="0"/>
        <w:tabs>
          <w:tab w:leader="none" w:pos="103" w:val="left"/>
        </w:tabs>
        <w:numPr>
          <w:ilvl w:val="0"/>
          <w:numId w:val="2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final part of paragraph 22 of the appellate judgment under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146290"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1" w:right="319" w:bottom="1440" w:gutter="0" w:footer="0" w:header="0"/>
        </w:sectPr>
      </w:pPr>
    </w:p>
    <w:bookmarkStart w:id="190" w:name="page191"/>
    <w:bookmarkEnd w:id="190"/>
    <w:p>
      <w:pPr>
        <w:jc w:val="both"/>
        <w:ind w:right="20"/>
        <w:spacing w:after="0" w:line="259" w:lineRule="auto"/>
        <w:rPr>
          <w:sz w:val="20"/>
          <w:szCs w:val="20"/>
          <w:color w:val="auto"/>
        </w:rPr>
      </w:pPr>
      <w:r>
        <w:rPr>
          <w:rFonts w:ascii="Times New Roman" w:cs="Times New Roman" w:eastAsia="Times New Roman" w:hAnsi="Times New Roman"/>
          <w:sz w:val="16"/>
          <w:szCs w:val="16"/>
          <w:b w:val="1"/>
          <w:bCs w:val="1"/>
          <w:u w:val="single" w:color="auto"/>
          <w:color w:val="auto"/>
        </w:rPr>
        <w:t>TWENTIETH: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highlight w:val="white"/>
        </w:rPr>
        <w:t>Finally, regarding the alleged violation of the principle of reasonableness, this claim must also be dismissed, as it is verified that the appellant acknowledges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having committed the infraction of failing to disclose important facts, and in accordance with the invoked principle, the SMV adjusted and graded the sanction to be imposed, applying the sanctioning criteria through the assessment of aggravating and mitigating factors regarding the infraction, which is classified under subsections 1.6 and 1.5 of numeral 1 of Annex I of the cited Regulation. The company engaged in concealment conduct that affected the transparency of the securities market by failing to disclose relevant information for said market; therefore, it was sanctioned with fines amounting to 300 and 210 UIT, which, although higher than the minimum (50 UIT), are lower than the maximum established (700 UIT). These fines are duly supported according to the principle of typicity and legality as discussed in this judicial decision; therefore, the grievance must be dismissed.</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u w:val="single" w:color="auto"/>
          <w:color w:val="auto"/>
        </w:rPr>
        <w:t>TWENTY-FIRST: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highlight w:val="white"/>
        </w:rPr>
        <w:t>Consequently, the SMV and its regulatory function regarding relevant information for investors revolve around the obligation of transparency of issuers,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interpretation of regulations, investor protection, and the SMV’s sanctioning authority in cases of noncompliance, confirming its role in ensuring the accuracy, timeliness, and sufficiency of information that enables informed investment decisions, with financial information being a central pillar. Therefore, the SMV requires issuers to provide financial and non-financial (relevant) information in a truthful, timely, and sufficient manner to protect minority investors and ensure proper price formation; the primary purpose of the SMV being investor protection. Consequently, as developed above, it is the obligation of companies issuing securities listed on the stock market to timely report financial contributions made to political parties during electoral campaigns. This includes contributions made directly by the company and those made by its subsidiaries with its authorization. </w:t>
      </w:r>
      <w:r>
        <w:rPr>
          <w:rFonts w:ascii="Times New Roman" w:cs="Times New Roman" w:eastAsia="Times New Roman" w:hAnsi="Times New Roman"/>
          <w:sz w:val="16"/>
          <w:szCs w:val="16"/>
          <w:color w:val="auto"/>
          <w:highlight w:val="yellow"/>
        </w:rPr>
        <w:t>Such information is relevant because it enables the entity responsible for supervising the market (SMV) to fulfill its function of protecting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yellow"/>
        </w:rPr>
        <w:t xml:space="preserve">investors, ensuring the efficiency and transparency of markets, and securing proper price formation; therefore, if a company fails to disclose such contributions, it is considered concealment of information, which constitutes a </w:t>
      </w:r>
      <w:r>
        <w:rPr>
          <w:rFonts w:ascii="Times New Roman" w:cs="Times New Roman" w:eastAsia="Times New Roman" w:hAnsi="Times New Roman"/>
          <w:sz w:val="16"/>
          <w:szCs w:val="16"/>
          <w:b w:val="1"/>
          <w:bCs w:val="1"/>
          <w:color w:val="auto"/>
          <w:highlight w:val="yellow"/>
        </w:rPr>
        <w:t>very serious infraction</w:t>
      </w:r>
      <w:r>
        <w:rPr>
          <w:rFonts w:ascii="Times New Roman" w:cs="Times New Roman" w:eastAsia="Times New Roman" w:hAnsi="Times New Roman"/>
          <w:sz w:val="16"/>
          <w:szCs w:val="16"/>
          <w:color w:val="auto"/>
        </w:rPr>
        <w:t>. Thus, it is not verified that Deputy Superintendency Resolution N.° 012-2021-SMV/11</w:t>
      </w:r>
      <w:r>
        <w:rPr>
          <w:rFonts w:ascii="Times New Roman" w:cs="Times New Roman" w:eastAsia="Times New Roman" w:hAnsi="Times New Roman"/>
          <w:sz w:val="16"/>
          <w:szCs w:val="16"/>
          <w:color w:val="auto"/>
          <w:highlight w:val="yellow"/>
        </w:rPr>
        <w:t xml:space="preserve"> is affected by any ground for nullity under Article 10 of the General Administrative Procedure Act.</w:t>
      </w:r>
    </w:p>
    <w:p>
      <w:pPr>
        <w:spacing w:after="0" w:line="16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u w:val="single" w:color="auto"/>
          <w:color w:val="auto"/>
        </w:rPr>
        <w:t>TWENTY-SECOND</w:t>
      </w:r>
      <w:r>
        <w:rPr>
          <w:rFonts w:ascii="Times New Roman" w:cs="Times New Roman" w:eastAsia="Times New Roman" w:hAnsi="Times New Roman"/>
          <w:sz w:val="16"/>
          <w:szCs w:val="16"/>
          <w:color w:val="auto"/>
        </w:rPr>
        <w:t>: For these reasons, and in guarantee of the fundamental right to due process and the due motivation of judicial decisions, regulated in subsections 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and 5 of Article 139 of the Political Constitution of the Republic; as well as in accordance with the concrete and abstract purpose of every judicial process, which is to resolve a legal controversy seeking social peace in justice, pursuant to Article III of the Preliminary Title of the Civil Procedural Code, this Supreme Court considers that the judicial decision contained in the judgment issued by the Provisional Administrative Litigation Chamber of the Superior Court of Justice of Lima, which declared unfounded the claim filed by Credicorp LTD, </w:t>
      </w:r>
      <w:r>
        <w:rPr>
          <w:rFonts w:ascii="Times New Roman" w:cs="Times New Roman" w:eastAsia="Times New Roman" w:hAnsi="Times New Roman"/>
          <w:sz w:val="16"/>
          <w:szCs w:val="16"/>
          <w:u w:val="single" w:color="auto"/>
          <w:color w:val="auto"/>
        </w:rPr>
        <w:t>is in accordance with the law, and must be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confirmed</w:t>
      </w:r>
      <w:r>
        <w:rPr>
          <w:rFonts w:ascii="Times New Roman" w:cs="Times New Roman" w:eastAsia="Times New Roman" w:hAnsi="Times New Roman"/>
          <w:sz w:val="16"/>
          <w:szCs w:val="16"/>
          <w:color w:val="auto"/>
        </w:rPr>
        <w:t xml:space="preserve"> as set forth in the preceding grounds, since there is no grievance to uphold, and the decision is duly motivated and coherent, based on a concise and logical analysis of the evidence and the parties’ arguments, verifying that no violation of due process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215900</wp:posOffset>
            </wp:positionV>
            <wp:extent cx="7146290"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b w:val="1"/>
          <w:bCs w:val="1"/>
          <w:u w:val="single" w:color="auto"/>
          <w:color w:val="auto"/>
        </w:rPr>
        <w:t>V.DECISION</w:t>
      </w:r>
    </w:p>
    <w:p>
      <w:pPr>
        <w:spacing w:after="0" w:line="2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view of the reasons stated, the undersigned members of the Permanent Civil Chamber of the Supreme Court, in accordance with Article 364 of the Civil Procedural Code, applied supplementarily under the Fourth Final Complementary Provision of the Unified Text of Law N.° 27584, and Article 12 of the Unified Text of the Organic Law of the Judicial Branch: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highlight w:val="yellow"/>
        </w:rPr>
        <w:t>DECIDE TO CONFIRM</w:t>
      </w:r>
      <w:r>
        <w:rPr>
          <w:rFonts w:ascii="Times New Roman" w:cs="Times New Roman" w:eastAsia="Times New Roman" w:hAnsi="Times New Roman"/>
          <w:sz w:val="16"/>
          <w:szCs w:val="16"/>
          <w:color w:val="auto"/>
          <w:highlight w:val="yellow"/>
        </w:rPr>
        <w:t>: the appealed judgment contained in resolution number nine dated August 15, 2023, on page 1184 of the case file, which ruled:</w:t>
      </w:r>
    </w:p>
    <w:p>
      <w:pPr>
        <w:spacing w:after="0" w:line="202" w:lineRule="exact"/>
        <w:rPr>
          <w:sz w:val="20"/>
          <w:szCs w:val="20"/>
          <w:color w:val="auto"/>
        </w:rPr>
      </w:pPr>
    </w:p>
    <w:p>
      <w:pPr>
        <w:ind w:left="580" w:right="20"/>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highlight w:val="yellow"/>
        </w:rPr>
        <w:t>UNFOUNDED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color w:val="auto"/>
          <w:highlight w:val="yellow"/>
        </w:rPr>
        <w:t>the claim</w:t>
      </w:r>
      <w:r>
        <w:rPr>
          <w:rFonts w:ascii="Times New Roman" w:cs="Times New Roman" w:eastAsia="Times New Roman" w:hAnsi="Times New Roman"/>
          <w:sz w:val="16"/>
          <w:szCs w:val="16"/>
          <w:i w:val="1"/>
          <w:iCs w:val="1"/>
          <w:color w:val="auto"/>
        </w:rPr>
        <w:t xml:space="preserve"> filed from pages three to fifty-eight, without costs and procedural fees; in the case brought by CREDICORP LTD. against the Superintendency of the Securities Market regarding the challenge of an administrative act.”</w:t>
      </w:r>
    </w:p>
    <w:p>
      <w:pPr>
        <w:spacing w:after="0" w:line="13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Notify and return accordingly. In the case filed by Credicorp Ltd., regarding nullity of an administrative resolution. This Supreme Chamber is composed of Supreme Justice Juárez Ticona, due to the recusal of Supreme Justice Proaño Cueva. Supreme Justice Florián Vigo participated as the reporting justice.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CUNYA CELI</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UBILLÚS FORTINI</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VALENCIA DONGO CÁRDENAS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FLORIÁN VIGO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JUÁREZ TICONA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299720</wp:posOffset>
            </wp:positionV>
            <wp:extent cx="7146290"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80EC70"/>
    <w:multiLevelType w:val="hybridMultilevel"/>
    <w:lvl w:ilvl="0">
      <w:lvlJc w:val="left"/>
      <w:lvlText w:val="%1."/>
      <w:numFmt w:val="decimal"/>
      <w:start w:val="1"/>
    </w:lvl>
  </w:abstractNum>
  <w:abstractNum w:abstractNumId="1">
    <w:nsid w:val="379E21B5"/>
    <w:multiLevelType w:val="hybridMultilevel"/>
    <w:lvl w:ilvl="0">
      <w:lvlJc w:val="left"/>
      <w:lvlText w:val="%1."/>
      <w:numFmt w:val="decimal"/>
      <w:start w:val="3"/>
    </w:lvl>
  </w:abstractNum>
  <w:abstractNum w:abstractNumId="2">
    <w:nsid w:val="69E373"/>
    <w:multiLevelType w:val="hybridMultilevel"/>
    <w:lvl w:ilvl="0">
      <w:lvlJc w:val="left"/>
      <w:lvlText w:val="1"/>
      <w:numFmt w:val="bullet"/>
      <w:start w:val="1"/>
    </w:lvl>
  </w:abstractNum>
  <w:abstractNum w:abstractNumId="3">
    <w:nsid w:val="2C27173B"/>
    <w:multiLevelType w:val="hybridMultilevel"/>
    <w:lvl w:ilvl="0">
      <w:lvlJc w:val="left"/>
      <w:lvlText w:val="2"/>
      <w:numFmt w:val="bullet"/>
      <w:start w:val="1"/>
    </w:lvl>
  </w:abstractNum>
  <w:abstractNum w:abstractNumId="4">
    <w:nsid w:val="4C9B0904"/>
    <w:multiLevelType w:val="hybridMultilevel"/>
    <w:lvl w:ilvl="0">
      <w:lvlJc w:val="left"/>
      <w:lvlText w:val="3"/>
      <w:numFmt w:val="bullet"/>
      <w:start w:val="1"/>
    </w:lvl>
  </w:abstractNum>
  <w:abstractNum w:abstractNumId="5">
    <w:nsid w:val="6AA7B75C"/>
    <w:multiLevelType w:val="hybridMultilevel"/>
    <w:lvl w:ilvl="0">
      <w:lvlJc w:val="left"/>
      <w:lvlText w:val="(%1)"/>
      <w:numFmt w:val="lowerLetter"/>
      <w:start w:val="3"/>
    </w:lvl>
  </w:abstractNum>
  <w:abstractNum w:abstractNumId="6">
    <w:nsid w:val="1DF029D3"/>
    <w:multiLevelType w:val="hybridMultilevel"/>
    <w:lvl w:ilvl="0">
      <w:lvlJc w:val="left"/>
      <w:lvlText w:val="4"/>
      <w:numFmt w:val="bullet"/>
      <w:start w:val="1"/>
    </w:lvl>
  </w:abstractNum>
  <w:abstractNum w:abstractNumId="7">
    <w:nsid w:val="5675FF36"/>
    <w:multiLevelType w:val="hybridMultilevel"/>
    <w:lvl w:ilvl="0">
      <w:lvlJc w:val="left"/>
      <w:lvlText w:val="5"/>
      <w:numFmt w:val="bullet"/>
      <w:start w:val="1"/>
    </w:lvl>
  </w:abstractNum>
  <w:abstractNum w:abstractNumId="8">
    <w:nsid w:val="3DD15094"/>
    <w:multiLevelType w:val="hybridMultilevel"/>
    <w:lvl w:ilvl="0">
      <w:lvlJc w:val="left"/>
      <w:lvlText w:val="%1."/>
      <w:numFmt w:val="decimal"/>
      <w:start w:val="33"/>
    </w:lvl>
  </w:abstractNum>
  <w:abstractNum w:abstractNumId="9">
    <w:nsid w:val="3DB012B3"/>
    <w:multiLevelType w:val="hybridMultilevel"/>
    <w:lvl w:ilvl="0">
      <w:lvlJc w:val="left"/>
      <w:lvlText w:val="%1."/>
      <w:numFmt w:val="decimal"/>
      <w:start w:val="1"/>
    </w:lvl>
  </w:abstractNum>
  <w:abstractNum w:abstractNumId="10">
    <w:nsid w:val="2708C9AF"/>
    <w:multiLevelType w:val="hybridMultilevel"/>
    <w:lvl w:ilvl="0">
      <w:lvlJc w:val="left"/>
      <w:lvlText w:val="6"/>
      <w:numFmt w:val="bullet"/>
      <w:start w:val="1"/>
    </w:lvl>
  </w:abstractNum>
  <w:abstractNum w:abstractNumId="11">
    <w:nsid w:val="5B25ACE2"/>
    <w:multiLevelType w:val="hybridMultilevel"/>
    <w:lvl w:ilvl="0">
      <w:lvlJc w:val="left"/>
      <w:lvlText w:val="%1."/>
      <w:numFmt w:val="decimal"/>
      <w:start w:val="3"/>
    </w:lvl>
  </w:abstractNum>
  <w:abstractNum w:abstractNumId="12">
    <w:nsid w:val="175DFCF0"/>
    <w:multiLevelType w:val="hybridMultilevel"/>
    <w:lvl w:ilvl="0">
      <w:lvlJc w:val="left"/>
      <w:lvlText w:val="7"/>
      <w:numFmt w:val="bullet"/>
      <w:start w:val="1"/>
    </w:lvl>
  </w:abstractNum>
  <w:abstractNum w:abstractNumId="13">
    <w:nsid w:val="4F97E3E4"/>
    <w:multiLevelType w:val="hybridMultilevel"/>
    <w:lvl w:ilvl="0">
      <w:lvlJc w:val="left"/>
      <w:lvlText w:val="%1."/>
      <w:numFmt w:val="decimal"/>
      <w:start w:val="4"/>
    </w:lvl>
  </w:abstractNum>
  <w:abstractNum w:abstractNumId="14">
    <w:nsid w:val="53B0A9E"/>
    <w:multiLevelType w:val="hybridMultilevel"/>
    <w:lvl w:ilvl="0">
      <w:lvlJc w:val="left"/>
      <w:lvlText w:val="%1."/>
      <w:numFmt w:val="decimal"/>
      <w:start w:val="2"/>
    </w:lvl>
  </w:abstractNum>
  <w:abstractNum w:abstractNumId="15">
    <w:nsid w:val="34FD6B4F"/>
    <w:multiLevelType w:val="hybridMultilevel"/>
    <w:lvl w:ilvl="0">
      <w:lvlJc w:val="left"/>
      <w:lvlText w:val="%1."/>
      <w:numFmt w:val="decimal"/>
      <w:start w:val="5"/>
    </w:lvl>
  </w:abstractNum>
  <w:abstractNum w:abstractNumId="16">
    <w:nsid w:val="5915FF32"/>
    <w:multiLevelType w:val="hybridMultilevel"/>
    <w:lvl w:ilvl="0">
      <w:lvlJc w:val="left"/>
      <w:lvlText w:val="%1."/>
      <w:numFmt w:val="decimal"/>
      <w:start w:val="5"/>
    </w:lvl>
  </w:abstractNum>
  <w:abstractNum w:abstractNumId="17">
    <w:nsid w:val="56438D15"/>
    <w:multiLevelType w:val="hybridMultilevel"/>
    <w:lvl w:ilvl="0">
      <w:lvlJc w:val="left"/>
      <w:lvlText w:val="8"/>
      <w:numFmt w:val="bullet"/>
      <w:start w:val="1"/>
    </w:lvl>
  </w:abstractNum>
  <w:abstractNum w:abstractNumId="18">
    <w:nsid w:val="519E3149"/>
    <w:multiLevelType w:val="hybridMultilevel"/>
    <w:lvl w:ilvl="0">
      <w:lvlJc w:val="left"/>
      <w:lvlText w:val="%1."/>
      <w:numFmt w:val="decimal"/>
      <w:start w:val="6"/>
    </w:lvl>
    <w:lvl w:ilvl="1">
      <w:lvlJc w:val="left"/>
      <w:lvlText w:val="%2."/>
      <w:numFmt w:val="decimal"/>
      <w:start w:val="1"/>
    </w:lvl>
  </w:abstractNum>
  <w:abstractNum w:abstractNumId="19">
    <w:nsid w:val="2C6E4AFD"/>
    <w:multiLevelType w:val="hybridMultilevel"/>
    <w:lvl w:ilvl="0">
      <w:lvlJc w:val="left"/>
      <w:lvlText w:val="%1."/>
      <w:numFmt w:val="upperLetter"/>
      <w:start w:val="9"/>
    </w:lvl>
    <w:lvl w:ilvl="1">
      <w:lvlJc w:val="left"/>
      <w:lvlText w:val="%2."/>
      <w:numFmt w:val="decimal"/>
      <w:start w:val="1"/>
    </w:lvl>
  </w:abstractNum>
  <w:abstractNum w:abstractNumId="20">
    <w:nsid w:val="17A1B582"/>
    <w:multiLevelType w:val="hybridMultilevel"/>
    <w:lvl w:ilvl="0">
      <w:lvlJc w:val="left"/>
      <w:lvlText w:val="1"/>
      <w:numFmt w:val="bullet"/>
      <w:start w:val="1"/>
    </w:lvl>
  </w:abstractNum>
  <w:abstractNum w:abstractNumId="21">
    <w:nsid w:val="4DF72E4E"/>
    <w:multiLevelType w:val="hybridMultilevel"/>
    <w:lvl w:ilvl="0">
      <w:lvlJc w:val="left"/>
      <w:lvlText w:val="%1"/>
      <w:numFmt w:val="upperLetter"/>
      <w:start w:val="1"/>
    </w:lvl>
    <w:lvl w:ilvl="1">
      <w:lvlJc w:val="left"/>
      <w:lvlText w:val="%2."/>
      <w:numFmt w:val="decimal"/>
      <w:start w:val="2"/>
    </w:lvl>
  </w:abstractNum>
  <w:abstractNum w:abstractNumId="22">
    <w:nsid w:val="5046B5A9"/>
    <w:multiLevelType w:val="hybridMultilevel"/>
    <w:lvl w:ilvl="0">
      <w:lvlJc w:val="left"/>
      <w:lvlText w:val="%1."/>
      <w:numFmt w:val="upperLetter"/>
      <w:start w:val="35"/>
    </w:lvl>
    <w:lvl w:ilvl="1">
      <w:lvlJc w:val="left"/>
      <w:lvlText w:val="%2"/>
      <w:numFmt w:val="decimal"/>
      <w:start w:val="1"/>
    </w:lvl>
  </w:abstractNum>
  <w:abstractNum w:abstractNumId="23">
    <w:nsid w:val="5D888A08"/>
    <w:multiLevelType w:val="hybridMultilevel"/>
    <w:lvl w:ilvl="0">
      <w:lvlJc w:val="left"/>
      <w:lvlText w:val="%1."/>
      <w:numFmt w:val="decimal"/>
      <w:start w:val="3"/>
    </w:lvl>
  </w:abstractNum>
  <w:abstractNum w:abstractNumId="24">
    <w:nsid w:val="2A082C70"/>
    <w:multiLevelType w:val="hybridMultilevel"/>
    <w:lvl w:ilvl="0">
      <w:lvlJc w:val="left"/>
      <w:lvlText w:val="%1."/>
      <w:numFmt w:val="decimal"/>
      <w:start w:val="4"/>
    </w:lvl>
    <w:lvl w:ilvl="1">
      <w:lvlJc w:val="left"/>
      <w:lvlText w:val="%2"/>
      <w:numFmt w:val="upperLetter"/>
      <w:start w:val="1"/>
    </w:lvl>
    <w:lvl w:ilvl="2">
      <w:lvlJc w:val="left"/>
      <w:lvlText w:val="%3."/>
      <w:numFmt w:val="decimal"/>
      <w:start w:val="1"/>
    </w:lvl>
  </w:abstractNum>
  <w:abstractNum w:abstractNumId="25">
    <w:nsid w:val="5EC6AFD4"/>
    <w:multiLevelType w:val="hybridMultilevel"/>
    <w:lvl w:ilvl="0">
      <w:lvlJc w:val="left"/>
      <w:lvlText w:val="2"/>
      <w:numFmt w:val="bullet"/>
      <w:start w:val="1"/>
    </w:lvl>
  </w:abstractNum>
  <w:abstractNum w:abstractNumId="26">
    <w:nsid w:val="19E21BB2"/>
    <w:multiLevelType w:val="hybridMultilevel"/>
    <w:lvl w:ilvl="0">
      <w:lvlJc w:val="left"/>
      <w:lvlText w:val="%1."/>
      <w:numFmt w:val="decimal"/>
      <w:start w:val="3"/>
    </w:lvl>
  </w:abstractNum>
  <w:abstractNum w:abstractNumId="27">
    <w:nsid w:val="75E0858A"/>
    <w:multiLevelType w:val="hybridMultilevel"/>
    <w:lvl w:ilvl="0">
      <w:lvlJc w:val="left"/>
      <w:lvlText w:val="%1."/>
      <w:numFmt w:val="decimal"/>
      <w:start w:val="7"/>
    </w:lvl>
  </w:abstractNum>
  <w:abstractNum w:abstractNumId="28">
    <w:nsid w:val="57A61A29"/>
    <w:multiLevelType w:val="hybridMultilevel"/>
    <w:lvl w:ilvl="0">
      <w:lvlJc w:val="left"/>
      <w:lvlText w:val="4"/>
      <w:numFmt w:val="bullet"/>
      <w:start w:val="1"/>
    </w:lvl>
  </w:abstractNum>
  <w:abstractNum w:abstractNumId="29">
    <w:nsid w:val="5399C654"/>
    <w:multiLevelType w:val="hybridMultilevel"/>
    <w:lvl w:ilvl="0">
      <w:lvlJc w:val="left"/>
      <w:lvlText w:val="%1"/>
      <w:numFmt w:val="decimal"/>
      <w:start w:val="1"/>
    </w:lvl>
    <w:lvl w:ilvl="1">
      <w:lvlJc w:val="left"/>
      <w:lvlText w:val="%2."/>
      <w:numFmt w:val="decimal"/>
      <w:start w:val="8"/>
    </w:lvl>
  </w:abstractNum>
  <w:abstractNum w:abstractNumId="30">
    <w:nsid w:val="20EE1348"/>
    <w:multiLevelType w:val="hybridMultilevel"/>
    <w:lvl w:ilvl="0">
      <w:lvlJc w:val="left"/>
      <w:lvlText w:val="%1."/>
      <w:numFmt w:val="decimal"/>
      <w:start w:val="12"/>
    </w:lvl>
    <w:lvl w:ilvl="1">
      <w:lvlJc w:val="left"/>
      <w:lvlText w:val="%2."/>
      <w:numFmt w:val="decimal"/>
      <w:start w:val="13"/>
    </w:lvl>
  </w:abstractNum>
  <w:abstractNum w:abstractNumId="31">
    <w:nsid w:val="4427069A"/>
    <w:multiLevelType w:val="hybridMultilevel"/>
    <w:lvl w:ilvl="0">
      <w:lvlJc w:val="left"/>
      <w:lvlText w:val="5"/>
      <w:numFmt w:val="bullet"/>
      <w:start w:val="1"/>
    </w:lvl>
  </w:abstractNum>
  <w:abstractNum w:abstractNumId="32">
    <w:nsid w:val="B37E80A"/>
    <w:multiLevelType w:val="hybridMultilevel"/>
    <w:lvl w:ilvl="0">
      <w:lvlJc w:val="left"/>
      <w:lvlText w:val="6"/>
      <w:numFmt w:val="bullet"/>
      <w:start w:val="1"/>
    </w:lvl>
  </w:abstractNum>
  <w:abstractNum w:abstractNumId="33">
    <w:nsid w:val="2157F6BC"/>
    <w:multiLevelType w:val="hybridMultilevel"/>
    <w:lvl w:ilvl="0">
      <w:lvlJc w:val="left"/>
      <w:lvlText w:val="%1."/>
      <w:numFmt w:val="decimal"/>
      <w:start w:val="6"/>
    </w:lvl>
  </w:abstractNum>
  <w:abstractNum w:abstractNumId="34">
    <w:nsid w:val="704E1DD5"/>
    <w:multiLevelType w:val="hybridMultilevel"/>
    <w:lvl w:ilvl="0">
      <w:lvlJc w:val="left"/>
      <w:lvlText w:val="%1"/>
      <w:numFmt w:val="decimal"/>
      <w:start w:val="1"/>
    </w:lvl>
    <w:lvl w:ilvl="1">
      <w:lvlJc w:val="left"/>
      <w:lvlText w:val="%2"/>
      <w:numFmt w:val="upperLetter"/>
      <w:start w:val="1"/>
    </w:lvl>
    <w:lvl w:ilvl="2">
      <w:lvlJc w:val="left"/>
      <w:lvlText w:val="%3."/>
      <w:numFmt w:val="decimal"/>
      <w:start w:val="8"/>
    </w:lvl>
    <w:lvl w:ilvl="3">
      <w:lvlJc w:val="left"/>
      <w:lvlText w:val="%4"/>
      <w:numFmt w:val="decimal"/>
      <w:start w:val="1"/>
    </w:lvl>
  </w:abstractNum>
  <w:abstractNum w:abstractNumId="35">
    <w:nsid w:val="57D2F10E"/>
    <w:multiLevelType w:val="hybridMultilevel"/>
    <w:lvl w:ilvl="0">
      <w:lvlJc w:val="left"/>
      <w:lvlText w:val="%1."/>
      <w:numFmt w:val="decimal"/>
      <w:start w:val="9"/>
    </w:lvl>
    <w:lvl w:ilvl="1">
      <w:lvlJc w:val="left"/>
      <w:lvlText w:val="%2"/>
      <w:numFmt w:val="upperLetter"/>
      <w:start w:val="1"/>
    </w:lvl>
    <w:lvl w:ilvl="2">
      <w:lvlJc w:val="left"/>
      <w:lvlText w:val="%3"/>
      <w:numFmt w:val="decimal"/>
      <w:start w:val="1"/>
    </w:lvl>
    <w:lvl w:ilvl="3">
      <w:lvlJc w:val="left"/>
      <w:lvlText w:val="%4."/>
      <w:numFmt w:val="decimal"/>
      <w:start w:val="1"/>
    </w:lvl>
  </w:abstractNum>
  <w:abstractNum w:abstractNumId="36">
    <w:nsid w:val="BFFAE18"/>
    <w:multiLevelType w:val="hybridMultilevel"/>
    <w:lvl w:ilvl="0">
      <w:lvlJc w:val="left"/>
      <w:lvlText w:val="7"/>
      <w:numFmt w:val="bullet"/>
      <w:start w:val="1"/>
    </w:lvl>
  </w:abstractNum>
  <w:abstractNum w:abstractNumId="37">
    <w:nsid w:val="E3E47A8"/>
    <w:multiLevelType w:val="hybridMultilevel"/>
    <w:lvl w:ilvl="0">
      <w:lvlJc w:val="left"/>
      <w:lvlText w:val="8"/>
      <w:numFmt w:val="bullet"/>
      <w:start w:val="1"/>
    </w:lvl>
  </w:abstractNum>
  <w:abstractNum w:abstractNumId="38">
    <w:nsid w:val="2E48F044"/>
    <w:multiLevelType w:val="hybridMultilevel"/>
    <w:lvl w:ilvl="0">
      <w:lvlJc w:val="left"/>
      <w:lvlText w:val="%1."/>
      <w:numFmt w:val="decimal"/>
      <w:start w:val="2"/>
    </w:lvl>
  </w:abstractNum>
  <w:abstractNum w:abstractNumId="39">
    <w:nsid w:val="49D0FEAC"/>
    <w:multiLevelType w:val="hybridMultilevel"/>
    <w:lvl w:ilvl="0">
      <w:lvlJc w:val="left"/>
      <w:lvlText w:val="%1."/>
      <w:numFmt w:val="decimal"/>
      <w:start w:val="5"/>
    </w:lvl>
  </w:abstractNum>
  <w:abstractNum w:abstractNumId="40">
    <w:nsid w:val="4BEE5A5B"/>
    <w:multiLevelType w:val="hybridMultilevel"/>
    <w:lvl w:ilvl="0">
      <w:lvlJc w:val="left"/>
      <w:lvlText w:val="%1."/>
      <w:numFmt w:val="decimal"/>
      <w:start w:val="6"/>
    </w:lvl>
  </w:abstractNum>
  <w:abstractNum w:abstractNumId="41">
    <w:nsid w:val="5551B9F3"/>
    <w:multiLevelType w:val="hybridMultilevel"/>
    <w:lvl w:ilvl="0">
      <w:lvlJc w:val="left"/>
      <w:lvlText w:val="%1"/>
      <w:numFmt w:val="decimal"/>
      <w:start w:val="11"/>
    </w:lvl>
  </w:abstractNum>
  <w:abstractNum w:abstractNumId="42">
    <w:nsid w:val="24F6AB8E"/>
    <w:multiLevelType w:val="hybridMultilevel"/>
    <w:lvl w:ilvl="0">
      <w:lvlJc w:val="left"/>
      <w:lvlText w:val="%1"/>
      <w:numFmt w:val="decimal"/>
      <w:start w:val="1"/>
    </w:lvl>
    <w:lvl w:ilvl="1">
      <w:lvlJc w:val="left"/>
      <w:lvlText w:val="%2."/>
      <w:numFmt w:val="decimal"/>
      <w:start w:val="8"/>
    </w:lvl>
  </w:abstractNum>
  <w:abstractNum w:abstractNumId="43">
    <w:nsid w:val="634C574C"/>
    <w:multiLevelType w:val="hybridMultilevel"/>
    <w:lvl w:ilvl="0">
      <w:lvlJc w:val="left"/>
      <w:lvlText w:val="%1."/>
      <w:numFmt w:val="decimal"/>
      <w:start w:val="9"/>
    </w:lvl>
    <w:lvl w:ilvl="1">
      <w:lvlJc w:val="left"/>
      <w:lvlText w:val="%2"/>
      <w:numFmt w:val="decimal"/>
      <w:start w:val="1"/>
    </w:lvl>
  </w:abstractNum>
  <w:abstractNum w:abstractNumId="44">
    <w:nsid w:val="24E99DD7"/>
    <w:multiLevelType w:val="hybridMultilevel"/>
    <w:lvl w:ilvl="0">
      <w:lvlJc w:val="left"/>
      <w:lvlText w:val="%1."/>
      <w:numFmt w:val="decimal"/>
      <w:start w:val="10"/>
    </w:lvl>
    <w:lvl w:ilvl="1">
      <w:lvlJc w:val="left"/>
      <w:lvlText w:val="%2."/>
      <w:numFmt w:val="decimal"/>
      <w:start w:val="11"/>
    </w:lvl>
  </w:abstractNum>
  <w:abstractNum w:abstractNumId="45">
    <w:nsid w:val="2A31B62D"/>
    <w:multiLevelType w:val="hybridMultilevel"/>
    <w:lvl w:ilvl="0">
      <w:lvlJc w:val="left"/>
      <w:lvlText w:val="%1."/>
      <w:numFmt w:val="decimal"/>
      <w:start w:val="12"/>
    </w:lvl>
    <w:lvl w:ilvl="1">
      <w:lvlJc w:val="left"/>
      <w:lvlText w:val="%2."/>
      <w:numFmt w:val="decimal"/>
      <w:start w:val="13"/>
    </w:lvl>
  </w:abstractNum>
  <w:abstractNum w:abstractNumId="46">
    <w:nsid w:val="1849C29B"/>
    <w:multiLevelType w:val="hybridMultilevel"/>
    <w:lvl w:ilvl="0">
      <w:lvlJc w:val="left"/>
      <w:lvlText w:val="%1"/>
      <w:numFmt w:val="decimal"/>
      <w:start w:val="12"/>
    </w:lvl>
  </w:abstractNum>
  <w:abstractNum w:abstractNumId="47">
    <w:nsid w:val="7DFF9D09"/>
    <w:multiLevelType w:val="hybridMultilevel"/>
    <w:lvl w:ilvl="0">
      <w:lvlJc w:val="left"/>
      <w:lvlText w:val="%1."/>
      <w:numFmt w:val="decimal"/>
      <w:start w:val="11"/>
    </w:lvl>
    <w:lvl w:ilvl="1">
      <w:lvlJc w:val="left"/>
      <w:lvlText w:val="%2."/>
      <w:numFmt w:val="decimal"/>
      <w:start w:val="13"/>
    </w:lvl>
  </w:abstractNum>
  <w:abstractNum w:abstractNumId="48">
    <w:nsid w:val="754342"/>
    <w:multiLevelType w:val="hybridMultilevel"/>
    <w:lvl w:ilvl="0">
      <w:lvlJc w:val="left"/>
      <w:lvlText w:val="%1"/>
      <w:numFmt w:val="decimal"/>
      <w:start w:val="14"/>
    </w:lvl>
  </w:abstractNum>
  <w:abstractNum w:abstractNumId="49">
    <w:nsid w:val="69E7F3E5"/>
    <w:multiLevelType w:val="hybridMultilevel"/>
    <w:lvl w:ilvl="0">
      <w:lvlJc w:val="left"/>
      <w:lvlText w:val="%1."/>
      <w:numFmt w:val="decimal"/>
      <w:start w:val="14"/>
    </w:lvl>
  </w:abstractNum>
  <w:abstractNum w:abstractNumId="50">
    <w:nsid w:val="2A6DE806"/>
    <w:multiLevelType w:val="hybridMultilevel"/>
    <w:lvl w:ilvl="0">
      <w:lvlJc w:val="left"/>
      <w:lvlText w:val="%1"/>
      <w:numFmt w:val="decimal"/>
      <w:start w:val="15"/>
    </w:lvl>
  </w:abstractNum>
  <w:abstractNum w:abstractNumId="51">
    <w:nsid w:val="1816F8C4"/>
    <w:multiLevelType w:val="hybridMultilevel"/>
    <w:lvl w:ilvl="0">
      <w:lvlJc w:val="left"/>
      <w:lvlText w:val="%1"/>
      <w:numFmt w:val="decimal"/>
      <w:start w:val="17"/>
    </w:lvl>
  </w:abstractNum>
  <w:abstractNum w:abstractNumId="52">
    <w:nsid w:val="37DF2233"/>
    <w:multiLevelType w:val="hybridMultilevel"/>
    <w:lvl w:ilvl="0">
      <w:lvlJc w:val="left"/>
      <w:lvlText w:val="%1"/>
      <w:numFmt w:val="decimal"/>
      <w:start w:val="20"/>
    </w:lvl>
  </w:abstractNum>
  <w:abstractNum w:abstractNumId="53">
    <w:nsid w:val="7AB49DAF"/>
    <w:multiLevelType w:val="hybridMultilevel"/>
    <w:lvl w:ilvl="0">
      <w:lvlJc w:val="left"/>
      <w:lvlText w:val="%1"/>
      <w:numFmt w:val="decimal"/>
      <w:start w:val="21"/>
    </w:lvl>
  </w:abstractNum>
  <w:abstractNum w:abstractNumId="54">
    <w:nsid w:val="759F82CD"/>
    <w:multiLevelType w:val="hybridMultilevel"/>
    <w:lvl w:ilvl="0">
      <w:lvlJc w:val="left"/>
      <w:lvlText w:val="%1"/>
      <w:numFmt w:val="decimal"/>
      <w:start w:val="22"/>
    </w:lvl>
  </w:abstractNum>
  <w:abstractNum w:abstractNumId="55">
    <w:nsid w:val="61E74EA3"/>
    <w:multiLevelType w:val="hybridMultilevel"/>
    <w:lvl w:ilvl="0">
      <w:lvlJc w:val="left"/>
      <w:lvlText w:val="%1"/>
      <w:numFmt w:val="decimal"/>
      <w:start w:val="23"/>
    </w:lvl>
  </w:abstractNum>
  <w:abstractNum w:abstractNumId="56">
    <w:nsid w:val="597B4D84"/>
    <w:multiLevelType w:val="hybridMultilevel"/>
    <w:lvl w:ilvl="0">
      <w:lvlJc w:val="left"/>
      <w:lvlText w:val="•"/>
      <w:numFmt w:val="bullet"/>
      <w:start w:val="1"/>
    </w:lvl>
  </w:abstractNum>
  <w:abstractNum w:abstractNumId="57">
    <w:nsid w:val="F819E7F"/>
    <w:multiLevelType w:val="hybridMultilevel"/>
    <w:lvl w:ilvl="0">
      <w:lvlJc w:val="left"/>
      <w:lvlText w:val="%1"/>
      <w:numFmt w:val="decimal"/>
      <w:start w:val="24"/>
    </w:lvl>
  </w:abstractNum>
  <w:abstractNum w:abstractNumId="58">
    <w:nsid w:val="57C7D42D"/>
    <w:multiLevelType w:val="hybridMultilevel"/>
    <w:lvl w:ilvl="0">
      <w:lvlJc w:val="left"/>
      <w:lvlText w:val="%1"/>
      <w:numFmt w:val="decimal"/>
      <w:start w:val="25"/>
    </w:lvl>
  </w:abstractNum>
  <w:abstractNum w:abstractNumId="59">
    <w:nsid w:val="312167AD"/>
    <w:multiLevelType w:val="hybridMultilevel"/>
    <w:lvl w:ilvl="0">
      <w:lvlJc w:val="left"/>
      <w:lvlText w:val="%1"/>
      <w:numFmt w:val="decimal"/>
      <w:start w:val="26"/>
    </w:lvl>
  </w:abstractNum>
  <w:abstractNum w:abstractNumId="60">
    <w:nsid w:val="631B64D4"/>
    <w:multiLevelType w:val="hybridMultilevel"/>
    <w:lvl w:ilvl="0">
      <w:lvlJc w:val="left"/>
      <w:lvlText w:val="%1."/>
      <w:numFmt w:val="decimal"/>
      <w:start w:val="7"/>
    </w:lvl>
  </w:abstractNum>
  <w:abstractNum w:abstractNumId="61">
    <w:nsid w:val="78B5E776"/>
    <w:multiLevelType w:val="hybridMultilevel"/>
    <w:lvl w:ilvl="0">
      <w:lvlJc w:val="left"/>
      <w:lvlText w:val="7.%1."/>
      <w:numFmt w:val="decimal"/>
      <w:start w:val="1"/>
    </w:lvl>
  </w:abstractNum>
  <w:abstractNum w:abstractNumId="62">
    <w:nsid w:val="75486E47"/>
    <w:multiLevelType w:val="hybridMultilevel"/>
    <w:lvl w:ilvl="0">
      <w:lvlJc w:val="left"/>
      <w:lvlText w:val="%1"/>
      <w:numFmt w:val="decimal"/>
      <w:start w:val="27"/>
    </w:lvl>
  </w:abstractNum>
  <w:abstractNum w:abstractNumId="63">
    <w:nsid w:val="6E534CDE"/>
    <w:multiLevelType w:val="hybridMultilevel"/>
    <w:lvl w:ilvl="0">
      <w:lvlJc w:val="left"/>
      <w:lvlText w:val="%1"/>
      <w:numFmt w:val="decimal"/>
      <w:start w:val="28"/>
    </w:lvl>
  </w:abstractNum>
  <w:abstractNum w:abstractNumId="64">
    <w:nsid w:val="1A0DDE32"/>
    <w:multiLevelType w:val="hybridMultilevel"/>
    <w:lvl w:ilvl="0">
      <w:lvlJc w:val="left"/>
      <w:lvlText w:val="%1"/>
      <w:numFmt w:val="decimal"/>
      <w:start w:val="31"/>
    </w:lvl>
  </w:abstractNum>
  <w:abstractNum w:abstractNumId="65">
    <w:nsid w:val="65968C1C"/>
    <w:multiLevelType w:val="hybridMultilevel"/>
    <w:lvl w:ilvl="0">
      <w:lvlJc w:val="left"/>
      <w:lvlText w:val="•"/>
      <w:numFmt w:val="bullet"/>
      <w:start w:val="1"/>
    </w:lvl>
  </w:abstractNum>
  <w:abstractNum w:abstractNumId="66">
    <w:nsid w:val="46263DEC"/>
    <w:multiLevelType w:val="hybridMultilevel"/>
    <w:lvl w:ilvl="0">
      <w:lvlJc w:val="left"/>
      <w:lvlText w:val="%1)"/>
      <w:numFmt w:val="lowerLetter"/>
      <w:start w:val="1"/>
    </w:lvl>
  </w:abstractNum>
  <w:abstractNum w:abstractNumId="67">
    <w:nsid w:val="260D8C4A"/>
    <w:multiLevelType w:val="hybridMultilevel"/>
    <w:lvl w:ilvl="0">
      <w:lvlJc w:val="left"/>
      <w:lvlText w:val="%1."/>
      <w:numFmt w:val="decimal"/>
      <w:start w:val="19"/>
    </w:lvl>
  </w:abstractNum>
  <w:abstractNum w:abstractNumId="68">
    <w:nsid w:val="73D4D3C4"/>
    <w:multiLevelType w:val="hybridMultilevel"/>
    <w:lvl w:ilvl="0">
      <w:lvlJc w:val="left"/>
      <w:lvlText w:val="%1"/>
      <w:numFmt w:val="decimal"/>
      <w:start w:val="32"/>
    </w:lvl>
  </w:abstractNum>
  <w:abstractNum w:abstractNumId="69">
    <w:nsid w:val="746F2E30"/>
    <w:multiLevelType w:val="hybridMultilevel"/>
    <w:lvl w:ilvl="0">
      <w:lvlJc w:val="left"/>
      <w:lvlText w:val="%1."/>
      <w:numFmt w:val="decimal"/>
      <w:start w:val="22"/>
    </w:lvl>
  </w:abstractNum>
  <w:abstractNum w:abstractNumId="70">
    <w:nsid w:val="6FDE8AF6"/>
    <w:multiLevelType w:val="hybridMultilevel"/>
    <w:lvl w:ilvl="0">
      <w:lvlJc w:val="left"/>
      <w:lvlText w:val="%1."/>
      <w:numFmt w:val="decimal"/>
      <w:start w:val="23"/>
    </w:lvl>
  </w:abstractNum>
  <w:abstractNum w:abstractNumId="71">
    <w:nsid w:val="3FC32E20"/>
    <w:multiLevelType w:val="hybridMultilevel"/>
    <w:lvl w:ilvl="0">
      <w:lvlJc w:val="left"/>
      <w:lvlText w:val="%1."/>
      <w:numFmt w:val="decimal"/>
      <w:start w:val="29"/>
    </w:lvl>
  </w:abstractNum>
  <w:abstractNum w:abstractNumId="72">
    <w:nsid w:val="49C0E823"/>
    <w:multiLevelType w:val="hybridMultilevel"/>
    <w:lvl w:ilvl="0">
      <w:lvlJc w:val="left"/>
      <w:lvlText w:val="(%1)"/>
      <w:numFmt w:val="lowerRoman"/>
      <w:start w:val="1"/>
    </w:lvl>
  </w:abstractNum>
  <w:abstractNum w:abstractNumId="73">
    <w:nsid w:val="14D53685"/>
    <w:multiLevelType w:val="hybridMultilevel"/>
    <w:lvl w:ilvl="0">
      <w:lvlJc w:val="left"/>
      <w:lvlText w:val="%1."/>
      <w:numFmt w:val="decimal"/>
      <w:start w:val="34"/>
    </w:lvl>
  </w:abstractNum>
  <w:abstractNum w:abstractNumId="74">
    <w:nsid w:val="230F856C"/>
    <w:multiLevelType w:val="hybridMultilevel"/>
    <w:lvl w:ilvl="0">
      <w:lvlJc w:val="left"/>
      <w:lvlText w:val="%1"/>
      <w:numFmt w:val="upperLetter"/>
      <w:start w:val="1"/>
    </w:lvl>
    <w:lvl w:ilvl="1">
      <w:lvlJc w:val="left"/>
      <w:lvlText w:val="%2."/>
      <w:numFmt w:val="decimal"/>
      <w:start w:val="36"/>
    </w:lvl>
  </w:abstractNum>
  <w:abstractNum w:abstractNumId="75">
    <w:nsid w:val="6EAA85FB"/>
    <w:multiLevelType w:val="hybridMultilevel"/>
    <w:lvl w:ilvl="0">
      <w:lvlJc w:val="left"/>
      <w:lvlText w:val="%1."/>
      <w:numFmt w:val="upperLetter"/>
      <w:start w:val="2"/>
    </w:lvl>
    <w:lvl w:ilvl="1">
      <w:lvlJc w:val="left"/>
      <w:lvlText w:val="%2."/>
      <w:numFmt w:val="decimal"/>
      <w:start w:val="38"/>
    </w:lvl>
  </w:abstractNum>
  <w:abstractNum w:abstractNumId="76">
    <w:nsid w:val="3F06ECB2"/>
    <w:multiLevelType w:val="hybridMultilevel"/>
    <w:lvl w:ilvl="0">
      <w:lvlJc w:val="left"/>
      <w:lvlText w:val="%1"/>
      <w:numFmt w:val="decimal"/>
      <w:start w:val="34"/>
    </w:lvl>
  </w:abstractNum>
  <w:abstractNum w:abstractNumId="77">
    <w:nsid w:val="3B594807"/>
    <w:multiLevelType w:val="hybridMultilevel"/>
    <w:lvl w:ilvl="0">
      <w:lvlJc w:val="left"/>
      <w:lvlText w:val="%1."/>
      <w:numFmt w:val="decimal"/>
      <w:start w:val="41"/>
    </w:lvl>
  </w:abstractNum>
  <w:abstractNum w:abstractNumId="78">
    <w:nsid w:val="6CAA2304"/>
    <w:multiLevelType w:val="hybridMultilevel"/>
    <w:lvl w:ilvl="0">
      <w:lvlJc w:val="left"/>
      <w:lvlText w:val="%1"/>
      <w:numFmt w:val="decimal"/>
      <w:start w:val="1"/>
    </w:lvl>
    <w:lvl w:ilvl="1">
      <w:lvlJc w:val="left"/>
      <w:lvlText w:val="%2."/>
      <w:numFmt w:val="decimal"/>
      <w:start w:val="42"/>
    </w:lvl>
  </w:abstractNum>
  <w:abstractNum w:abstractNumId="79">
    <w:nsid w:val="3F7C2FF4"/>
    <w:multiLevelType w:val="hybridMultilevel"/>
    <w:lvl w:ilvl="0">
      <w:lvlJc w:val="left"/>
      <w:lvlText w:val="%1."/>
      <w:numFmt w:val="decimal"/>
      <w:start w:val="1"/>
    </w:lvl>
    <w:lvl w:ilvl="1">
      <w:lvlJc w:val="left"/>
      <w:lvlText w:val="%2"/>
      <w:numFmt w:val="decimal"/>
      <w:start w:val="1"/>
    </w:lvl>
  </w:abstractNum>
  <w:abstractNum w:abstractNumId="80">
    <w:nsid w:val="25413BEC"/>
    <w:multiLevelType w:val="hybridMultilevel"/>
    <w:lvl w:ilvl="0">
      <w:lvlJc w:val="left"/>
      <w:lvlText w:val="√"/>
      <w:numFmt w:val="bullet"/>
      <w:start w:val="1"/>
    </w:lvl>
  </w:abstractNum>
  <w:abstractNum w:abstractNumId="81">
    <w:nsid w:val="17180B0B"/>
    <w:multiLevelType w:val="hybridMultilevel"/>
    <w:lvl w:ilvl="0">
      <w:lvlJc w:val="left"/>
      <w:lvlText w:val="%1"/>
      <w:numFmt w:val="decimal"/>
      <w:start w:val="39"/>
    </w:lvl>
  </w:abstractNum>
  <w:abstractNum w:abstractNumId="82">
    <w:nsid w:val="579328B9"/>
    <w:multiLevelType w:val="hybridMultilevel"/>
    <w:lvl w:ilvl="0">
      <w:lvlJc w:val="left"/>
      <w:lvlText w:val="√"/>
      <w:numFmt w:val="bullet"/>
      <w:start w:val="1"/>
    </w:lvl>
  </w:abstractNum>
  <w:abstractNum w:abstractNumId="83">
    <w:nsid w:val="5D205E20"/>
    <w:multiLevelType w:val="hybridMultilevel"/>
    <w:lvl w:ilvl="0">
      <w:lvlJc w:val="left"/>
      <w:lvlText w:val="√"/>
      <w:numFmt w:val="bullet"/>
      <w:start w:val="1"/>
    </w:lvl>
  </w:abstractNum>
  <w:abstractNum w:abstractNumId="84">
    <w:nsid w:val="11CCA8BA"/>
    <w:multiLevelType w:val="hybridMultilevel"/>
    <w:lvl w:ilvl="0">
      <w:lvlJc w:val="left"/>
      <w:lvlText w:val="√"/>
      <w:numFmt w:val="bullet"/>
      <w:start w:val="1"/>
    </w:lvl>
  </w:abstractNum>
  <w:abstractNum w:abstractNumId="85">
    <w:nsid w:val="4D32AB86"/>
    <w:multiLevelType w:val="hybridMultilevel"/>
    <w:lvl w:ilvl="0">
      <w:lvlJc w:val="left"/>
      <w:lvlText w:val="√"/>
      <w:numFmt w:val="bullet"/>
      <w:start w:val="1"/>
    </w:lvl>
  </w:abstractNum>
  <w:abstractNum w:abstractNumId="86">
    <w:nsid w:val="3F07ACC3"/>
    <w:multiLevelType w:val="hybridMultilevel"/>
    <w:lvl w:ilvl="0">
      <w:lvlJc w:val="left"/>
      <w:lvlText w:val="o"/>
      <w:numFmt w:val="bullet"/>
      <w:start w:val="1"/>
    </w:lvl>
  </w:abstractNum>
  <w:abstractNum w:abstractNumId="87">
    <w:nsid w:val="6B47F63E"/>
    <w:multiLevelType w:val="hybridMultilevel"/>
    <w:lvl w:ilvl="0">
      <w:lvlJc w:val="left"/>
      <w:lvlText w:val="o"/>
      <w:numFmt w:val="bullet"/>
      <w:start w:val="1"/>
    </w:lvl>
  </w:abstractNum>
  <w:abstractNum w:abstractNumId="88">
    <w:nsid w:val="5CB44A05"/>
    <w:multiLevelType w:val="hybridMultilevel"/>
    <w:lvl w:ilvl="0">
      <w:lvlJc w:val="left"/>
      <w:lvlText w:val="%1"/>
      <w:numFmt w:val="decimal"/>
      <w:start w:val="40"/>
    </w:lvl>
  </w:abstractNum>
  <w:abstractNum w:abstractNumId="89">
    <w:nsid w:val="16CF80F1"/>
    <w:multiLevelType w:val="hybridMultilevel"/>
    <w:lvl w:ilvl="0">
      <w:lvlJc w:val="left"/>
      <w:lvlText w:val="√"/>
      <w:numFmt w:val="bullet"/>
      <w:start w:val="1"/>
    </w:lvl>
  </w:abstractNum>
  <w:abstractNum w:abstractNumId="90">
    <w:nsid w:val="1C695DEC"/>
    <w:multiLevelType w:val="hybridMultilevel"/>
    <w:lvl w:ilvl="0">
      <w:lvlJc w:val="left"/>
      <w:lvlText w:val="%1"/>
      <w:numFmt w:val="decimal"/>
      <w:start w:val="41"/>
    </w:lvl>
  </w:abstractNum>
  <w:abstractNum w:abstractNumId="91">
    <w:nsid w:val="3FCFAED9"/>
    <w:multiLevelType w:val="hybridMultilevel"/>
    <w:lvl w:ilvl="0">
      <w:lvlJc w:val="left"/>
      <w:lvlText w:val="%1."/>
      <w:numFmt w:val="decimal"/>
      <w:start w:val="5"/>
    </w:lvl>
  </w:abstractNum>
  <w:abstractNum w:abstractNumId="92">
    <w:nsid w:val="F856867"/>
    <w:multiLevelType w:val="hybridMultilevel"/>
    <w:lvl w:ilvl="0">
      <w:lvlJc w:val="left"/>
      <w:lvlText w:val="%1"/>
      <w:numFmt w:val="decimal"/>
      <w:start w:val="42"/>
    </w:lvl>
  </w:abstractNum>
  <w:abstractNum w:abstractNumId="93">
    <w:nsid w:val="11B1CC33"/>
    <w:multiLevelType w:val="hybridMultilevel"/>
    <w:lvl w:ilvl="0">
      <w:lvlJc w:val="left"/>
      <w:lvlText w:val="%1"/>
      <w:numFmt w:val="decimal"/>
      <w:start w:val="44"/>
    </w:lvl>
  </w:abstractNum>
  <w:abstractNum w:abstractNumId="94">
    <w:nsid w:val="2E22FBB7"/>
    <w:multiLevelType w:val="hybridMultilevel"/>
    <w:lvl w:ilvl="0">
      <w:lvlJc w:val="left"/>
      <w:lvlText w:val="%1"/>
      <w:numFmt w:val="decimal"/>
      <w:start w:val="46"/>
    </w:lvl>
  </w:abstractNum>
  <w:abstractNum w:abstractNumId="95">
    <w:nsid w:val="29934699"/>
    <w:multiLevelType w:val="hybridMultilevel"/>
    <w:lvl w:ilvl="0">
      <w:lvlJc w:val="left"/>
      <w:lvlText w:val="%1."/>
      <w:numFmt w:val="decimal"/>
      <w:start w:val="1"/>
    </w:lvl>
  </w:abstractNum>
  <w:abstractNum w:abstractNumId="96">
    <w:nsid w:val="77485850"/>
    <w:multiLevelType w:val="hybridMultilevel"/>
    <w:lvl w:ilvl="0">
      <w:lvlJc w:val="left"/>
      <w:lvlText w:val="%1."/>
      <w:numFmt w:val="decimal"/>
      <w:start w:val="4"/>
    </w:lvl>
  </w:abstractNum>
  <w:abstractNum w:abstractNumId="97">
    <w:nsid w:val="744939A3"/>
    <w:multiLevelType w:val="hybridMultilevel"/>
    <w:lvl w:ilvl="0">
      <w:lvlJc w:val="left"/>
      <w:lvlText w:val="%1"/>
      <w:numFmt w:val="decimal"/>
      <w:start w:val="47"/>
    </w:lvl>
  </w:abstractNum>
  <w:abstractNum w:abstractNumId="98">
    <w:nsid w:val="4FA0D2E3"/>
    <w:multiLevelType w:val="hybridMultilevel"/>
    <w:lvl w:ilvl="0">
      <w:lvlJc w:val="left"/>
      <w:lvlText w:val="%1."/>
      <w:numFmt w:val="decimal"/>
      <w:start w:val="1"/>
    </w:lvl>
  </w:abstractNum>
  <w:abstractNum w:abstractNumId="99">
    <w:nsid w:val="6B1D2C14"/>
    <w:multiLevelType w:val="hybridMultilevel"/>
    <w:lvl w:ilvl="0">
      <w:lvlJc w:val="left"/>
      <w:lvlText w:val="%1."/>
      <w:numFmt w:val="decimal"/>
      <w:start w:val="3"/>
    </w:lvl>
  </w:abstractNum>
  <w:abstractNum w:abstractNumId="100">
    <w:nsid w:val="68B867D3"/>
    <w:multiLevelType w:val="hybridMultilevel"/>
    <w:lvl w:ilvl="0">
      <w:lvlJc w:val="left"/>
      <w:lvlText w:val="%1."/>
      <w:numFmt w:val="decimal"/>
      <w:start w:val="7"/>
    </w:lvl>
  </w:abstractNum>
  <w:abstractNum w:abstractNumId="101">
    <w:nsid w:val="3F7F5DD9"/>
    <w:multiLevelType w:val="hybridMultilevel"/>
    <w:lvl w:ilvl="0">
      <w:lvlJc w:val="left"/>
      <w:lvlText w:val="7.%1."/>
      <w:numFmt w:val="decimal"/>
      <w:start w:val="1"/>
    </w:lvl>
  </w:abstractNum>
  <w:abstractNum w:abstractNumId="102">
    <w:nsid w:val="2AE05A34"/>
    <w:multiLevelType w:val="hybridMultilevel"/>
    <w:lvl w:ilvl="0">
      <w:lvlJc w:val="left"/>
      <w:lvlText w:val="%1"/>
      <w:numFmt w:val="decimal"/>
      <w:start w:val="49"/>
    </w:lvl>
  </w:abstractNum>
  <w:abstractNum w:abstractNumId="103">
    <w:nsid w:val="32794FF7"/>
    <w:multiLevelType w:val="hybridMultilevel"/>
    <w:lvl w:ilvl="0">
      <w:lvlJc w:val="left"/>
      <w:lvlText w:val="%1"/>
      <w:numFmt w:val="decimal"/>
      <w:start w:val="51"/>
    </w:lvl>
  </w:abstractNum>
  <w:abstractNum w:abstractNumId="104">
    <w:nsid w:val="5454945E"/>
    <w:multiLevelType w:val="hybridMultilevel"/>
    <w:lvl w:ilvl="0">
      <w:lvlJc w:val="left"/>
      <w:lvlText w:val="%1."/>
      <w:numFmt w:val="decimal"/>
      <w:start w:val="1"/>
    </w:lvl>
  </w:abstractNum>
  <w:abstractNum w:abstractNumId="105">
    <w:nsid w:val="4DEFDFA0"/>
    <w:multiLevelType w:val="hybridMultilevel"/>
    <w:lvl w:ilvl="0">
      <w:lvlJc w:val="left"/>
      <w:lvlText w:val="%1"/>
      <w:numFmt w:val="decimal"/>
      <w:start w:val="53"/>
    </w:lvl>
  </w:abstractNum>
  <w:abstractNum w:abstractNumId="106">
    <w:nsid w:val="2123D5F2"/>
    <w:multiLevelType w:val="hybridMultilevel"/>
    <w:lvl w:ilvl="0">
      <w:lvlJc w:val="left"/>
      <w:lvlText w:val="\endash "/>
      <w:numFmt w:val="bullet"/>
      <w:start w:val="1"/>
    </w:lvl>
  </w:abstractNum>
  <w:abstractNum w:abstractNumId="107">
    <w:nsid w:val="135B8110"/>
    <w:multiLevelType w:val="hybridMultilevel"/>
    <w:lvl w:ilvl="0">
      <w:lvlJc w:val="left"/>
      <w:lvlText w:val="%1"/>
      <w:numFmt w:val="decimal"/>
      <w:start w:val="55"/>
    </w:lvl>
  </w:abstractNum>
  <w:abstractNum w:abstractNumId="108">
    <w:nsid w:val="94927A8"/>
    <w:multiLevelType w:val="hybridMultilevel"/>
    <w:lvl w:ilvl="0">
      <w:lvlJc w:val="left"/>
      <w:lvlText w:val="%1"/>
      <w:numFmt w:val="decimal"/>
      <w:start w:val="56"/>
    </w:lvl>
  </w:abstractNum>
  <w:abstractNum w:abstractNumId="109">
    <w:nsid w:val="DCDF8F6"/>
    <w:multiLevelType w:val="hybridMultilevel"/>
    <w:lvl w:ilvl="0">
      <w:lvlJc w:val="left"/>
      <w:lvlText w:val="%1."/>
      <w:numFmt w:val="decimal"/>
      <w:start w:val="1"/>
    </w:lvl>
  </w:abstractNum>
  <w:abstractNum w:abstractNumId="110">
    <w:nsid w:val="52D7B105"/>
    <w:multiLevelType w:val="hybridMultilevel"/>
    <w:lvl w:ilvl="0">
      <w:lvlJc w:val="left"/>
      <w:lvlText w:val="•"/>
      <w:numFmt w:val="bullet"/>
      <w:start w:val="1"/>
    </w:lvl>
  </w:abstractNum>
  <w:abstractNum w:abstractNumId="111">
    <w:nsid w:val="2E8A6394"/>
    <w:multiLevelType w:val="hybridMultilevel"/>
    <w:lvl w:ilvl="0">
      <w:lvlJc w:val="left"/>
      <w:lvlText w:val="•"/>
      <w:numFmt w:val="bullet"/>
      <w:start w:val="1"/>
    </w:lvl>
  </w:abstractNum>
  <w:abstractNum w:abstractNumId="112">
    <w:nsid w:val="24E60401"/>
    <w:multiLevelType w:val="hybridMultilevel"/>
    <w:lvl w:ilvl="0">
      <w:lvlJc w:val="left"/>
      <w:lvlText w:val="•"/>
      <w:numFmt w:val="bullet"/>
      <w:start w:val="1"/>
    </w:lvl>
  </w:abstractNum>
  <w:abstractNum w:abstractNumId="113">
    <w:nsid w:val="2A6AD9BE"/>
    <w:multiLevelType w:val="hybridMultilevel"/>
    <w:lvl w:ilvl="0">
      <w:lvlJc w:val="left"/>
      <w:lvlText w:val="%1)"/>
      <w:numFmt w:val="lowerLetter"/>
      <w:start w:val="1"/>
    </w:lvl>
  </w:abstractNum>
  <w:abstractNum w:abstractNumId="114">
    <w:nsid w:val="BAAC1B4"/>
    <w:multiLevelType w:val="hybridMultilevel"/>
    <w:lvl w:ilvl="0">
      <w:lvlJc w:val="left"/>
      <w:lvlText w:val="•"/>
      <w:numFmt w:val="bullet"/>
      <w:start w:val="1"/>
    </w:lvl>
  </w:abstractNum>
  <w:abstractNum w:abstractNumId="115">
    <w:nsid w:val="36B2ACBC"/>
    <w:multiLevelType w:val="hybridMultilevel"/>
    <w:lvl w:ilvl="0">
      <w:lvlJc w:val="left"/>
      <w:lvlText w:val="%1"/>
      <w:numFmt w:val="decimal"/>
      <w:start w:val="57"/>
    </w:lvl>
  </w:abstractNum>
  <w:abstractNum w:abstractNumId="116">
    <w:nsid w:val="779D8544"/>
    <w:multiLevelType w:val="hybridMultilevel"/>
    <w:lvl w:ilvl="0">
      <w:lvlJc w:val="left"/>
      <w:lvlText w:val="•"/>
      <w:numFmt w:val="bullet"/>
      <w:start w:val="1"/>
    </w:lvl>
  </w:abstractNum>
  <w:abstractNum w:abstractNumId="117">
    <w:nsid w:val="4AB26E78"/>
    <w:multiLevelType w:val="hybridMultilevel"/>
    <w:lvl w:ilvl="0">
      <w:lvlJc w:val="left"/>
      <w:lvlText w:val="•"/>
      <w:numFmt w:val="bullet"/>
      <w:start w:val="1"/>
    </w:lvl>
  </w:abstractNum>
  <w:abstractNum w:abstractNumId="118">
    <w:nsid w:val="21FAA2FA"/>
    <w:multiLevelType w:val="hybridMultilevel"/>
    <w:lvl w:ilvl="0">
      <w:lvlJc w:val="left"/>
      <w:lvlText w:val="%1."/>
      <w:numFmt w:val="decimal"/>
      <w:start w:val="1"/>
    </w:lvl>
  </w:abstractNum>
  <w:abstractNum w:abstractNumId="119">
    <w:nsid w:val="5451CF49"/>
    <w:multiLevelType w:val="hybridMultilevel"/>
    <w:lvl w:ilvl="0">
      <w:lvlJc w:val="left"/>
      <w:lvlText w:val="%1"/>
      <w:numFmt w:val="decimal"/>
      <w:start w:val="58"/>
    </w:lvl>
  </w:abstractNum>
  <w:abstractNum w:abstractNumId="120">
    <w:nsid w:val="6181EF69"/>
    <w:multiLevelType w:val="hybridMultilevel"/>
    <w:lvl w:ilvl="0">
      <w:lvlJc w:val="left"/>
      <w:lvlText w:val="%1."/>
      <w:numFmt w:val="decimal"/>
      <w:start w:val="2"/>
    </w:lvl>
  </w:abstractNum>
  <w:abstractNum w:abstractNumId="121">
    <w:nsid w:val="3E6400E6"/>
    <w:multiLevelType w:val="hybridMultilevel"/>
    <w:lvl w:ilvl="0">
      <w:lvlJc w:val="left"/>
      <w:lvlText w:val="•"/>
      <w:numFmt w:val="bullet"/>
      <w:start w:val="1"/>
    </w:lvl>
  </w:abstractNum>
  <w:abstractNum w:abstractNumId="122">
    <w:nsid w:val="14217E23"/>
    <w:multiLevelType w:val="hybridMultilevel"/>
    <w:lvl w:ilvl="0">
      <w:lvlJc w:val="left"/>
      <w:lvlText w:val="•"/>
      <w:numFmt w:val="bullet"/>
      <w:start w:val="1"/>
    </w:lvl>
  </w:abstractNum>
  <w:abstractNum w:abstractNumId="123">
    <w:nsid w:val="710757D0"/>
    <w:multiLevelType w:val="hybridMultilevel"/>
    <w:lvl w:ilvl="0">
      <w:lvlJc w:val="left"/>
      <w:lvlText w:val="•"/>
      <w:numFmt w:val="bullet"/>
      <w:start w:val="1"/>
    </w:lvl>
  </w:abstractNum>
  <w:abstractNum w:abstractNumId="124">
    <w:nsid w:val="5015CD1A"/>
    <w:multiLevelType w:val="hybridMultilevel"/>
    <w:lvl w:ilvl="0">
      <w:lvlJc w:val="left"/>
      <w:lvlText w:val="%1)"/>
      <w:numFmt w:val="lowerLetter"/>
      <w:start w:val="1"/>
    </w:lvl>
  </w:abstractNum>
  <w:abstractNum w:abstractNumId="125">
    <w:nsid w:val="424479DA"/>
    <w:multiLevelType w:val="hybridMultilevel"/>
    <w:lvl w:ilvl="0">
      <w:lvlJc w:val="left"/>
      <w:lvlText w:val="•"/>
      <w:numFmt w:val="bullet"/>
      <w:start w:val="1"/>
    </w:lvl>
  </w:abstractNum>
  <w:abstractNum w:abstractNumId="126">
    <w:nsid w:val="1A9A9E69"/>
    <w:multiLevelType w:val="hybridMultilevel"/>
    <w:lvl w:ilvl="0">
      <w:lvlJc w:val="left"/>
      <w:lvlText w:val="%1)"/>
      <w:numFmt w:val="lowerLetter"/>
      <w:start w:val="5"/>
    </w:lvl>
  </w:abstractNum>
  <w:abstractNum w:abstractNumId="127">
    <w:nsid w:val="475E256A"/>
    <w:multiLevelType w:val="hybridMultilevel"/>
    <w:lvl w:ilvl="0">
      <w:lvlJc w:val="left"/>
      <w:lvlText w:val="%1)"/>
      <w:numFmt w:val="lowerLetter"/>
      <w:start w:val="6"/>
    </w:lvl>
  </w:abstractNum>
  <w:abstractNum w:abstractNumId="128">
    <w:nsid w:val="368DB37E"/>
    <w:multiLevelType w:val="hybridMultilevel"/>
    <w:lvl w:ilvl="0">
      <w:lvlJc w:val="left"/>
      <w:lvlText w:val="%1)"/>
      <w:numFmt w:val="lowerLetter"/>
      <w:start w:val="7"/>
    </w:lvl>
  </w:abstractNum>
  <w:abstractNum w:abstractNumId="129">
    <w:nsid w:val="6A3B714C"/>
    <w:multiLevelType w:val="hybridMultilevel"/>
    <w:lvl w:ilvl="0">
      <w:lvlJc w:val="left"/>
      <w:lvlText w:val="%1)"/>
      <w:numFmt w:val="lowerRoman"/>
      <w:start w:val="1"/>
    </w:lvl>
  </w:abstractNum>
  <w:abstractNum w:abstractNumId="130">
    <w:nsid w:val="327B517E"/>
    <w:multiLevelType w:val="hybridMultilevel"/>
    <w:lvl w:ilvl="0">
      <w:lvlJc w:val="left"/>
      <w:lvlText w:val="%1)"/>
      <w:numFmt w:val="lowerLetter"/>
      <w:start w:val="10"/>
    </w:lvl>
  </w:abstractNum>
  <w:abstractNum w:abstractNumId="131">
    <w:nsid w:val="1F461B51"/>
    <w:multiLevelType w:val="hybridMultilevel"/>
    <w:lvl w:ilvl="0">
      <w:lvlJc w:val="left"/>
      <w:lvlText w:val="%1)"/>
      <w:numFmt w:val="lowerLetter"/>
      <w:start w:val="11"/>
    </w:lvl>
  </w:abstractNum>
  <w:abstractNum w:abstractNumId="132">
    <w:nsid w:val="29BACF25"/>
    <w:multiLevelType w:val="hybridMultilevel"/>
    <w:lvl w:ilvl="0">
      <w:lvlJc w:val="left"/>
      <w:lvlText w:val="%1)"/>
      <w:numFmt w:val="lowerLetter"/>
      <w:start w:val="15"/>
    </w:lvl>
  </w:abstractNum>
  <w:abstractNum w:abstractNumId="133">
    <w:nsid w:val="5D5BABB3"/>
    <w:multiLevelType w:val="hybridMultilevel"/>
    <w:lvl w:ilvl="0">
      <w:lvlJc w:val="left"/>
      <w:lvlText w:val="%1."/>
      <w:numFmt w:val="decimal"/>
      <w:start w:val="45"/>
    </w:lvl>
  </w:abstractNum>
  <w:abstractNum w:abstractNumId="134">
    <w:nsid w:val="51BF6B48"/>
    <w:multiLevelType w:val="hybridMultilevel"/>
    <w:lvl w:ilvl="0">
      <w:lvlJc w:val="left"/>
      <w:lvlText w:val="%1)"/>
      <w:numFmt w:val="lowerLetter"/>
      <w:start w:val="1"/>
    </w:lvl>
  </w:abstractNum>
  <w:abstractNum w:abstractNumId="135">
    <w:nsid w:val="7E0F6384"/>
    <w:multiLevelType w:val="hybridMultilevel"/>
    <w:lvl w:ilvl="0">
      <w:lvlJc w:val="left"/>
      <w:lvlText w:val="%1)"/>
      <w:numFmt w:val="lowerLetter"/>
      <w:start w:val="2"/>
    </w:lvl>
  </w:abstractNum>
  <w:abstractNum w:abstractNumId="136">
    <w:nsid w:val="2B4B8B53"/>
    <w:multiLevelType w:val="hybridMultilevel"/>
    <w:lvl w:ilvl="0">
      <w:lvlJc w:val="left"/>
      <w:lvlText w:val="%1)"/>
      <w:numFmt w:val="lowerLetter"/>
      <w:start w:val="4"/>
    </w:lvl>
  </w:abstractNum>
  <w:abstractNum w:abstractNumId="137">
    <w:nsid w:val="72E3413A"/>
    <w:multiLevelType w:val="hybridMultilevel"/>
    <w:lvl w:ilvl="0">
      <w:lvlJc w:val="left"/>
      <w:lvlText w:val="%1)"/>
      <w:numFmt w:val="lowerLetter"/>
      <w:start w:val="7"/>
    </w:lvl>
  </w:abstractNum>
  <w:abstractNum w:abstractNumId="138">
    <w:nsid w:val="116AE494"/>
    <w:multiLevelType w:val="hybridMultilevel"/>
    <w:lvl w:ilvl="0">
      <w:lvlJc w:val="left"/>
      <w:lvlText w:val="%1)"/>
      <w:numFmt w:val="lowerRoman"/>
      <w:start w:val="1"/>
    </w:lvl>
  </w:abstractNum>
  <w:abstractNum w:abstractNumId="139">
    <w:nsid w:val="3494B2FB"/>
    <w:multiLevelType w:val="hybridMultilevel"/>
    <w:lvl w:ilvl="0">
      <w:lvlJc w:val="left"/>
      <w:lvlText w:val="%1)"/>
      <w:numFmt w:val="lowerLetter"/>
      <w:start w:val="10"/>
    </w:lvl>
  </w:abstractNum>
  <w:abstractNum w:abstractNumId="140">
    <w:nsid w:val="B13A31"/>
    <w:multiLevelType w:val="hybridMultilevel"/>
    <w:lvl w:ilvl="0">
      <w:lvlJc w:val="left"/>
      <w:lvlText w:val="%1."/>
      <w:numFmt w:val="decimal"/>
      <w:start w:val="46"/>
    </w:lvl>
  </w:abstractNum>
  <w:abstractNum w:abstractNumId="141">
    <w:nsid w:val="64429599"/>
    <w:multiLevelType w:val="hybridMultilevel"/>
    <w:lvl w:ilvl="0">
      <w:lvlJc w:val="left"/>
      <w:lvlText w:val="(%1)"/>
      <w:numFmt w:val="lowerRoman"/>
      <w:start w:val="1"/>
    </w:lvl>
  </w:abstractNum>
  <w:abstractNum w:abstractNumId="142">
    <w:nsid w:val="631F1690"/>
    <w:multiLevelType w:val="hybridMultilevel"/>
    <w:lvl w:ilvl="0">
      <w:lvlJc w:val="left"/>
      <w:lvlText w:val="%1."/>
      <w:numFmt w:val="decimal"/>
      <w:start w:val="47"/>
    </w:lvl>
  </w:abstractNum>
  <w:abstractNum w:abstractNumId="143">
    <w:nsid w:val="25973E32"/>
    <w:multiLevelType w:val="hybridMultilevel"/>
    <w:lvl w:ilvl="0">
      <w:lvlJc w:val="left"/>
      <w:lvlText w:val="(%1)"/>
      <w:numFmt w:val="lowerRoman"/>
      <w:start w:val="1"/>
    </w:lvl>
  </w:abstractNum>
  <w:abstractNum w:abstractNumId="144">
    <w:nsid w:val="EAD6F57"/>
    <w:multiLevelType w:val="hybridMultilevel"/>
    <w:lvl w:ilvl="0">
      <w:lvlJc w:val="left"/>
      <w:lvlText w:val="%1."/>
      <w:numFmt w:val="decimal"/>
      <w:start w:val="48"/>
    </w:lvl>
  </w:abstractNum>
  <w:abstractNum w:abstractNumId="145">
    <w:nsid w:val="6EC9D844"/>
    <w:multiLevelType w:val="hybridMultilevel"/>
    <w:lvl w:ilvl="0">
      <w:lvlJc w:val="left"/>
      <w:lvlText w:val="(%1)"/>
      <w:numFmt w:val="lowerRoman"/>
      <w:start w:val="1"/>
    </w:lvl>
  </w:abstractNum>
  <w:abstractNum w:abstractNumId="146">
    <w:nsid w:val="5C49EAEE"/>
    <w:multiLevelType w:val="hybridMultilevel"/>
    <w:lvl w:ilvl="0">
      <w:lvlJc w:val="left"/>
      <w:lvlText w:val="(%1)"/>
      <w:numFmt w:val="lowerRoman"/>
      <w:start w:val="2"/>
    </w:lvl>
  </w:abstractNum>
  <w:abstractNum w:abstractNumId="147">
    <w:nsid w:val="64AF49B"/>
    <w:multiLevelType w:val="hybridMultilevel"/>
    <w:lvl w:ilvl="0">
      <w:lvlJc w:val="left"/>
      <w:lvlText w:val="\endash "/>
      <w:numFmt w:val="bullet"/>
      <w:start w:val="1"/>
    </w:lvl>
  </w:abstractNum>
  <w:abstractNum w:abstractNumId="148">
    <w:nsid w:val="397C46BC"/>
    <w:multiLevelType w:val="hybridMultilevel"/>
    <w:lvl w:ilvl="0">
      <w:lvlJc w:val="left"/>
      <w:lvlText w:val="\endash "/>
      <w:numFmt w:val="bullet"/>
      <w:start w:val="1"/>
    </w:lvl>
  </w:abstractNum>
  <w:abstractNum w:abstractNumId="149">
    <w:nsid w:val="7E448DE9"/>
    <w:multiLevelType w:val="hybridMultilevel"/>
    <w:lvl w:ilvl="0">
      <w:lvlJc w:val="left"/>
      <w:lvlText w:val="(%1)"/>
      <w:numFmt w:val="lowerRoman"/>
      <w:start w:val="4"/>
    </w:lvl>
  </w:abstractNum>
  <w:abstractNum w:abstractNumId="150">
    <w:nsid w:val="5A9CC3E5"/>
    <w:multiLevelType w:val="hybridMultilevel"/>
    <w:lvl w:ilvl="0">
      <w:lvlJc w:val="left"/>
      <w:lvlText w:val="(%1)"/>
      <w:numFmt w:val="lowerRoman"/>
      <w:start w:val="1"/>
    </w:lvl>
  </w:abstractNum>
  <w:abstractNum w:abstractNumId="151">
    <w:nsid w:val="1AFE3625"/>
    <w:multiLevelType w:val="hybridMultilevel"/>
    <w:lvl w:ilvl="0">
      <w:lvlJc w:val="left"/>
      <w:lvlText w:val="(%1)"/>
      <w:numFmt w:val="lowerRoman"/>
      <w:start w:val="5"/>
    </w:lvl>
  </w:abstractNum>
  <w:abstractNum w:abstractNumId="152">
    <w:nsid w:val="3CA88ECF"/>
    <w:multiLevelType w:val="hybridMultilevel"/>
    <w:lvl w:ilvl="0">
      <w:lvlJc w:val="left"/>
      <w:lvlText w:val="(%1)"/>
      <w:numFmt w:val="lowerLetter"/>
      <w:start w:val="1"/>
    </w:lvl>
  </w:abstractNum>
  <w:abstractNum w:abstractNumId="153">
    <w:nsid w:val="6EBE4208"/>
    <w:multiLevelType w:val="hybridMultilevel"/>
    <w:lvl w:ilvl="0">
      <w:lvlJc w:val="left"/>
      <w:lvlText w:val="(%1)"/>
      <w:numFmt w:val="lowerRoman"/>
      <w:start w:val="2"/>
    </w:lvl>
  </w:abstractNum>
  <w:abstractNum w:abstractNumId="154">
    <w:nsid w:val="C058DF5"/>
    <w:multiLevelType w:val="hybridMultilevel"/>
    <w:lvl w:ilvl="0">
      <w:lvlJc w:val="left"/>
      <w:lvlText w:val="(%1)"/>
      <w:numFmt w:val="lowerRoman"/>
      <w:start w:val="1"/>
    </w:lvl>
  </w:abstractNum>
  <w:abstractNum w:abstractNumId="155">
    <w:nsid w:val="CBE5BE9"/>
    <w:multiLevelType w:val="hybridMultilevel"/>
    <w:lvl w:ilvl="0">
      <w:lvlJc w:val="left"/>
      <w:lvlText w:val="(%1)"/>
      <w:numFmt w:val="lowerRoman"/>
      <w:start w:val="2"/>
    </w:lvl>
  </w:abstractNum>
  <w:abstractNum w:abstractNumId="156">
    <w:nsid w:val="3102BBE2"/>
    <w:multiLevelType w:val="hybridMultilevel"/>
    <w:lvl w:ilvl="0">
      <w:lvlJc w:val="left"/>
      <w:lvlText w:val="%1."/>
      <w:numFmt w:val="decimal"/>
      <w:start w:val="49"/>
    </w:lvl>
  </w:abstractNum>
  <w:abstractNum w:abstractNumId="157">
    <w:nsid w:val="26A02C5E"/>
    <w:multiLevelType w:val="hybridMultilevel"/>
    <w:lvl w:ilvl="0">
      <w:lvlJc w:val="left"/>
      <w:lvlText w:val="(%1)"/>
      <w:numFmt w:val="lowerRoman"/>
      <w:start w:val="1"/>
    </w:lvl>
  </w:abstractNum>
  <w:abstractNum w:abstractNumId="158">
    <w:nsid w:val="541C8153"/>
    <w:multiLevelType w:val="hybridMultilevel"/>
    <w:lvl w:ilvl="0">
      <w:lvlJc w:val="left"/>
      <w:lvlText w:val="(%1)"/>
      <w:numFmt w:val="lowerRoman"/>
      <w:start w:val="2"/>
    </w:lvl>
  </w:abstractNum>
  <w:abstractNum w:abstractNumId="159">
    <w:nsid w:val="67906F60"/>
    <w:multiLevelType w:val="hybridMultilevel"/>
    <w:lvl w:ilvl="0">
      <w:lvlJc w:val="left"/>
      <w:lvlText w:val="(%1)"/>
      <w:numFmt w:val="lowerRoman"/>
      <w:start w:val="3"/>
    </w:lvl>
  </w:abstractNum>
  <w:abstractNum w:abstractNumId="160">
    <w:nsid w:val="10DB9DAA"/>
    <w:multiLevelType w:val="hybridMultilevel"/>
    <w:lvl w:ilvl="0">
      <w:lvlJc w:val="left"/>
      <w:lvlText w:val="%1."/>
      <w:numFmt w:val="decimal"/>
      <w:start w:val="50"/>
    </w:lvl>
  </w:abstractNum>
  <w:abstractNum w:abstractNumId="161">
    <w:nsid w:val="697D2D2"/>
    <w:multiLevelType w:val="hybridMultilevel"/>
    <w:lvl w:ilvl="0">
      <w:lvlJc w:val="left"/>
      <w:lvlText w:val="%1."/>
      <w:numFmt w:val="decimal"/>
      <w:start w:val="9"/>
    </w:lvl>
  </w:abstractNum>
  <w:abstractNum w:abstractNumId="162">
    <w:nsid w:val="6D68AB2"/>
    <w:multiLevelType w:val="hybridMultilevel"/>
    <w:lvl w:ilvl="0">
      <w:lvlJc w:val="left"/>
      <w:lvlText w:val="%1."/>
      <w:numFmt w:val="decimal"/>
      <w:start w:val="1"/>
    </w:lvl>
  </w:abstractNum>
  <w:abstractNum w:abstractNumId="163">
    <w:nsid w:val="3A966CD0"/>
    <w:multiLevelType w:val="hybridMultilevel"/>
    <w:lvl w:ilvl="0">
      <w:lvlJc w:val="left"/>
      <w:lvlText w:val="%1."/>
      <w:numFmt w:val="decimal"/>
      <w:start w:val="3"/>
    </w:lvl>
  </w:abstractNum>
  <w:abstractNum w:abstractNumId="164">
    <w:nsid w:val="63F37E85"/>
    <w:multiLevelType w:val="hybridMultilevel"/>
    <w:lvl w:ilvl="0">
      <w:lvlJc w:val="left"/>
      <w:lvlText w:val="%1."/>
      <w:numFmt w:val="upperLetter"/>
      <w:start w:val="35"/>
    </w:lvl>
  </w:abstractNum>
  <w:abstractNum w:abstractNumId="165">
    <w:nsid w:val="5895F5FA"/>
    <w:multiLevelType w:val="hybridMultilevel"/>
    <w:lvl w:ilvl="0">
      <w:lvlJc w:val="left"/>
      <w:lvlText w:val="%1."/>
      <w:numFmt w:val="decimal"/>
      <w:start w:val="1"/>
    </w:lvl>
  </w:abstractNum>
  <w:abstractNum w:abstractNumId="166">
    <w:nsid w:val="38A5D054"/>
    <w:multiLevelType w:val="hybridMultilevel"/>
    <w:lvl w:ilvl="0">
      <w:lvlJc w:val="left"/>
      <w:lvlText w:val="%1."/>
      <w:numFmt w:val="decimal"/>
      <w:start w:val="4"/>
    </w:lvl>
  </w:abstractNum>
  <w:abstractNum w:abstractNumId="167">
    <w:nsid w:val="F3F09D8"/>
    <w:multiLevelType w:val="hybridMultilevel"/>
    <w:lvl w:ilvl="0">
      <w:lvlJc w:val="left"/>
      <w:lvlText w:val="√"/>
      <w:numFmt w:val="bullet"/>
      <w:start w:val="1"/>
    </w:lvl>
  </w:abstractNum>
  <w:abstractNum w:abstractNumId="168">
    <w:nsid w:val="4B793735"/>
    <w:multiLevelType w:val="hybridMultilevel"/>
    <w:lvl w:ilvl="0">
      <w:lvlJc w:val="left"/>
      <w:lvlText w:val="%1)"/>
      <w:numFmt w:val="lowerLetter"/>
      <w:start w:val="2"/>
    </w:lvl>
  </w:abstractNum>
  <w:abstractNum w:abstractNumId="169">
    <w:nsid w:val="4A10B4E8"/>
    <w:multiLevelType w:val="hybridMultilevel"/>
    <w:lvl w:ilvl="0">
      <w:lvlJc w:val="left"/>
      <w:lvlText w:val="%1)"/>
      <w:numFmt w:val="lowerLetter"/>
      <w:start w:val="4"/>
    </w:lvl>
  </w:abstractNum>
  <w:abstractNum w:abstractNumId="170">
    <w:nsid w:val="43D3BCD4"/>
    <w:multiLevelType w:val="hybridMultilevel"/>
    <w:lvl w:ilvl="0">
      <w:lvlJc w:val="left"/>
      <w:lvlText w:val="%1)"/>
      <w:numFmt w:val="lowerLetter"/>
      <w:start w:val="1"/>
    </w:lvl>
  </w:abstractNum>
  <w:abstractNum w:abstractNumId="171">
    <w:nsid w:val="4C2A7166"/>
    <w:multiLevelType w:val="hybridMultilevel"/>
    <w:lvl w:ilvl="0">
      <w:lvlJc w:val="left"/>
      <w:lvlText w:val="√"/>
      <w:numFmt w:val="bullet"/>
      <w:start w:val="1"/>
    </w:lvl>
  </w:abstractNum>
  <w:abstractNum w:abstractNumId="172">
    <w:nsid w:val="2E534A82"/>
    <w:multiLevelType w:val="hybridMultilevel"/>
    <w:lvl w:ilvl="0">
      <w:lvlJc w:val="left"/>
      <w:lvlText w:val="(%1)"/>
      <w:numFmt w:val="lowerRoman"/>
      <w:start w:val="2"/>
    </w:lvl>
  </w:abstractNum>
  <w:abstractNum w:abstractNumId="173">
    <w:nsid w:val="26F2D364"/>
    <w:multiLevelType w:val="hybridMultilevel"/>
    <w:lvl w:ilvl="0">
      <w:lvlJc w:val="left"/>
      <w:lvlText w:val="%1."/>
      <w:numFmt w:val="decimal"/>
      <w:start w:val="51"/>
    </w:lvl>
  </w:abstractNum>
  <w:abstractNum w:abstractNumId="174">
    <w:nsid w:val="71C1AF98"/>
    <w:multiLevelType w:val="hybridMultilevel"/>
    <w:lvl w:ilvl="0">
      <w:lvlJc w:val="left"/>
      <w:lvlText w:val="%1."/>
      <w:numFmt w:val="decimal"/>
      <w:start w:val="52"/>
    </w:lvl>
  </w:abstractNum>
  <w:abstractNum w:abstractNumId="175">
    <w:nsid w:val="3D00B9D9"/>
    <w:multiLevelType w:val="hybridMultilevel"/>
    <w:lvl w:ilvl="0">
      <w:lvlJc w:val="left"/>
      <w:lvlText w:val="%1."/>
      <w:numFmt w:val="decimal"/>
      <w:start w:val="57"/>
    </w:lvl>
  </w:abstractNum>
  <w:abstractNum w:abstractNumId="176">
    <w:nsid w:val="15BCABA8"/>
    <w:multiLevelType w:val="hybridMultilevel"/>
    <w:lvl w:ilvl="0">
      <w:lvlJc w:val="left"/>
      <w:lvlText w:val="%1."/>
      <w:numFmt w:val="decimal"/>
      <w:start w:val="63"/>
    </w:lvl>
  </w:abstractNum>
  <w:abstractNum w:abstractNumId="177">
    <w:nsid w:val="4E0B9A87"/>
    <w:multiLevelType w:val="hybridMultilevel"/>
    <w:lvl w:ilvl="0">
      <w:lvlJc w:val="left"/>
      <w:lvlText w:val="%1."/>
      <w:numFmt w:val="decimal"/>
      <w:start w:val="64"/>
    </w:lvl>
  </w:abstractNum>
  <w:abstractNum w:abstractNumId="178">
    <w:nsid w:val="434BAE75"/>
    <w:multiLevelType w:val="hybridMultilevel"/>
    <w:lvl w:ilvl="0">
      <w:lvlJc w:val="left"/>
      <w:lvlText w:val="%1)"/>
      <w:numFmt w:val="lowerLetter"/>
      <w:start w:val="1"/>
    </w:lvl>
  </w:abstractNum>
  <w:abstractNum w:abstractNumId="179">
    <w:nsid w:val="4F38F265"/>
    <w:multiLevelType w:val="hybridMultilevel"/>
    <w:lvl w:ilvl="0">
      <w:lvlJc w:val="left"/>
      <w:lvlText w:val="%1"/>
      <w:numFmt w:val="decimal"/>
      <w:start w:val="62"/>
    </w:lvl>
  </w:abstractNum>
  <w:abstractNum w:abstractNumId="180">
    <w:nsid w:val="4C502870"/>
    <w:multiLevelType w:val="hybridMultilevel"/>
    <w:lvl w:ilvl="0">
      <w:lvlJc w:val="left"/>
      <w:lvlText w:val="%1."/>
      <w:numFmt w:val="decimal"/>
      <w:start w:val="1"/>
    </w:lvl>
  </w:abstractNum>
  <w:abstractNum w:abstractNumId="181">
    <w:nsid w:val="1DE8725A"/>
    <w:multiLevelType w:val="hybridMultilevel"/>
    <w:lvl w:ilvl="0">
      <w:lvlJc w:val="left"/>
      <w:lvlText w:val="%1)"/>
      <w:numFmt w:val="lowerLetter"/>
      <w:start w:val="3"/>
    </w:lvl>
  </w:abstractNum>
  <w:abstractNum w:abstractNumId="182">
    <w:nsid w:val="6A37288A"/>
    <w:multiLevelType w:val="hybridMultilevel"/>
    <w:lvl w:ilvl="0">
      <w:lvlJc w:val="left"/>
      <w:lvlText w:val="%1)"/>
      <w:numFmt w:val="lowerLetter"/>
      <w:start w:val="1"/>
    </w:lvl>
  </w:abstractNum>
  <w:abstractNum w:abstractNumId="183">
    <w:nsid w:val="8F8B73F"/>
    <w:multiLevelType w:val="hybridMultilevel"/>
    <w:lvl w:ilvl="0">
      <w:lvlJc w:val="left"/>
      <w:lvlText w:val="•"/>
      <w:numFmt w:val="bullet"/>
      <w:start w:val="1"/>
    </w:lvl>
    <w:lvl w:ilvl="1">
      <w:lvlJc w:val="left"/>
      <w:lvlText w:val="•"/>
      <w:numFmt w:val="bullet"/>
      <w:start w:val="1"/>
    </w:lvl>
  </w:abstractNum>
  <w:abstractNum w:abstractNumId="184">
    <w:nsid w:val="CA6B462"/>
    <w:multiLevelType w:val="hybridMultilevel"/>
    <w:lvl w:ilvl="0">
      <w:lvlJc w:val="left"/>
      <w:lvlText w:val="%1)"/>
      <w:numFmt w:val="lowerLetter"/>
      <w:start w:val="1"/>
    </w:lvl>
  </w:abstractNum>
  <w:abstractNum w:abstractNumId="185">
    <w:nsid w:val="763CB680"/>
    <w:multiLevelType w:val="hybridMultilevel"/>
    <w:lvl w:ilvl="0">
      <w:lvlJc w:val="left"/>
      <w:lvlText w:val="•"/>
      <w:numFmt w:val="bullet"/>
      <w:start w:val="1"/>
    </w:lvl>
  </w:abstractNum>
  <w:abstractNum w:abstractNumId="186">
    <w:nsid w:val="15B71329"/>
    <w:multiLevelType w:val="hybridMultilevel"/>
    <w:lvl w:ilvl="0">
      <w:lvlJc w:val="left"/>
      <w:lvlText w:val="%1)"/>
      <w:numFmt w:val="lowerLetter"/>
      <w:start w:val="6"/>
    </w:lvl>
  </w:abstractNum>
  <w:abstractNum w:abstractNumId="187">
    <w:nsid w:val="3DA97044"/>
    <w:multiLevelType w:val="hybridMultilevel"/>
    <w:lvl w:ilvl="0">
      <w:lvlJc w:val="left"/>
      <w:lvlText w:val="%1)"/>
      <w:numFmt w:val="lowerLetter"/>
      <w:start w:val="1"/>
    </w:lvl>
  </w:abstractNum>
  <w:abstractNum w:abstractNumId="188">
    <w:nsid w:val="1CDCE2DE"/>
    <w:multiLevelType w:val="hybridMultilevel"/>
    <w:lvl w:ilvl="0">
      <w:lvlJc w:val="left"/>
      <w:lvlText w:val="•"/>
      <w:numFmt w:val="bullet"/>
      <w:start w:val="1"/>
    </w:lvl>
  </w:abstractNum>
  <w:abstractNum w:abstractNumId="189">
    <w:nsid w:val="69D3947C"/>
    <w:multiLevelType w:val="hybridMultilevel"/>
    <w:lvl w:ilvl="0">
      <w:lvlJc w:val="left"/>
      <w:lvlText w:val="%1."/>
      <w:numFmt w:val="decimal"/>
      <w:start w:val="2"/>
    </w:lvl>
  </w:abstractNum>
  <w:abstractNum w:abstractNumId="190">
    <w:nsid w:val="2539DFA5"/>
    <w:multiLevelType w:val="hybridMultilevel"/>
    <w:lvl w:ilvl="0">
      <w:lvlJc w:val="left"/>
      <w:lvlText w:val="2.%1."/>
      <w:numFmt w:val="decimal"/>
      <w:start w:val="1"/>
    </w:lvl>
  </w:abstractNum>
  <w:abstractNum w:abstractNumId="191">
    <w:nsid w:val="2DB88089"/>
    <w:multiLevelType w:val="hybridMultilevel"/>
    <w:lvl w:ilvl="0">
      <w:lvlJc w:val="left"/>
      <w:lvlText w:val="•"/>
      <w:numFmt w:val="bullet"/>
      <w:start w:val="1"/>
    </w:lvl>
  </w:abstractNum>
  <w:abstractNum w:abstractNumId="192">
    <w:nsid w:val="706B674E"/>
    <w:multiLevelType w:val="hybridMultilevel"/>
    <w:lvl w:ilvl="0">
      <w:lvlJc w:val="left"/>
      <w:lvlText w:val="•"/>
      <w:numFmt w:val="bullet"/>
      <w:start w:val="1"/>
    </w:lvl>
  </w:abstractNum>
  <w:abstractNum w:abstractNumId="193">
    <w:nsid w:val="2C106A57"/>
    <w:multiLevelType w:val="hybridMultilevel"/>
    <w:lvl w:ilvl="0">
      <w:lvlJc w:val="left"/>
      <w:lvlText w:val="•"/>
      <w:numFmt w:val="bullet"/>
      <w:start w:val="1"/>
    </w:lvl>
  </w:abstractNum>
  <w:abstractNum w:abstractNumId="194">
    <w:nsid w:val="684EED59"/>
    <w:multiLevelType w:val="hybridMultilevel"/>
    <w:lvl w:ilvl="0">
      <w:lvlJc w:val="left"/>
      <w:lvlText w:val="%1)"/>
      <w:numFmt w:val="lowerLetter"/>
      <w:start w:val="1"/>
    </w:lvl>
  </w:abstractNum>
  <w:abstractNum w:abstractNumId="195">
    <w:nsid w:val="545EE5D3"/>
    <w:multiLevelType w:val="hybridMultilevel"/>
    <w:lvl w:ilvl="0">
      <w:lvlJc w:val="left"/>
      <w:lvlText w:val="%1)"/>
      <w:numFmt w:val="lowerLetter"/>
      <w:start w:val="5"/>
    </w:lvl>
  </w:abstractNum>
  <w:abstractNum w:abstractNumId="196">
    <w:nsid w:val="4A66051"/>
    <w:multiLevelType w:val="hybridMultilevel"/>
    <w:lvl w:ilvl="0">
      <w:lvlJc w:val="left"/>
      <w:lvlText w:val="•"/>
      <w:numFmt w:val="bullet"/>
      <w:start w:val="1"/>
    </w:lvl>
  </w:abstractNum>
  <w:abstractNum w:abstractNumId="197">
    <w:nsid w:val="20F4BDAD"/>
    <w:multiLevelType w:val="hybridMultilevel"/>
    <w:lvl w:ilvl="0">
      <w:lvlJc w:val="left"/>
      <w:lvlText w:val="%1)"/>
      <w:numFmt w:val="lowerLetter"/>
      <w:start w:val="2"/>
    </w:lvl>
  </w:abstractNum>
  <w:abstractNum w:abstractNumId="198">
    <w:nsid w:val="639DEFAC"/>
    <w:multiLevelType w:val="hybridMultilevel"/>
    <w:lvl w:ilvl="0">
      <w:lvlJc w:val="left"/>
      <w:lvlText w:val="%1."/>
      <w:numFmt w:val="decimal"/>
      <w:start w:val="66"/>
    </w:lvl>
  </w:abstractNum>
  <w:abstractNum w:abstractNumId="199">
    <w:nsid w:val="501F9786"/>
    <w:multiLevelType w:val="hybridMultilevel"/>
    <w:lvl w:ilvl="0">
      <w:lvlJc w:val="left"/>
      <w:lvlText w:val="%1."/>
      <w:numFmt w:val="decimal"/>
      <w:start w:val="67"/>
    </w:lvl>
  </w:abstractNum>
  <w:abstractNum w:abstractNumId="200">
    <w:nsid w:val="6B057295"/>
    <w:multiLevelType w:val="hybridMultilevel"/>
    <w:lvl w:ilvl="0">
      <w:lvlJc w:val="left"/>
      <w:lvlText w:val="%1."/>
      <w:numFmt w:val="decimal"/>
      <w:start w:val="69"/>
    </w:lvl>
  </w:abstractNum>
  <w:abstractNum w:abstractNumId="201">
    <w:nsid w:val="2771AC80"/>
    <w:multiLevelType w:val="hybridMultilevel"/>
    <w:lvl w:ilvl="0">
      <w:lvlJc w:val="left"/>
      <w:lvlText w:val="%1."/>
      <w:numFmt w:val="decimal"/>
      <w:start w:val="78"/>
    </w:lvl>
  </w:abstractNum>
  <w:abstractNum w:abstractNumId="202">
    <w:nsid w:val="1C4A08EC"/>
    <w:multiLevelType w:val="hybridMultilevel"/>
    <w:lvl w:ilvl="0">
      <w:lvlJc w:val="left"/>
      <w:lvlText w:val="%1."/>
      <w:numFmt w:val="decimal"/>
      <w:start w:val="84"/>
    </w:lvl>
  </w:abstractNum>
  <w:abstractNum w:abstractNumId="203">
    <w:nsid w:val="1958BD17"/>
    <w:multiLevelType w:val="hybridMultilevel"/>
    <w:lvl w:ilvl="0">
      <w:lvlJc w:val="left"/>
      <w:lvlText w:val="%1."/>
      <w:numFmt w:val="decimal"/>
      <w:start w:val="86"/>
    </w:lvl>
  </w:abstractNum>
  <w:abstractNum w:abstractNumId="204">
    <w:nsid w:val="4E647FE4"/>
    <w:multiLevelType w:val="hybridMultilevel"/>
    <w:lvl w:ilvl="0">
      <w:lvlJc w:val="left"/>
      <w:lvlText w:val="%1."/>
      <w:numFmt w:val="decimal"/>
      <w:start w:val="88"/>
    </w:lvl>
  </w:abstractNum>
  <w:abstractNum w:abstractNumId="205">
    <w:nsid w:val="E0BB885"/>
    <w:multiLevelType w:val="hybridMultilevel"/>
    <w:lvl w:ilvl="0">
      <w:lvlJc w:val="left"/>
      <w:lvlText w:val="%1"/>
      <w:numFmt w:val="decimal"/>
      <w:start w:val="63"/>
    </w:lvl>
  </w:abstractNum>
  <w:abstractNum w:abstractNumId="206">
    <w:nsid w:val="565976F1"/>
    <w:multiLevelType w:val="hybridMultilevel"/>
    <w:lvl w:ilvl="0">
      <w:lvlJc w:val="left"/>
      <w:lvlText w:val="%1."/>
      <w:numFmt w:val="decimal"/>
      <w:start w:val="91"/>
    </w:lvl>
  </w:abstractNum>
  <w:abstractNum w:abstractNumId="207">
    <w:nsid w:val="64212B8C"/>
    <w:multiLevelType w:val="hybridMultilevel"/>
    <w:lvl w:ilvl="0">
      <w:lvlJc w:val="left"/>
      <w:lvlText w:val="%1"/>
      <w:numFmt w:val="decimal"/>
      <w:start w:val="64"/>
    </w:lvl>
  </w:abstractNum>
  <w:abstractNum w:abstractNumId="208">
    <w:nsid w:val="5C17530C"/>
    <w:multiLevelType w:val="hybridMultilevel"/>
    <w:lvl w:ilvl="0">
      <w:lvlJc w:val="left"/>
      <w:lvlText w:val="%1"/>
      <w:numFmt w:val="decimal"/>
      <w:start w:val="65"/>
    </w:lvl>
  </w:abstractNum>
  <w:abstractNum w:abstractNumId="209">
    <w:nsid w:val="19A52566"/>
    <w:multiLevelType w:val="hybridMultilevel"/>
    <w:lvl w:ilvl="0">
      <w:lvlJc w:val="left"/>
      <w:lvlText w:val="%1"/>
      <w:numFmt w:val="decimal"/>
      <w:start w:val="70"/>
    </w:lvl>
  </w:abstractNum>
  <w:abstractNum w:abstractNumId="210">
    <w:nsid w:val="335A1DF1"/>
    <w:multiLevelType w:val="hybridMultilevel"/>
    <w:lvl w:ilvl="0">
      <w:lvlJc w:val="left"/>
      <w:lvlText w:val="%1"/>
      <w:numFmt w:val="decimal"/>
      <w:start w:val="74"/>
    </w:lvl>
  </w:abstractNum>
  <w:abstractNum w:abstractNumId="211">
    <w:nsid w:val="28677B7C"/>
    <w:multiLevelType w:val="hybridMultilevel"/>
    <w:lvl w:ilvl="0">
      <w:lvlJc w:val="left"/>
      <w:lvlText w:val="%1"/>
      <w:numFmt w:val="decimal"/>
      <w:start w:val="76"/>
    </w:lvl>
  </w:abstractNum>
  <w:abstractNum w:abstractNumId="212">
    <w:nsid w:val="378D97C0"/>
    <w:multiLevelType w:val="hybridMultilevel"/>
    <w:lvl w:ilvl="0">
      <w:lvlJc w:val="left"/>
      <w:lvlText w:val="•"/>
      <w:numFmt w:val="bullet"/>
      <w:start w:val="1"/>
    </w:lvl>
  </w:abstractNum>
  <w:abstractNum w:abstractNumId="213">
    <w:nsid w:val="1D91467C"/>
    <w:multiLevelType w:val="hybridMultilevel"/>
    <w:lvl w:ilvl="0">
      <w:lvlJc w:val="left"/>
      <w:lvlText w:val="%1"/>
      <w:numFmt w:val="decimal"/>
      <w:start w:val="77"/>
    </w:lvl>
  </w:abstractNum>
  <w:abstractNum w:abstractNumId="214">
    <w:nsid w:val="316032BB"/>
    <w:multiLevelType w:val="hybridMultilevel"/>
    <w:lvl w:ilvl="0">
      <w:lvlJc w:val="left"/>
      <w:lvlText w:val="•"/>
      <w:numFmt w:val="bullet"/>
      <w:start w:val="1"/>
    </w:lvl>
  </w:abstractNum>
  <w:abstractNum w:abstractNumId="215">
    <w:nsid w:val="44344C22"/>
    <w:multiLevelType w:val="hybridMultilevel"/>
    <w:lvl w:ilvl="0">
      <w:lvlJc w:val="left"/>
      <w:lvlText w:val="%1"/>
      <w:numFmt w:val="decimal"/>
      <w:start w:val="78"/>
    </w:lvl>
  </w:abstractNum>
  <w:abstractNum w:abstractNumId="216">
    <w:nsid w:val="13CDFCFC"/>
    <w:multiLevelType w:val="hybridMultilevel"/>
    <w:lvl w:ilvl="0">
      <w:lvlJc w:val="left"/>
      <w:lvlText w:val="*"/>
      <w:numFmt w:val="bullet"/>
      <w:start w:val="1"/>
    </w:lvl>
  </w:abstractNum>
  <w:abstractNum w:abstractNumId="217">
    <w:nsid w:val="471745E4"/>
    <w:multiLevelType w:val="hybridMultilevel"/>
    <w:lvl w:ilvl="0">
      <w:lvlJc w:val="left"/>
      <w:lvlText w:val="%1."/>
      <w:numFmt w:val="decimal"/>
      <w:start w:val="2"/>
    </w:lvl>
  </w:abstractNum>
  <w:abstractNum w:abstractNumId="218">
    <w:nsid w:val="1DDBC66"/>
    <w:multiLevelType w:val="hybridMultilevel"/>
    <w:lvl w:ilvl="0">
      <w:lvlJc w:val="left"/>
      <w:lvlText w:val="2.%1."/>
      <w:numFmt w:val="decimal"/>
      <w:start w:val="1"/>
    </w:lvl>
  </w:abstractNum>
  <w:abstractNum w:abstractNumId="219">
    <w:nsid w:val="30AADFDA"/>
    <w:multiLevelType w:val="hybridMultilevel"/>
    <w:lvl w:ilvl="0">
      <w:lvlJc w:val="left"/>
      <w:lvlText w:val="\endash "/>
      <w:numFmt w:val="bullet"/>
      <w:start w:val="1"/>
    </w:lvl>
  </w:abstractNum>
  <w:abstractNum w:abstractNumId="220">
    <w:nsid w:val="30EADA61"/>
    <w:multiLevelType w:val="hybridMultilevel"/>
    <w:lvl w:ilvl="0">
      <w:lvlJc w:val="left"/>
      <w:lvlText w:val="\endash "/>
      <w:numFmt w:val="bullet"/>
      <w:start w:val="1"/>
    </w:lvl>
  </w:abstractNum>
  <w:abstractNum w:abstractNumId="221">
    <w:nsid w:val="27179C0B"/>
    <w:multiLevelType w:val="hybridMultilevel"/>
    <w:lvl w:ilvl="0">
      <w:lvlJc w:val="left"/>
      <w:lvlText w:val="%1)"/>
      <w:numFmt w:val="lowerLetter"/>
      <w:start w:val="2"/>
    </w:lvl>
  </w:abstractNum>
  <w:abstractNum w:abstractNumId="222">
    <w:nsid w:val="5E636063"/>
    <w:multiLevelType w:val="hybridMultilevel"/>
    <w:lvl w:ilvl="0">
      <w:lvlJc w:val="left"/>
      <w:lvlText w:val="\endash "/>
      <w:numFmt w:val="bullet"/>
      <w:start w:val="1"/>
    </w:lvl>
  </w:abstractNum>
  <w:abstractNum w:abstractNumId="223">
    <w:nsid w:val="215641AF"/>
    <w:multiLevelType w:val="hybridMultilevel"/>
    <w:lvl w:ilvl="0">
      <w:lvlJc w:val="left"/>
      <w:lvlText w:val="\endash "/>
      <w:numFmt w:val="bullet"/>
      <w:start w:val="1"/>
    </w:lvl>
  </w:abstractNum>
  <w:abstractNum w:abstractNumId="224">
    <w:nsid w:val="53280662"/>
    <w:multiLevelType w:val="hybridMultilevel"/>
    <w:lvl w:ilvl="0">
      <w:lvlJc w:val="left"/>
      <w:lvlText w:val="\endash "/>
      <w:numFmt w:val="bullet"/>
      <w:start w:val="1"/>
    </w:lvl>
  </w:abstractNum>
  <w:abstractNum w:abstractNumId="225">
    <w:nsid w:val="46B24DBC"/>
    <w:multiLevelType w:val="hybridMultilevel"/>
    <w:lvl w:ilvl="0">
      <w:lvlJc w:val="left"/>
      <w:lvlText w:val="-"/>
      <w:numFmt w:val="bullet"/>
      <w:start w:val="1"/>
    </w:lvl>
  </w:abstractNum>
  <w:abstractNum w:abstractNumId="226">
    <w:nsid w:val="75B52783"/>
    <w:multiLevelType w:val="hybridMultilevel"/>
    <w:lvl w:ilvl="0">
      <w:lvlJc w:val="left"/>
      <w:lvlText w:val="\endash "/>
      <w:numFmt w:val="bullet"/>
      <w:start w:val="1"/>
    </w:lvl>
  </w:abstractNum>
  <w:abstractNum w:abstractNumId="227">
    <w:nsid w:val="57CE66B4"/>
    <w:multiLevelType w:val="hybridMultilevel"/>
    <w:lvl w:ilvl="0">
      <w:lvlJc w:val="left"/>
      <w:lvlText w:val="\endash "/>
      <w:numFmt w:val="bullet"/>
      <w:start w:val="1"/>
    </w:lvl>
  </w:abstractNum>
  <w:abstractNum w:abstractNumId="228">
    <w:nsid w:val="67A70B69"/>
    <w:multiLevelType w:val="hybridMultilevel"/>
    <w:lvl w:ilvl="0">
      <w:lvlJc w:val="left"/>
      <w:lvlText w:val="1"/>
      <w:numFmt w:val="bullet"/>
      <w:start w:val="1"/>
    </w:lvl>
  </w:abstractNum>
  <w:abstractNum w:abstractNumId="229">
    <w:nsid w:val="5953172F"/>
    <w:multiLevelType w:val="hybridMultilevel"/>
    <w:lvl w:ilvl="0">
      <w:lvlJc w:val="left"/>
      <w:lvlText w:val="3"/>
      <w:numFmt w:val="bullet"/>
      <w:start w:val="1"/>
    </w:lvl>
  </w:abstractNum>
  <w:abstractNum w:abstractNumId="230">
    <w:nsid w:val="27EDFE3A"/>
    <w:multiLevelType w:val="hybridMultilevel"/>
    <w:lvl w:ilvl="0">
      <w:lvlJc w:val="left"/>
      <w:lvlText w:val="%1)"/>
      <w:numFmt w:val="lowerLetter"/>
      <w:start w:val="2"/>
    </w:lvl>
  </w:abstractNum>
  <w:abstractNum w:abstractNumId="231">
    <w:nsid w:val="52AC7DFF"/>
    <w:multiLevelType w:val="hybridMultilevel"/>
    <w:lvl w:ilvl="0">
      <w:lvlJc w:val="left"/>
      <w:lvlText w:val="%1."/>
      <w:numFmt w:val="decimal"/>
      <w:start w:val="1"/>
    </w:lvl>
  </w:abstractNum>
  <w:abstractNum w:abstractNumId="232">
    <w:nsid w:val="C4C3AF"/>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2026-02-09T16:00:22Z</dcterms:created>
  <dcterms:modified xsi:type="dcterms:W3CDTF">2026-02-09T16:00:22Z</dcterms:modified>
</cp:coreProperties>
</file>