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 the month of December 2015</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7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5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Lima, December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Regulations for Material Events and Restricted Information approved by SMV Resolution N° 005-2014-SMV-01, Credicorp Ltd. complies with notifying you of the following Material Event:</w:t>
      </w:r>
    </w:p>
    <w:p>
      <w:pPr>
        <w:spacing w:after="0" w:line="166"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In its session held on December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2015, Credicorp’s Executive Committee of the Board of Directors unanimously agreed to rearrange its organizational structure in Bolivia to efficiently manage Credicorp’s investments in this country. As such, the Executive Committee approved that:</w:t>
      </w:r>
    </w:p>
    <w:p>
      <w:pPr>
        <w:spacing w:after="0" w:line="200" w:lineRule="exact"/>
        <w:rPr>
          <w:sz w:val="20"/>
          <w:szCs w:val="20"/>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Banco de Credito del Peru (BCP) will transfer its total 14,121 shares in Banco de Credito de Bolivia S.A. (BCB) to Inversiones Credicorp Bolivia S.A. (ICBSA), an indirectly wholly-owned subsidiary of Credicorp Ltd., at a price to be determined by BCP’s CEO and Credicorp’s Executive Committee. This transfer is subject to prior approval from the Financial System Supervisory Authority (ASFI) of Bolivia.</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Grupo Credito S.A., a subsidiary of Credicorp Ltd., will make a capital contribution in Bolivianos equivalent to US$ 163 million to ICBSA to acquire BCP’s total shares in BCB.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ICBSA will become the sole holding of Credicorp’s operating companies in Bolivia.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charts show the “ex-ante” and “ex-post” organizational structure for the companies subject to the aforementioned 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3387725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154940</wp:posOffset>
            </wp:positionV>
            <wp:extent cx="5145405" cy="2769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76987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2015</w:t>
      </w: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Guillermo Morales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2019-12-06T13:46:37Z</dcterms:created>
  <dcterms:modified xsi:type="dcterms:W3CDTF">2019-12-06T13:46:37Z</dcterms:modified>
</cp:coreProperties>
</file>