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60"/>
        <w:spacing w:after="0"/>
        <w:rPr>
          <w:sz w:val="20"/>
          <w:szCs w:val="20"/>
          <w:color w:val="auto"/>
        </w:rPr>
      </w:pPr>
      <w:r>
        <w:rPr>
          <w:rFonts w:ascii="Arial" w:cs="Arial" w:eastAsia="Arial" w:hAnsi="Arial"/>
          <w:sz w:val="18"/>
          <w:szCs w:val="18"/>
          <w:color w:val="auto"/>
        </w:rPr>
        <w:t>Page 1 of 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 10 8</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40" w:hanging="235"/>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212"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13d-1(d)</w:t>
      </w:r>
    </w:p>
    <w:p>
      <w:pPr>
        <w:spacing w:after="0" w:line="300" w:lineRule="exact"/>
        <w:rPr>
          <w:sz w:val="24"/>
          <w:szCs w:val="24"/>
          <w:color w:val="auto"/>
        </w:rPr>
      </w:pPr>
    </w:p>
    <w:p>
      <w:pPr>
        <w:ind w:firstLine="656"/>
        <w:spacing w:after="0" w:line="183" w:lineRule="auto"/>
        <w:tabs>
          <w:tab w:leader="none" w:pos="782" w:val="left"/>
        </w:tabs>
        <w:numPr>
          <w:ilvl w:val="0"/>
          <w:numId w:val="2"/>
        </w:numPr>
        <w:rPr>
          <w:rFonts w:ascii="Arial" w:cs="Arial" w:eastAsia="Arial" w:hAnsi="Arial"/>
          <w:sz w:val="33"/>
          <w:szCs w:val="33"/>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ectPr>
          <w:pgSz w:w="11900" w:h="16838" w:orient="portrait"/>
          <w:cols w:equalWidth="0" w:num="1">
            <w:col w:w="11420"/>
          </w:cols>
          <w:pgMar w:left="240" w:top="239" w:right="239" w:bottom="1440" w:gutter="0" w:footer="0" w:header="0"/>
        </w:sectPr>
      </w:pPr>
    </w:p>
    <w:bookmarkStart w:id="1" w:name="page2"/>
    <w:bookmarkEnd w:id="1"/>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14,873,841</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14,873,841</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14,873,841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15.8%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2" w:name="page3"/>
    <w:bookmarkEnd w:id="2"/>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3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1,103,228</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1,103,228</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1,103,228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1.2%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3" w:name="page4"/>
    <w:bookmarkEnd w:id="3"/>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4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40" w:hanging="859"/>
        <w:spacing w:after="0"/>
        <w:tabs>
          <w:tab w:leader="none" w:pos="1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José Antonio Onrubia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Spain</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10,238,585</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10,238,585</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10,238,585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10.9%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4" w:name="page5"/>
    <w:bookmarkEnd w:id="4"/>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5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del Carmen Onrubia de Beeck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9,574,593</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9,574,593</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9,574,593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10.1%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5" w:name="page6"/>
    <w:bookmarkEnd w:id="5"/>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263,491</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263,491</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263,491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0.3%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6" w:name="page7"/>
    <w:bookmarkEnd w:id="6"/>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7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Lourdes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9,167</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9,167</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520"/>
              <w:spacing w:after="0"/>
              <w:rPr>
                <w:sz w:val="20"/>
                <w:szCs w:val="20"/>
                <w:color w:val="auto"/>
              </w:rPr>
            </w:pPr>
            <w:r>
              <w:rPr>
                <w:rFonts w:ascii="Arial" w:cs="Arial" w:eastAsia="Arial" w:hAnsi="Arial"/>
                <w:sz w:val="18"/>
                <w:szCs w:val="18"/>
                <w:b w:val="1"/>
                <w:bCs w:val="1"/>
                <w:color w:val="auto"/>
                <w:w w:val="95"/>
              </w:rPr>
              <w:t>9,167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7" w:name="page8"/>
    <w:bookmarkEnd w:id="7"/>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8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520"/>
              <w:spacing w:after="0"/>
              <w:rPr>
                <w:sz w:val="20"/>
                <w:szCs w:val="20"/>
                <w:color w:val="auto"/>
              </w:rPr>
            </w:pPr>
            <w:r>
              <w:rPr>
                <w:rFonts w:ascii="Arial" w:cs="Arial" w:eastAsia="Arial" w:hAnsi="Arial"/>
                <w:sz w:val="18"/>
                <w:szCs w:val="18"/>
                <w:b w:val="1"/>
                <w:bCs w:val="1"/>
                <w:color w:val="auto"/>
                <w:w w:val="95"/>
              </w:rPr>
              <w:t>7,332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8" w:name="page9"/>
    <w:bookmarkEnd w:id="8"/>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9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7,730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7,730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520"/>
              <w:spacing w:after="0"/>
              <w:rPr>
                <w:sz w:val="20"/>
                <w:szCs w:val="20"/>
                <w:color w:val="auto"/>
              </w:rPr>
            </w:pPr>
            <w:r>
              <w:rPr>
                <w:rFonts w:ascii="Arial" w:cs="Arial" w:eastAsia="Arial" w:hAnsi="Arial"/>
                <w:sz w:val="18"/>
                <w:szCs w:val="18"/>
                <w:b w:val="1"/>
                <w:bCs w:val="1"/>
                <w:color w:val="auto"/>
                <w:w w:val="95"/>
              </w:rPr>
              <w:t>7,730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9" w:name="page10"/>
    <w:bookmarkEnd w:id="9"/>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10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tcPr>
          <w:p>
            <w:pPr>
              <w:ind w:left="31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gridSpan w:val="3"/>
          </w:tcPr>
          <w:p>
            <w:pPr>
              <w:spacing w:after="0"/>
              <w:rPr>
                <w:sz w:val="13"/>
                <w:szCs w:val="13"/>
                <w:color w:val="auto"/>
              </w:rPr>
            </w:pPr>
          </w:p>
        </w:tc>
        <w:tc>
          <w:tcPr>
            <w:tcW w:w="7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46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0"/>
                <w:szCs w:val="10"/>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46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9"/>
                <w:szCs w:val="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4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520"/>
              <w:spacing w:after="0"/>
              <w:rPr>
                <w:sz w:val="20"/>
                <w:szCs w:val="20"/>
                <w:color w:val="auto"/>
              </w:rPr>
            </w:pPr>
            <w:r>
              <w:rPr>
                <w:rFonts w:ascii="Arial" w:cs="Arial" w:eastAsia="Arial" w:hAnsi="Arial"/>
                <w:sz w:val="18"/>
                <w:szCs w:val="18"/>
                <w:b w:val="1"/>
                <w:bCs w:val="1"/>
                <w:color w:val="auto"/>
                <w:w w:val="91"/>
              </w:rPr>
              <w:t>11,873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90"/>
              </w:rPr>
              <w:t>15.8% (total group shares)</w:t>
            </w:r>
          </w:p>
        </w:tc>
        <w:tc>
          <w:tcPr>
            <w:tcW w:w="7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9"/>
              </w:rPr>
              <w:t>Type of Reporting Person</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146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0" w:name="page11"/>
    <w:bookmarkEnd w:id="10"/>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11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36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536003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74"/>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right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7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1160" w:type="dxa"/>
            <w:vAlign w:val="bottom"/>
            <w:tcBorders>
              <w:right w:val="single" w:sz="8" w:color="808080"/>
            </w:tcBorders>
          </w:tcPr>
          <w:p>
            <w:pPr>
              <w:spacing w:after="0"/>
              <w:rPr>
                <w:sz w:val="12"/>
                <w:szCs w:val="12"/>
                <w:color w:val="auto"/>
              </w:rPr>
            </w:pPr>
          </w:p>
        </w:tc>
        <w:tc>
          <w:tcPr>
            <w:tcW w:w="880" w:type="dxa"/>
            <w:vAlign w:val="bottom"/>
            <w:tcBorders>
              <w:right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520"/>
              <w:spacing w:after="0"/>
              <w:rPr>
                <w:sz w:val="20"/>
                <w:szCs w:val="20"/>
                <w:color w:val="auto"/>
              </w:rPr>
            </w:pPr>
            <w:r>
              <w:rPr>
                <w:rFonts w:ascii="Arial" w:cs="Arial" w:eastAsia="Arial" w:hAnsi="Arial"/>
                <w:sz w:val="18"/>
                <w:szCs w:val="18"/>
                <w:b w:val="1"/>
                <w:bCs w:val="1"/>
                <w:color w:val="auto"/>
              </w:rPr>
              <w:t>513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1" w:name="page12"/>
    <w:bookmarkEnd w:id="11"/>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12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40" w:hanging="859"/>
        <w:spacing w:after="0"/>
        <w:tabs>
          <w:tab w:leader="none" w:pos="1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360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536003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7,164</w:t>
            </w:r>
          </w:p>
        </w:tc>
        <w:tc>
          <w:tcPr>
            <w:tcW w:w="0" w:type="dxa"/>
            <w:vAlign w:val="bottom"/>
          </w:tcPr>
          <w:p>
            <w:pPr>
              <w:spacing w:after="0"/>
              <w:rPr>
                <w:sz w:val="1"/>
                <w:szCs w:val="1"/>
                <w:color w:val="auto"/>
              </w:rPr>
            </w:pPr>
          </w:p>
        </w:tc>
      </w:tr>
      <w:tr>
        <w:trPr>
          <w:trHeight w:val="74"/>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right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7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1160" w:type="dxa"/>
            <w:vAlign w:val="bottom"/>
            <w:tcBorders>
              <w:right w:val="single" w:sz="8" w:color="808080"/>
            </w:tcBorders>
          </w:tcPr>
          <w:p>
            <w:pPr>
              <w:spacing w:after="0"/>
              <w:rPr>
                <w:sz w:val="12"/>
                <w:szCs w:val="12"/>
                <w:color w:val="auto"/>
              </w:rPr>
            </w:pPr>
          </w:p>
        </w:tc>
        <w:tc>
          <w:tcPr>
            <w:tcW w:w="880" w:type="dxa"/>
            <w:vAlign w:val="bottom"/>
            <w:tcBorders>
              <w:right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7,164</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520"/>
              <w:spacing w:after="0"/>
              <w:rPr>
                <w:sz w:val="20"/>
                <w:szCs w:val="20"/>
                <w:color w:val="auto"/>
              </w:rPr>
            </w:pPr>
            <w:r>
              <w:rPr>
                <w:rFonts w:ascii="Arial" w:cs="Arial" w:eastAsia="Arial" w:hAnsi="Arial"/>
                <w:sz w:val="18"/>
                <w:szCs w:val="18"/>
                <w:b w:val="1"/>
                <w:bCs w:val="1"/>
                <w:color w:val="auto"/>
                <w:w w:val="95"/>
              </w:rPr>
              <w:t>7,164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2" w:name="page13"/>
    <w:bookmarkEnd w:id="12"/>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13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La Roncadora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1,039,890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1.1%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3" w:name="page14"/>
    <w:bookmarkEnd w:id="13"/>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14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Birmingham Merchant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3,475,034</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3,475,034</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3,475,034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3.7%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4" w:name="page15"/>
    <w:bookmarkEnd w:id="14"/>
    <w:p>
      <w:pPr>
        <w:spacing w:after="0"/>
        <w:tabs>
          <w:tab w:leader="none" w:pos="72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15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Urigeler Internacional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Panamá</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5,285,672</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5,285,672</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5,285,672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5.6%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5" w:name="page16"/>
    <w:bookmarkEnd w:id="15"/>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16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Maray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682,883</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9,424,551</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682,883</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9,424,551</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10,107,434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10.7%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6" w:name="page17"/>
    <w:bookmarkEnd w:id="16"/>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17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Ransa Comercial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158,000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0.2%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7" w:name="page18"/>
    <w:bookmarkEnd w:id="17"/>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18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Alicorp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Perú</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505,845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0.5%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0" w:right="5200" w:hanging="212"/>
        <w:spacing w:after="0" w:line="268" w:lineRule="auto"/>
        <w:tabs>
          <w:tab w:leader="none" w:pos="1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Consorcio de Alimentos Fabril Pacifico formally changed its name to Alicorp S.A. on February 17, 1997.</w:t>
      </w:r>
    </w:p>
    <w:p>
      <w:pPr>
        <w:sectPr>
          <w:pgSz w:w="11900" w:h="16838" w:orient="portrait"/>
          <w:cols w:equalWidth="0" w:num="1">
            <w:col w:w="11160"/>
          </w:cols>
          <w:pgMar w:left="240" w:top="131" w:right="499" w:bottom="1440" w:gutter="0" w:footer="0" w:header="0"/>
        </w:sectPr>
      </w:pPr>
    </w:p>
    <w:bookmarkStart w:id="18" w:name="page19"/>
    <w:bookmarkEnd w:id="18"/>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19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Robelis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209,127</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209,127</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209,127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0.2%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19" w:name="page20"/>
    <w:bookmarkEnd w:id="19"/>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20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Vineyard Investment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tcPr>
          <w:p>
            <w:pPr>
              <w:ind w:left="31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gridSpan w:val="3"/>
          </w:tcPr>
          <w:p>
            <w:pPr>
              <w:spacing w:after="0"/>
              <w:rPr>
                <w:sz w:val="13"/>
                <w:szCs w:val="13"/>
                <w:color w:val="auto"/>
              </w:rPr>
            </w:pPr>
          </w:p>
        </w:tc>
        <w:tc>
          <w:tcPr>
            <w:tcW w:w="7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7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1,494,784</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46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0"/>
                <w:szCs w:val="10"/>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46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9"/>
                <w:szCs w:val="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1,494,784</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4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320"/>
              <w:spacing w:after="0"/>
              <w:rPr>
                <w:sz w:val="20"/>
                <w:szCs w:val="20"/>
                <w:color w:val="auto"/>
              </w:rPr>
            </w:pPr>
            <w:r>
              <w:rPr>
                <w:rFonts w:ascii="Arial" w:cs="Arial" w:eastAsia="Arial" w:hAnsi="Arial"/>
                <w:sz w:val="18"/>
                <w:szCs w:val="18"/>
                <w:b w:val="1"/>
                <w:bCs w:val="1"/>
                <w:color w:val="auto"/>
                <w:w w:val="89"/>
              </w:rPr>
              <w:t>1,494,784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b w:val="1"/>
                <w:bCs w:val="1"/>
                <w:color w:val="auto"/>
              </w:rPr>
              <w:t>1.6%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90"/>
              </w:rPr>
              <w:t>15.8% (total group shares)</w:t>
            </w:r>
          </w:p>
        </w:tc>
        <w:tc>
          <w:tcPr>
            <w:tcW w:w="7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9"/>
              </w:rPr>
              <w:t>Type of Reporting Person</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142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20" w:name="page21"/>
    <w:bookmarkEnd w:id="20"/>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21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Belle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tcPr>
          <w:p>
            <w:pPr>
              <w:ind w:left="31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gridSpan w:val="3"/>
          </w:tcPr>
          <w:p>
            <w:pPr>
              <w:spacing w:after="0"/>
              <w:rPr>
                <w:sz w:val="13"/>
                <w:szCs w:val="13"/>
                <w:color w:val="auto"/>
              </w:rPr>
            </w:pPr>
          </w:p>
        </w:tc>
        <w:tc>
          <w:tcPr>
            <w:tcW w:w="7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7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1,103,228</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46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0"/>
                <w:szCs w:val="10"/>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7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46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9"/>
                <w:szCs w:val="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1,103,228</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4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320"/>
              <w:spacing w:after="0"/>
              <w:rPr>
                <w:sz w:val="20"/>
                <w:szCs w:val="20"/>
                <w:color w:val="auto"/>
              </w:rPr>
            </w:pPr>
            <w:r>
              <w:rPr>
                <w:rFonts w:ascii="Arial" w:cs="Arial" w:eastAsia="Arial" w:hAnsi="Arial"/>
                <w:sz w:val="18"/>
                <w:szCs w:val="18"/>
                <w:b w:val="1"/>
                <w:bCs w:val="1"/>
                <w:color w:val="auto"/>
                <w:w w:val="89"/>
              </w:rPr>
              <w:t>1,103,228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3"/>
          </w:tcPr>
          <w:p>
            <w:pPr>
              <w:ind w:left="160"/>
              <w:spacing w:after="0"/>
              <w:rPr>
                <w:sz w:val="20"/>
                <w:szCs w:val="20"/>
                <w:color w:val="auto"/>
              </w:rPr>
            </w:pPr>
            <w:r>
              <w:rPr>
                <w:rFonts w:ascii="Arial" w:cs="Arial" w:eastAsia="Arial" w:hAnsi="Arial"/>
                <w:sz w:val="18"/>
                <w:szCs w:val="18"/>
                <w:b w:val="1"/>
                <w:bCs w:val="1"/>
                <w:color w:val="auto"/>
              </w:rPr>
              <w:t>1.2% (individually)</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90"/>
              </w:rPr>
              <w:t>15.8% (total group shares)</w:t>
            </w:r>
          </w:p>
        </w:tc>
        <w:tc>
          <w:tcPr>
            <w:tcW w:w="7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9"/>
              </w:rPr>
              <w:t>Type of Reporting Person</w:t>
            </w:r>
          </w:p>
        </w:tc>
        <w:tc>
          <w:tcPr>
            <w:tcW w:w="7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ind w:left="142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21" w:name="page22"/>
    <w:bookmarkEnd w:id="21"/>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22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859"/>
        <w:spacing w:after="0"/>
        <w:tabs>
          <w:tab w:leader="none" w:pos="16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Sparkling Business,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22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3735"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20" w:type="dxa"/>
            <w:vAlign w:val="bottom"/>
            <w:tcBorders>
              <w:top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0" w:type="dxa"/>
            <w:vAlign w:val="bottom"/>
            <w:tcBorders>
              <w:top w:val="single" w:sz="8" w:color="808080"/>
            </w:tcBorders>
          </w:tcPr>
          <w:p>
            <w:pPr>
              <w:spacing w:after="0"/>
              <w:rPr>
                <w:sz w:val="20"/>
                <w:szCs w:val="20"/>
                <w:color w:val="auto"/>
              </w:rPr>
            </w:pPr>
          </w:p>
        </w:tc>
        <w:tc>
          <w:tcPr>
            <w:tcW w:w="9560" w:type="dxa"/>
            <w:vAlign w:val="bottom"/>
            <w:tcBorders>
              <w:top w:val="single" w:sz="8" w:color="808080"/>
            </w:tcBorders>
            <w:gridSpan w:val="4"/>
          </w:tcPr>
          <w:p>
            <w:pPr>
              <w:ind w:left="40"/>
              <w:spacing w:after="0" w:line="230" w:lineRule="exact"/>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Pr>
          <w:p>
            <w:pPr>
              <w:ind w:left="3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51"/>
        </w:trPr>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gridSpan w:val="3"/>
          </w:tcPr>
          <w:p>
            <w:pPr>
              <w:spacing w:after="0"/>
              <w:rPr>
                <w:sz w:val="13"/>
                <w:szCs w:val="13"/>
                <w:color w:val="auto"/>
              </w:rPr>
            </w:pPr>
          </w:p>
        </w:tc>
        <w:tc>
          <w:tcPr>
            <w:tcW w:w="74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7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4"/>
              </w:rPr>
              <w:t>NUMBER OF</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8"/>
        </w:trPr>
        <w:tc>
          <w:tcPr>
            <w:tcW w:w="1480" w:type="dxa"/>
            <w:vAlign w:val="bottom"/>
            <w:gridSpan w:val="2"/>
            <w:vMerge w:val="continue"/>
          </w:tcPr>
          <w:p>
            <w:pPr>
              <w:spacing w:after="0"/>
              <w:rPr>
                <w:sz w:val="11"/>
                <w:szCs w:val="11"/>
                <w:color w:val="auto"/>
              </w:rPr>
            </w:pPr>
          </w:p>
        </w:tc>
        <w:tc>
          <w:tcPr>
            <w:tcW w:w="1160" w:type="dxa"/>
            <w:vAlign w:val="bottom"/>
            <w:tcBorders>
              <w:right w:val="single" w:sz="8" w:color="808080"/>
            </w:tcBorders>
          </w:tcPr>
          <w:p>
            <w:pPr>
              <w:spacing w:after="0"/>
              <w:rPr>
                <w:sz w:val="11"/>
                <w:szCs w:val="11"/>
                <w:color w:val="auto"/>
              </w:rPr>
            </w:pPr>
          </w:p>
        </w:tc>
        <w:tc>
          <w:tcPr>
            <w:tcW w:w="880" w:type="dxa"/>
            <w:vAlign w:val="bottom"/>
            <w:tcBorders>
              <w:righ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SHARES</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655,887</w:t>
            </w:r>
          </w:p>
        </w:tc>
        <w:tc>
          <w:tcPr>
            <w:tcW w:w="0" w:type="dxa"/>
            <w:vAlign w:val="bottom"/>
          </w:tcPr>
          <w:p>
            <w:pPr>
              <w:spacing w:after="0"/>
              <w:rPr>
                <w:sz w:val="1"/>
                <w:szCs w:val="1"/>
                <w:color w:val="auto"/>
              </w:rPr>
            </w:pPr>
          </w:p>
        </w:tc>
      </w:tr>
      <w:tr>
        <w:trPr>
          <w:trHeight w:val="75"/>
        </w:trPr>
        <w:tc>
          <w:tcPr>
            <w:tcW w:w="1480" w:type="dxa"/>
            <w:vAlign w:val="bottom"/>
            <w:gridSpan w:val="2"/>
            <w:vMerge w:val="restart"/>
          </w:tcPr>
          <w:p>
            <w:pPr>
              <w:ind w:left="220"/>
              <w:spacing w:after="0"/>
              <w:rPr>
                <w:sz w:val="20"/>
                <w:szCs w:val="20"/>
                <w:color w:val="auto"/>
              </w:rPr>
            </w:pPr>
            <w:r>
              <w:rPr>
                <w:rFonts w:ascii="Arial" w:cs="Arial" w:eastAsia="Arial" w:hAnsi="Arial"/>
                <w:sz w:val="18"/>
                <w:szCs w:val="18"/>
                <w:color w:val="auto"/>
                <w:w w:val="97"/>
              </w:rPr>
              <w:t>BENEFICIALLY</w:t>
            </w:r>
          </w:p>
        </w:tc>
        <w:tc>
          <w:tcPr>
            <w:tcW w:w="1160" w:type="dxa"/>
            <w:vAlign w:val="bottom"/>
            <w:tcBorders>
              <w:right w:val="single" w:sz="8" w:color="808080"/>
            </w:tcBorders>
          </w:tcPr>
          <w:p>
            <w:pPr>
              <w:spacing w:after="0"/>
              <w:rPr>
                <w:sz w:val="6"/>
                <w:szCs w:val="6"/>
                <w:color w:val="auto"/>
              </w:rPr>
            </w:pPr>
          </w:p>
        </w:tc>
        <w:tc>
          <w:tcPr>
            <w:tcW w:w="880" w:type="dxa"/>
            <w:vAlign w:val="bottom"/>
            <w:tcBorders>
              <w:bottom w:val="single" w:sz="8" w:color="808080"/>
              <w:right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8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80" w:type="dxa"/>
            <w:vAlign w:val="bottom"/>
            <w:gridSpan w:val="2"/>
            <w:vMerge w:val="continue"/>
          </w:tcPr>
          <w:p>
            <w:pPr>
              <w:spacing w:after="0"/>
              <w:rPr>
                <w:sz w:val="10"/>
                <w:szCs w:val="10"/>
                <w:color w:val="auto"/>
              </w:rPr>
            </w:pP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0"/>
                <w:szCs w:val="10"/>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48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95"/>
              </w:rPr>
              <w:t>OWNED BY</w:t>
            </w: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EACH</w:t>
            </w:r>
          </w:p>
        </w:tc>
        <w:tc>
          <w:tcPr>
            <w:tcW w:w="116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REPORTING</w:t>
            </w:r>
          </w:p>
        </w:tc>
        <w:tc>
          <w:tcPr>
            <w:tcW w:w="116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8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gridSpan w:val="2"/>
            <w:vMerge w:val="continue"/>
          </w:tcPr>
          <w:p>
            <w:pPr>
              <w:spacing w:after="0"/>
              <w:rPr>
                <w:sz w:val="9"/>
                <w:szCs w:val="9"/>
                <w:color w:val="auto"/>
              </w:rPr>
            </w:pPr>
          </w:p>
        </w:tc>
        <w:tc>
          <w:tcPr>
            <w:tcW w:w="116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restart"/>
          </w:tcPr>
          <w:p>
            <w:pPr>
              <w:jc w:val="right"/>
              <w:ind w:right="312"/>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9"/>
                <w:szCs w:val="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48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9"/>
              </w:rPr>
              <w:t>PERSON</w:t>
            </w:r>
          </w:p>
        </w:tc>
        <w:tc>
          <w:tcPr>
            <w:tcW w:w="116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WITH</w:t>
            </w: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655,887</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8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655,887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gridSpan w:val="4"/>
          </w:tcPr>
          <w:p>
            <w:pPr>
              <w:ind w:left="40"/>
              <w:spacing w:after="0"/>
              <w:rPr>
                <w:sz w:val="20"/>
                <w:szCs w:val="20"/>
                <w:color w:val="auto"/>
              </w:rPr>
            </w:pPr>
            <w:r>
              <w:rPr>
                <w:rFonts w:ascii="Arial" w:cs="Arial" w:eastAsia="Arial" w:hAnsi="Arial"/>
                <w:sz w:val="18"/>
                <w:szCs w:val="18"/>
                <w:b w:val="1"/>
                <w:bCs w:val="1"/>
                <w:color w:val="auto"/>
              </w:rPr>
              <w:t>14,917,620 (total group shares)</w:t>
            </w: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352"/>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142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b w:val="1"/>
                <w:bCs w:val="1"/>
                <w:color w:val="auto"/>
              </w:rPr>
              <w:t>0.7% (individually)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gridSpan w:val="3"/>
          </w:tcPr>
          <w:p>
            <w:pPr>
              <w:ind w:left="40"/>
              <w:spacing w:after="0"/>
              <w:rPr>
                <w:sz w:val="20"/>
                <w:szCs w:val="20"/>
                <w:color w:val="auto"/>
              </w:rPr>
            </w:pPr>
            <w:r>
              <w:rPr>
                <w:rFonts w:ascii="Arial" w:cs="Arial" w:eastAsia="Arial" w:hAnsi="Arial"/>
                <w:sz w:val="18"/>
                <w:szCs w:val="18"/>
                <w:b w:val="1"/>
                <w:bCs w:val="1"/>
                <w:color w:val="auto"/>
                <w:w w:val="89"/>
              </w:rPr>
              <w:t>15.8% (total group shares)</w:t>
            </w:r>
          </w:p>
        </w:tc>
        <w:tc>
          <w:tcPr>
            <w:tcW w:w="7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98"/>
              </w:rPr>
              <w:t>Type of Reporting Person</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ind w:left="144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ectPr>
          <w:pgSz w:w="11900" w:h="16838" w:orient="portrait"/>
          <w:cols w:equalWidth="0" w:num="1">
            <w:col w:w="11160"/>
          </w:cols>
          <w:pgMar w:left="240" w:top="131"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r>
        <w:rPr>
          <w:rFonts w:ascii="Arial" w:cs="Arial" w:eastAsia="Arial" w:hAnsi="Arial"/>
          <w:sz w:val="15"/>
          <w:szCs w:val="15"/>
          <w:color w:val="auto"/>
        </w:rPr>
        <w: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Credicorp Ltd.</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Clarendon House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Hamilton HM11 Bermuda</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Persons Filing:</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B attached hereto.</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B attached hereto.</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2</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 on Page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23 of 34</w:t>
      </w:r>
    </w:p>
    <w:p>
      <w:pPr>
        <w:sectPr>
          <w:pgSz w:w="11900" w:h="16838" w:orient="portrait"/>
          <w:cols w:equalWidth="0" w:num="2">
            <w:col w:w="6640" w:space="720"/>
            <w:col w:w="2859"/>
          </w:cols>
          <w:pgMar w:left="240" w:top="131" w:right="1440" w:bottom="1440" w:gutter="0" w:footer="0" w:header="0"/>
        </w:sectPr>
      </w:pPr>
    </w:p>
    <w:bookmarkStart w:id="23" w:name="page24"/>
    <w:bookmarkEnd w:id="23"/>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24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G2519Y 10 8</w:t>
      </w:r>
    </w:p>
    <w:p>
      <w:pPr>
        <w:spacing w:after="0" w:line="219" w:lineRule="exact"/>
        <w:rPr>
          <w:sz w:val="20"/>
          <w:szCs w:val="20"/>
          <w:color w:val="auto"/>
        </w:rPr>
      </w:pPr>
    </w:p>
    <w:p>
      <w:pPr>
        <w:ind w:left="1140" w:right="5480" w:hanging="1188"/>
        <w:spacing w:after="0" w:line="375"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13d-1(b), or 13d-2(b), check whether the person filing is a: </w:t>
      </w:r>
      <w:r>
        <w:rPr>
          <w:rFonts w:ascii="Arial" w:cs="Arial" w:eastAsia="Arial" w:hAnsi="Arial"/>
          <w:sz w:val="16"/>
          <w:szCs w:val="16"/>
          <w:color w:val="auto"/>
        </w:rPr>
        <w:t>Not Applicable</w:t>
      </w:r>
    </w:p>
    <w:p>
      <w:pPr>
        <w:spacing w:after="0" w:line="133" w:lineRule="exact"/>
        <w:rPr>
          <w:sz w:val="20"/>
          <w:szCs w:val="20"/>
          <w:color w:val="auto"/>
        </w:rPr>
      </w:pPr>
    </w:p>
    <w:p>
      <w:pPr>
        <w:ind w:left="1460" w:hanging="804"/>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52" w:lineRule="exact"/>
        <w:rPr>
          <w:rFonts w:ascii="Arial" w:cs="Arial" w:eastAsia="Arial" w:hAnsi="Arial"/>
          <w:sz w:val="18"/>
          <w:szCs w:val="18"/>
          <w:color w:val="auto"/>
        </w:rPr>
      </w:pPr>
    </w:p>
    <w:p>
      <w:pPr>
        <w:ind w:left="1480" w:hanging="8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52" w:lineRule="exact"/>
        <w:rPr>
          <w:rFonts w:ascii="Arial" w:cs="Arial" w:eastAsia="Arial" w:hAnsi="Arial"/>
          <w:sz w:val="18"/>
          <w:szCs w:val="18"/>
          <w:color w:val="auto"/>
        </w:rPr>
      </w:pPr>
    </w:p>
    <w:p>
      <w:pPr>
        <w:ind w:left="1460" w:hanging="804"/>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52" w:lineRule="exact"/>
        <w:rPr>
          <w:rFonts w:ascii="Arial" w:cs="Arial" w:eastAsia="Arial" w:hAnsi="Arial"/>
          <w:sz w:val="18"/>
          <w:szCs w:val="18"/>
          <w:color w:val="auto"/>
        </w:rPr>
      </w:pPr>
    </w:p>
    <w:p>
      <w:pPr>
        <w:ind w:left="1480" w:hanging="8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460" w:hanging="804"/>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52" w:lineRule="exact"/>
        <w:rPr>
          <w:rFonts w:ascii="Arial" w:cs="Arial" w:eastAsia="Arial" w:hAnsi="Arial"/>
          <w:sz w:val="18"/>
          <w:szCs w:val="18"/>
          <w:color w:val="auto"/>
        </w:rPr>
      </w:pPr>
    </w:p>
    <w:p>
      <w:pPr>
        <w:ind w:left="1420" w:hanging="764"/>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oAn employee benefit plan or endowment fund in accordance with §240.13d-1(b)(1)(ii)(F)</w:t>
      </w:r>
    </w:p>
    <w:p>
      <w:pPr>
        <w:spacing w:after="0" w:line="252" w:lineRule="exact"/>
        <w:rPr>
          <w:rFonts w:ascii="Arial" w:cs="Arial" w:eastAsia="Arial" w:hAnsi="Arial"/>
          <w:sz w:val="18"/>
          <w:szCs w:val="18"/>
          <w:color w:val="auto"/>
        </w:rPr>
      </w:pPr>
    </w:p>
    <w:p>
      <w:pPr>
        <w:ind w:left="1460" w:hanging="804"/>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 parent holding company or control person in accordance with §240.13d-1(b)(ii)(G)</w:t>
      </w:r>
    </w:p>
    <w:p>
      <w:pPr>
        <w:spacing w:after="0" w:line="252" w:lineRule="exact"/>
        <w:rPr>
          <w:rFonts w:ascii="Arial" w:cs="Arial" w:eastAsia="Arial" w:hAnsi="Arial"/>
          <w:sz w:val="18"/>
          <w:szCs w:val="18"/>
          <w:color w:val="auto"/>
        </w:rPr>
      </w:pPr>
    </w:p>
    <w:p>
      <w:pPr>
        <w:ind w:left="1480" w:hanging="8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 savings associations as defined in Section 3(b) of the Federal Deposit Insurance Act</w:t>
      </w:r>
    </w:p>
    <w:p>
      <w:pPr>
        <w:spacing w:after="0" w:line="252" w:lineRule="exact"/>
        <w:rPr>
          <w:rFonts w:ascii="Arial" w:cs="Arial" w:eastAsia="Arial" w:hAnsi="Arial"/>
          <w:sz w:val="18"/>
          <w:szCs w:val="18"/>
          <w:color w:val="auto"/>
        </w:rPr>
      </w:pPr>
    </w:p>
    <w:p>
      <w:pPr>
        <w:ind w:left="660" w:hanging="4"/>
        <w:spacing w:after="0" w:line="268" w:lineRule="auto"/>
        <w:tabs>
          <w:tab w:leader="none" w:pos="16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12" w:lineRule="exact"/>
        <w:rPr>
          <w:rFonts w:ascii="Arial" w:cs="Arial" w:eastAsia="Arial" w:hAnsi="Arial"/>
          <w:sz w:val="18"/>
          <w:szCs w:val="18"/>
          <w:color w:val="auto"/>
        </w:rPr>
      </w:pPr>
    </w:p>
    <w:p>
      <w:pPr>
        <w:ind w:left="1440" w:hanging="784"/>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231" w:lineRule="exact"/>
        <w:rPr>
          <w:sz w:val="20"/>
          <w:szCs w:val="20"/>
          <w:color w:val="auto"/>
        </w:rPr>
      </w:pPr>
    </w:p>
    <w:p>
      <w:pPr>
        <w:ind w:left="1300" w:hanging="657"/>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right="8620"/>
        <w:spacing w:after="0" w:line="370" w:lineRule="auto"/>
        <w:rPr>
          <w:rFonts w:ascii="Arial" w:cs="Arial" w:eastAsia="Arial" w:hAnsi="Arial"/>
          <w:sz w:val="18"/>
          <w:szCs w:val="18"/>
          <w:color w:val="auto"/>
        </w:rPr>
      </w:pPr>
      <w:r>
        <w:rPr>
          <w:rFonts w:ascii="Arial" w:cs="Arial" w:eastAsia="Arial" w:hAnsi="Arial"/>
          <w:sz w:val="15"/>
          <w:szCs w:val="15"/>
          <w:color w:val="auto"/>
        </w:rPr>
        <w:t>See Item 9 on Page 2 See Item 9 on Page 3</w:t>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4</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5</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6</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7</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8</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9</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10</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11</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12</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13</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14</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15</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16</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17</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18</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19</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20</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21</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Item 9 on Page 22</w:t>
      </w:r>
    </w:p>
    <w:p>
      <w:pPr>
        <w:spacing w:after="0" w:line="242"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3680"/>
        <w:spacing w:after="0" w:line="304" w:lineRule="auto"/>
        <w:rPr>
          <w:rFonts w:ascii="Arial" w:cs="Arial" w:eastAsia="Arial" w:hAnsi="Arial"/>
          <w:sz w:val="18"/>
          <w:szCs w:val="18"/>
          <w:color w:val="auto"/>
        </w:rPr>
      </w:pPr>
      <w:r>
        <w:rPr>
          <w:rFonts w:ascii="Arial" w:cs="Arial" w:eastAsia="Arial" w:hAnsi="Arial"/>
          <w:sz w:val="15"/>
          <w:szCs w:val="15"/>
          <w:color w:val="auto"/>
        </w:rPr>
        <w:t>See Item 11 on Page 2 See Item 11 on Page 3 See Item 11 on Page 4 See Item 11 on Page 5 See Item 11 on Page 6 See Item 11 on Page 7 See Item 11 on Page 8 See Item 11 on Page 9 See Item 11 on Page 10 See Item 11 on Page 11 See Item 11 on Page 12 See Item 11 on Page 13 See Item 11 on Page 14 See Item 11 on Page 15 See Item 11 on Page 16 See Item 11 on Page 17 See Item 11 on Page 18 See Item 11 on Page 19 See Item 11 on Page 20 See Item 11 on Page 21 See Item 11 on Page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25 of 34</w:t>
      </w:r>
    </w:p>
    <w:p>
      <w:pPr>
        <w:sectPr>
          <w:pgSz w:w="11900" w:h="16838" w:orient="portrait"/>
          <w:cols w:equalWidth="0" w:num="2">
            <w:col w:w="6640" w:space="720"/>
            <w:col w:w="2859"/>
          </w:cols>
          <w:pgMar w:left="240" w:top="13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48" w:lineRule="exact"/>
        <w:rPr>
          <w:rFonts w:ascii="Arial" w:cs="Arial" w:eastAsia="Arial" w:hAnsi="Arial"/>
          <w:sz w:val="16"/>
          <w:szCs w:val="16"/>
          <w:color w:val="auto"/>
        </w:rPr>
      </w:pPr>
    </w:p>
    <w:p>
      <w:pPr>
        <w:ind w:left="1940" w:hanging="649"/>
        <w:spacing w:after="0"/>
        <w:tabs>
          <w:tab w:leader="none" w:pos="19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pacing w:after="0" w:line="248" w:lineRule="exact"/>
        <w:rPr>
          <w:rFonts w:ascii="Arial" w:cs="Arial" w:eastAsia="Arial" w:hAnsi="Arial"/>
          <w:sz w:val="16"/>
          <w:szCs w:val="16"/>
          <w:color w:val="auto"/>
        </w:rPr>
      </w:pPr>
    </w:p>
    <w:p>
      <w:pPr>
        <w:ind w:left="1960" w:right="3120"/>
        <w:spacing w:after="0" w:line="304" w:lineRule="auto"/>
        <w:rPr>
          <w:rFonts w:ascii="Arial" w:cs="Arial" w:eastAsia="Arial" w:hAnsi="Arial"/>
          <w:sz w:val="16"/>
          <w:szCs w:val="16"/>
          <w:color w:val="auto"/>
        </w:rPr>
      </w:pPr>
      <w:r>
        <w:rPr>
          <w:rFonts w:ascii="Arial" w:cs="Arial" w:eastAsia="Arial" w:hAnsi="Arial"/>
          <w:sz w:val="15"/>
          <w:szCs w:val="15"/>
          <w:color w:val="auto"/>
        </w:rPr>
        <w:t>See Item 5 on Page 2 See Item 5 on Page 3 See Item 5 on Page 4 See Item 5 on Page 5 See Item 5 on Page 6 See Item 5 on Page 7 See Item 5 on Page 8 See Item 5 on Page 9 See Item 5 on Page 10 See Item 5 on Page 11 See Item 5 on Page 12 See Item 5 on Page 13 See Item 5 on Page 14 See Item 5 on Page 15 See Item 5 on Page 16 See Item 5 on Page 17 See Item 5 on Page 18 See Item 5 on Page 19 See Item 5 on Page 20 See Item 5 on Page 21 See Item 5 on Page 22</w:t>
      </w:r>
    </w:p>
    <w:p>
      <w:pPr>
        <w:spacing w:after="0" w:line="165" w:lineRule="exact"/>
        <w:rPr>
          <w:rFonts w:ascii="Arial" w:cs="Arial" w:eastAsia="Arial" w:hAnsi="Arial"/>
          <w:sz w:val="16"/>
          <w:szCs w:val="16"/>
          <w:color w:val="auto"/>
        </w:rPr>
      </w:pPr>
    </w:p>
    <w:p>
      <w:pPr>
        <w:ind w:left="1960" w:hanging="655"/>
        <w:spacing w:after="0"/>
        <w:tabs>
          <w:tab w:leader="none" w:pos="1960" w:val="left"/>
        </w:tabs>
        <w:numPr>
          <w:ilvl w:val="2"/>
          <w:numId w:val="28"/>
        </w:numPr>
        <w:rPr>
          <w:rFonts w:ascii="Arial" w:cs="Arial" w:eastAsia="Arial" w:hAnsi="Arial"/>
          <w:sz w:val="15"/>
          <w:szCs w:val="15"/>
          <w:color w:val="auto"/>
        </w:rPr>
      </w:pPr>
      <w:r>
        <w:rPr>
          <w:rFonts w:ascii="Arial" w:cs="Arial" w:eastAsia="Arial" w:hAnsi="Arial"/>
          <w:sz w:val="15"/>
          <w:szCs w:val="15"/>
          <w:color w:val="auto"/>
        </w:rPr>
        <w:t>Shared power to vote or to direct the vote:</w:t>
      </w:r>
    </w:p>
    <w:p>
      <w:pPr>
        <w:spacing w:after="0" w:line="259" w:lineRule="exact"/>
        <w:rPr>
          <w:rFonts w:ascii="Arial" w:cs="Arial" w:eastAsia="Arial" w:hAnsi="Arial"/>
          <w:sz w:val="15"/>
          <w:szCs w:val="15"/>
          <w:color w:val="auto"/>
        </w:rPr>
      </w:pPr>
    </w:p>
    <w:p>
      <w:pPr>
        <w:ind w:left="1960" w:right="3120"/>
        <w:spacing w:after="0" w:line="305" w:lineRule="auto"/>
        <w:rPr>
          <w:rFonts w:ascii="Arial" w:cs="Arial" w:eastAsia="Arial" w:hAnsi="Arial"/>
          <w:sz w:val="15"/>
          <w:szCs w:val="15"/>
          <w:color w:val="auto"/>
        </w:rPr>
      </w:pPr>
      <w:r>
        <w:rPr>
          <w:rFonts w:ascii="Arial" w:cs="Arial" w:eastAsia="Arial" w:hAnsi="Arial"/>
          <w:sz w:val="15"/>
          <w:szCs w:val="15"/>
          <w:color w:val="auto"/>
        </w:rPr>
        <w:t>See Item 6 on Page 2 See Item 6 on Page 3 See Item 6 on Page 4 See Item 6 on Page 5 See Item 6 on Page 6 See Item 6 on Page 7 See Item 6 on Page 8 See Item 6 on Page 9 See Item 6 on Page 10 See Item 6 on Page 11 See Item 6 on Page 12 See Item 6 on Page 13 See Item 6 on Page 14 See Item 6 on Page 15 See Item 6 on Page 16 See Item 6 on Page 17 See Item 6 on Page 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26 of 34</w:t>
      </w:r>
    </w:p>
    <w:p>
      <w:pPr>
        <w:sectPr>
          <w:pgSz w:w="11900" w:h="16838" w:orient="portrait"/>
          <w:cols w:equalWidth="0" w:num="2">
            <w:col w:w="6640" w:space="720"/>
            <w:col w:w="2859"/>
          </w:cols>
          <w:pgMar w:left="24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19</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22</w:t>
      </w:r>
    </w:p>
    <w:p>
      <w:pPr>
        <w:spacing w:after="0" w:line="219" w:lineRule="exact"/>
        <w:rPr>
          <w:sz w:val="20"/>
          <w:szCs w:val="20"/>
          <w:color w:val="auto"/>
        </w:rPr>
      </w:pPr>
    </w:p>
    <w:p>
      <w:pPr>
        <w:ind w:left="1960" w:right="2060" w:hanging="655"/>
        <w:spacing w:after="0" w:line="268"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5" w:lineRule="exact"/>
        <w:rPr>
          <w:rFonts w:ascii="Arial" w:cs="Arial" w:eastAsia="Arial" w:hAnsi="Arial"/>
          <w:sz w:val="18"/>
          <w:szCs w:val="18"/>
          <w:color w:val="auto"/>
        </w:rPr>
      </w:pPr>
    </w:p>
    <w:p>
      <w:pPr>
        <w:ind w:left="1960" w:right="3120"/>
        <w:spacing w:after="0" w:line="304" w:lineRule="auto"/>
        <w:rPr>
          <w:rFonts w:ascii="Arial" w:cs="Arial" w:eastAsia="Arial" w:hAnsi="Arial"/>
          <w:sz w:val="18"/>
          <w:szCs w:val="18"/>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w:t>
      </w:r>
    </w:p>
    <w:p>
      <w:pPr>
        <w:spacing w:after="0" w:line="165" w:lineRule="exact"/>
        <w:rPr>
          <w:rFonts w:ascii="Arial" w:cs="Arial" w:eastAsia="Arial" w:hAnsi="Arial"/>
          <w:sz w:val="18"/>
          <w:szCs w:val="18"/>
          <w:color w:val="auto"/>
        </w:rPr>
      </w:pPr>
    </w:p>
    <w:p>
      <w:pPr>
        <w:ind w:left="1960" w:right="1900" w:hanging="655"/>
        <w:spacing w:after="0" w:line="268"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5" w:lineRule="exact"/>
        <w:rPr>
          <w:rFonts w:ascii="Arial" w:cs="Arial" w:eastAsia="Arial" w:hAnsi="Arial"/>
          <w:sz w:val="18"/>
          <w:szCs w:val="18"/>
          <w:color w:val="auto"/>
        </w:rPr>
      </w:pPr>
    </w:p>
    <w:p>
      <w:pPr>
        <w:ind w:left="1960" w:right="3120"/>
        <w:spacing w:after="0" w:line="306" w:lineRule="auto"/>
        <w:rPr>
          <w:rFonts w:ascii="Arial" w:cs="Arial" w:eastAsia="Arial" w:hAnsi="Arial"/>
          <w:sz w:val="18"/>
          <w:szCs w:val="18"/>
          <w:color w:val="auto"/>
        </w:rPr>
      </w:pPr>
      <w:r>
        <w:rPr>
          <w:rFonts w:ascii="Arial" w:cs="Arial" w:eastAsia="Arial" w:hAnsi="Arial"/>
          <w:sz w:val="15"/>
          <w:szCs w:val="15"/>
          <w:color w:val="auto"/>
        </w:rPr>
        <w:t>See Item 8 on Page 2 See Item 8 on Page 3 See Item 8 on Page 4 See Item 8 on Page 5 See Item 8 on Page 6 See Item 8 on Page 7 See Item 8 on Page 8 See Item 8 on Page 9 See Item 8 on Page 10 See Item 8 on Page 11 See Item 8 on Page 12 See Item 8 on Page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27 of 34</w:t>
      </w:r>
    </w:p>
    <w:p>
      <w:pPr>
        <w:sectPr>
          <w:pgSz w:w="11900" w:h="16838" w:orient="portrait"/>
          <w:cols w:equalWidth="0" w:num="2">
            <w:col w:w="6640" w:space="720"/>
            <w:col w:w="2859"/>
          </w:cols>
          <w:pgMar w:left="240" w:top="131" w:right="1440" w:bottom="1440" w:gutter="0" w:footer="0" w:header="0"/>
        </w:sectPr>
      </w:pPr>
    </w:p>
    <w:bookmarkStart w:id="27" w:name="page28"/>
    <w:bookmarkEnd w:id="27"/>
    <w:p>
      <w:pPr>
        <w:spacing w:after="0"/>
        <w:tabs>
          <w:tab w:leader="none" w:pos="7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28 of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14</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22</w:t>
      </w:r>
    </w:p>
    <w:p>
      <w:pPr>
        <w:sectPr>
          <w:pgSz w:w="11900" w:h="16838" w:orient="portrait"/>
          <w:cols w:equalWidth="0" w:num="1">
            <w:col w:w="10219"/>
          </w:cols>
          <w:pgMar w:left="240" w:top="131" w:right="1440"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580" w:space="720"/>
            <w:col w:w="8919"/>
          </w:cols>
          <w:pgMar w:left="240" w:top="131" w:right="1440"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131"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Another Person</w:t>
      </w:r>
    </w:p>
    <w:p>
      <w:pPr>
        <w:spacing w:after="0" w:line="200" w:lineRule="exact"/>
        <w:rPr>
          <w:sz w:val="20"/>
          <w:szCs w:val="20"/>
          <w:color w:val="auto"/>
        </w:rPr>
      </w:pPr>
    </w:p>
    <w:p>
      <w:pPr>
        <w:sectPr>
          <w:pgSz w:w="11900" w:h="16838" w:orient="portrait"/>
          <w:cols w:equalWidth="0" w:num="2">
            <w:col w:w="580" w:space="720"/>
            <w:col w:w="8919"/>
          </w:cols>
          <w:pgMar w:left="240" w:top="131" w:right="1440" w:bottom="1440" w:gutter="0" w:footer="0" w:header="0"/>
          <w:type w:val="continuous"/>
        </w:sectPr>
      </w:pP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131"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the Subsidiary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Which Acquired the Security Being Reported on by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 or Control Person</w:t>
      </w:r>
    </w:p>
    <w:p>
      <w:pPr>
        <w:spacing w:after="0" w:line="200" w:lineRule="exact"/>
        <w:rPr>
          <w:sz w:val="20"/>
          <w:szCs w:val="20"/>
          <w:color w:val="auto"/>
        </w:rPr>
      </w:pPr>
    </w:p>
    <w:p>
      <w:pPr>
        <w:sectPr>
          <w:pgSz w:w="11900" w:h="16838" w:orient="portrait"/>
          <w:cols w:equalWidth="0" w:num="2">
            <w:col w:w="580" w:space="720"/>
            <w:col w:w="8919"/>
          </w:cols>
          <w:pgMar w:left="240" w:top="131" w:right="1440" w:bottom="1440" w:gutter="0" w:footer="0" w:header="0"/>
          <w:type w:val="continuous"/>
        </w:sectPr>
      </w:pP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131"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80" w:space="720"/>
            <w:col w:w="8919"/>
          </w:cols>
          <w:pgMar w:left="240" w:top="131" w:right="1440"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See Exhibit C attached hereto</w:t>
      </w:r>
    </w:p>
    <w:p>
      <w:pPr>
        <w:sectPr>
          <w:pgSz w:w="11900" w:h="16838" w:orient="portrait"/>
          <w:cols w:equalWidth="0" w:num="1">
            <w:col w:w="10219"/>
          </w:cols>
          <w:pgMar w:left="240" w:top="131"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8919"/>
          </w:cols>
          <w:pgMar w:left="240" w:top="131" w:right="1440"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131"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ectPr>
          <w:pgSz w:w="11900" w:h="16838" w:orient="portrait"/>
          <w:cols w:equalWidth="0" w:num="2">
            <w:col w:w="620" w:space="680"/>
            <w:col w:w="8919"/>
          </w:cols>
          <w:pgMar w:left="240" w:top="131" w:right="1440"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131" w:right="1440"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February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-13970</wp:posOffset>
            </wp:positionV>
            <wp:extent cx="1544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495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89" w:lineRule="exact"/>
        <w:rPr>
          <w:sz w:val="20"/>
          <w:szCs w:val="20"/>
          <w:color w:val="auto"/>
        </w:rPr>
      </w:pPr>
    </w:p>
    <w:p>
      <w:pPr>
        <w:ind w:left="4540"/>
        <w:spacing w:after="0"/>
        <w:rPr>
          <w:sz w:val="20"/>
          <w:szCs w:val="20"/>
          <w:color w:val="auto"/>
        </w:rPr>
      </w:pPr>
      <w:r>
        <w:rPr>
          <w:rFonts w:ascii="Arial" w:cs="Arial" w:eastAsia="Arial" w:hAnsi="Arial"/>
          <w:sz w:val="18"/>
          <w:szCs w:val="18"/>
          <w:i w:val="1"/>
          <w:iCs w:val="1"/>
          <w:u w:val="single" w:color="auto"/>
          <w:color w:val="auto"/>
        </w:rPr>
        <w:t>/s/ Dionisio Romero Seminario</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Dionisio Romero Seminario</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420"/>
          </w:cols>
          <w:pgMar w:left="240" w:top="125" w:right="239" w:bottom="1440" w:gutter="0" w:footer="0" w:header="0"/>
        </w:sectPr>
      </w:pPr>
    </w:p>
    <w:bookmarkStart w:id="29" w:name="page30"/>
    <w:bookmarkEnd w:id="29"/>
    <w:p>
      <w:pPr>
        <w:jc w:val="right"/>
        <w:ind w:right="4099"/>
        <w:spacing w:after="0"/>
        <w:rPr>
          <w:sz w:val="20"/>
          <w:szCs w:val="20"/>
          <w:color w:val="auto"/>
        </w:rPr>
      </w:pPr>
      <w:r>
        <w:rPr>
          <w:rFonts w:ascii="Arial" w:cs="Arial" w:eastAsia="Arial" w:hAnsi="Arial"/>
          <w:sz w:val="16"/>
          <w:szCs w:val="16"/>
          <w:u w:val="single" w:color="auto"/>
          <w:color w:val="auto"/>
        </w:rPr>
        <w:t>EXHIBITS</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both"/>
        <w:spacing w:after="0" w:line="580" w:lineRule="auto"/>
        <w:rPr>
          <w:sz w:val="20"/>
          <w:szCs w:val="20"/>
          <w:color w:val="auto"/>
        </w:rPr>
      </w:pPr>
      <w:r>
        <w:rPr>
          <w:rFonts w:ascii="Arial" w:cs="Arial" w:eastAsia="Arial" w:hAnsi="Arial"/>
          <w:sz w:val="16"/>
          <w:szCs w:val="16"/>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Persons Filing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and Classification of Members of Group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Powers of Attorney with English Translations</w:t>
      </w:r>
    </w:p>
    <w:p>
      <w:pPr>
        <w:sectPr>
          <w:pgSz w:w="11900" w:h="16838" w:orient="portrait"/>
          <w:cols w:equalWidth="0" w:num="2">
            <w:col w:w="700" w:space="600"/>
            <w:col w:w="8919"/>
          </w:cols>
          <w:pgMar w:left="240" w:top="131" w:right="1440"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Exhibit A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Rule 13d-1(k)</w:t>
      </w:r>
    </w:p>
    <w:p>
      <w:pPr>
        <w:spacing w:after="0" w:line="219" w:lineRule="exact"/>
        <w:rPr>
          <w:sz w:val="20"/>
          <w:szCs w:val="20"/>
          <w:color w:val="auto"/>
        </w:rPr>
      </w:pPr>
    </w:p>
    <w:p>
      <w:pPr>
        <w:ind w:firstLine="700"/>
        <w:spacing w:after="0" w:line="268"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Seminario.</w:t>
      </w:r>
    </w:p>
    <w:p>
      <w:pPr>
        <w:spacing w:after="0" w:line="186" w:lineRule="exact"/>
        <w:rPr>
          <w:sz w:val="20"/>
          <w:szCs w:val="20"/>
          <w:color w:val="auto"/>
        </w:rPr>
      </w:pPr>
    </w:p>
    <w:p>
      <w:pPr>
        <w:ind w:firstLine="700"/>
        <w:spacing w:after="0" w:line="332" w:lineRule="auto"/>
        <w:rPr>
          <w:sz w:val="20"/>
          <w:szCs w:val="20"/>
          <w:color w:val="auto"/>
        </w:rPr>
      </w:pPr>
      <w:r>
        <w:rPr>
          <w:rFonts w:ascii="Arial" w:cs="Arial" w:eastAsia="Arial" w:hAnsi="Arial"/>
          <w:sz w:val="16"/>
          <w:szCs w:val="16"/>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February 14, 2005</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Ransa Comercial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Alicorp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Robelis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Sparkling Business Inc.</w:t>
      </w:r>
    </w:p>
    <w:p>
      <w:pPr>
        <w:spacing w:after="0" w:line="21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Dionisio Romero Seminario</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Name: Dionisio Romero Seminario</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31" w:right="239" w:bottom="1440" w:gutter="0" w:footer="0" w:header="0"/>
        </w:sectPr>
      </w:pPr>
    </w:p>
    <w:bookmarkStart w:id="31" w:name="page32"/>
    <w:bookmarkEnd w:id="31"/>
    <w:p>
      <w:pPr>
        <w:jc w:val="right"/>
        <w:ind w:right="3559"/>
        <w:spacing w:after="0"/>
        <w:rPr>
          <w:sz w:val="20"/>
          <w:szCs w:val="20"/>
          <w:color w:val="auto"/>
        </w:rPr>
      </w:pPr>
      <w:r>
        <w:rPr>
          <w:rFonts w:ascii="Arial" w:cs="Arial" w:eastAsia="Arial" w:hAnsi="Arial"/>
          <w:sz w:val="18"/>
          <w:szCs w:val="18"/>
          <w:color w:val="auto"/>
        </w:rPr>
        <w:t>Exhibit B to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Ransa Comercial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Alicorp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Robelis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Sparkling Business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Melagarejo</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ectPr>
          <w:pgSz w:w="11900" w:h="16838" w:orient="portrait"/>
          <w:cols w:equalWidth="0" w:num="1">
            <w:col w:w="10219"/>
          </w:cols>
          <w:pgMar w:left="240" w:top="131" w:right="1440" w:bottom="1440" w:gutter="0" w:footer="0" w:header="0"/>
        </w:sectPr>
      </w:pPr>
    </w:p>
    <w:bookmarkStart w:id="32" w:name="page33"/>
    <w:bookmarkEnd w:id="32"/>
    <w:p>
      <w:pPr>
        <w:ind w:left="4760"/>
        <w:spacing w:after="0"/>
        <w:rPr>
          <w:sz w:val="20"/>
          <w:szCs w:val="20"/>
          <w:color w:val="auto"/>
        </w:rPr>
      </w:pPr>
      <w:r>
        <w:rPr>
          <w:rFonts w:ascii="Arial" w:cs="Arial" w:eastAsia="Arial" w:hAnsi="Arial"/>
          <w:sz w:val="16"/>
          <w:szCs w:val="16"/>
          <w:color w:val="auto"/>
        </w:rPr>
        <w:t>Exhibit C to Schedule 13G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Members of Group:</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Maria del Carmen Onrubia de Beeck</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Ana Silvia Guzman Portilla de Romero</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Manuel Antonio Romero Belismelis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Ransa Comercial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Alicorp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Robelis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Sparkling Business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22" w:lineRule="exact"/>
        <w:rPr>
          <w:sz w:val="20"/>
          <w:szCs w:val="20"/>
          <w:color w:val="auto"/>
        </w:rPr>
      </w:pPr>
    </w:p>
    <w:p>
      <w:pPr>
        <w:sectPr>
          <w:pgSz w:w="11900" w:h="16838" w:orient="portrait"/>
          <w:cols w:equalWidth="0" w:num="2">
            <w:col w:w="5760" w:space="720"/>
            <w:col w:w="3739"/>
          </w:cols>
          <w:pgMar w:left="240" w:top="131" w:right="1440"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Common Shares Beneficially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Owned by Group:</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14,917,620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15.8%</w:t>
      </w:r>
    </w:p>
    <w:p>
      <w:pPr>
        <w:sectPr>
          <w:pgSz w:w="11900" w:h="16838" w:orient="portrait"/>
          <w:cols w:equalWidth="0" w:num="1">
            <w:col w:w="10219"/>
          </w:cols>
          <w:pgMar w:left="240" w:top="131" w:right="1440"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u w:val="single" w:color="auto"/>
          <w:color w:val="auto"/>
        </w:rPr>
        <w:t>Exhibit D Index</w:t>
      </w:r>
    </w:p>
    <w:p>
      <w:pPr>
        <w:spacing w:after="0" w:line="225" w:lineRule="exact"/>
        <w:rPr>
          <w:sz w:val="20"/>
          <w:szCs w:val="20"/>
          <w:color w:val="auto"/>
        </w:rPr>
      </w:pPr>
    </w:p>
    <w:p>
      <w:pPr>
        <w:ind w:left="1160" w:right="20" w:hanging="579"/>
        <w:spacing w:after="0" w:line="254" w:lineRule="auto"/>
        <w:tabs>
          <w:tab w:leader="none" w:pos="11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Reciprocal General Power of Attorney granted between Messrs. Jose Antonio Onrubia Romero, Calixto Romero Seminario, Manuel Romero Seminario and Dionisio Romero Seminario dated November 6, 1970. (1)</w:t>
      </w:r>
    </w:p>
    <w:p>
      <w:pPr>
        <w:ind w:left="580"/>
        <w:spacing w:after="0"/>
        <w:tabs>
          <w:tab w:leader="none" w:pos="11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English-language summary of D.1 (2)</w:t>
      </w:r>
    </w:p>
    <w:p>
      <w:pPr>
        <w:spacing w:after="0" w:line="9" w:lineRule="exact"/>
        <w:rPr>
          <w:sz w:val="20"/>
          <w:szCs w:val="20"/>
          <w:color w:val="auto"/>
        </w:rPr>
      </w:pPr>
    </w:p>
    <w:p>
      <w:pPr>
        <w:ind w:left="1160" w:hanging="579"/>
        <w:spacing w:after="0" w:line="250" w:lineRule="auto"/>
        <w:tabs>
          <w:tab w:leader="none" w:pos="11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General Power of Attorney from Willy Beeck Navarro and Maria del Carmen Onrubia de Beeck to Calixto Romero Seminario, Manuel Romero Seminario and Dionisio Romero Seminario dated December 6, 1985. (3)</w:t>
      </w:r>
    </w:p>
    <w:p>
      <w:pPr>
        <w:spacing w:after="0" w:line="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English-language summary of D.3 (4)</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Power of Attorney from Vineyard Investment Inc. to Dionisio Romero Seminario dated February 5, 2003.(5)</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Power of Attorney from Belle Company Inc. to Dionisio Romero Seminario dated February 5, 2003.(6)</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Power of Attorney from Sparkling Business Inc. to Dionisio Romero Seminario dated February 5, 2003.(7)</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Power of Attorney from La Roncadora S.A. to Dionisio Romero Seminario dated February 12, 2004.(8)</w:t>
      </w:r>
    </w:p>
    <w:p>
      <w:pPr>
        <w:spacing w:after="0" w:line="219" w:lineRule="exact"/>
        <w:rPr>
          <w:sz w:val="20"/>
          <w:szCs w:val="20"/>
          <w:color w:val="auto"/>
        </w:rPr>
      </w:pPr>
    </w:p>
    <w:p>
      <w:pPr>
        <w:ind w:left="660" w:right="360" w:hanging="652"/>
        <w:spacing w:after="0" w:line="25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D.1 to Amendment No. 6 to Schedule 13G, as filed by the Reporting Persons with the Securities and Exchange Commission on June 5, 2002.</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D.2 to Amendment No. 6 to Schedule 13G, as filed by the Reporting Persons with the Securities and Exchange Commission on June 5, 2002.</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D.5 to Amendment No. 6 to Schedule 13G, as filed by the Reporting Persons with the Securities and Exchange Commission on June 5, 2002.</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D.6 to Amendment No. 6 to Schedule 13G, as filed by the Reporting Persons with the Securities and Exchange Commission on June 5, 2002.</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D.7 to Amendment No. 7 to Schedule 13G, as filed by the Reporting Persons with the Securities and Exchange Commission on February 19, 2003.</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7 to Schedule 13G, as filed by the Reporting Persons with the Securities and Exchange Commission on February 19, 2003.</w:t>
      </w: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 D.9 to Amendment No. 7 to Schedule 13G, as filed by the Reporting Persons with the Securities and Exchange Commission on February 19, 2003.</w:t>
      </w: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Exhibit D.8 to Amendment No. 8 to Schedule 13G, as filed by the Reporting Persons with the Securities and Exchange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on February 18, 2004.</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2594678_v3</w:t>
      </w:r>
    </w:p>
    <w:sectPr>
      <w:pgSz w:w="11900" w:h="16838" w:orient="portrait"/>
      <w:cols w:equalWidth="0" w:num="1">
        <w:col w:w="11420"/>
      </w:cols>
      <w:pgMar w:left="240" w:top="9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1"/>
      <w:numFmt w:val="bullet"/>
      <w:start w:val="1"/>
    </w:lvl>
  </w:abstractNum>
  <w:abstractNum w:abstractNumId="4">
    <w:nsid w:val="519B500D"/>
    <w:multiLevelType w:val="hybridMultilevel"/>
    <w:lvl w:ilvl="0">
      <w:lvlJc w:val="left"/>
      <w:lvlText w:val="1"/>
      <w:numFmt w:val="bullet"/>
      <w:start w:val="1"/>
    </w:lvl>
  </w:abstractNum>
  <w:abstractNum w:abstractNumId="5">
    <w:nsid w:val="431BD7B7"/>
    <w:multiLevelType w:val="hybridMultilevel"/>
    <w:lvl w:ilvl="0">
      <w:lvlJc w:val="left"/>
      <w:lvlText w:val="1"/>
      <w:numFmt w:val="bullet"/>
      <w:start w:val="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1"/>
      <w:numFmt w:val="bullet"/>
      <w:start w:val="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1"/>
      <w:numFmt w:val="bullet"/>
      <w:start w:val="1"/>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1"/>
      <w:numFmt w:val="bullet"/>
      <w:start w:val="1"/>
    </w:lvl>
  </w:abstractNum>
  <w:abstractNum w:abstractNumId="16">
    <w:nsid w:val="6763845E"/>
    <w:multiLevelType w:val="hybridMultilevel"/>
    <w:lvl w:ilvl="0">
      <w:lvlJc w:val="left"/>
      <w:lvlText w:val="1"/>
      <w:numFmt w:val="bullet"/>
      <w:start w:val="1"/>
    </w:lvl>
  </w:abstractNum>
  <w:abstractNum w:abstractNumId="17">
    <w:nsid w:val="75A2A8D4"/>
    <w:multiLevelType w:val="hybridMultilevel"/>
    <w:lvl w:ilvl="0">
      <w:lvlJc w:val="left"/>
      <w:lvlText w:val="1"/>
      <w:numFmt w:val="bullet"/>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1"/>
      <w:numFmt w:val="bullet"/>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28">
    <w:nsid w:val="3A95F874"/>
    <w:multiLevelType w:val="hybridMultilevel"/>
    <w:lvl w:ilvl="0">
      <w:lvlJc w:val="left"/>
      <w:lvlText w:val="(%1)"/>
      <w:numFmt w:val="lowerRoman"/>
      <w:start w:val="3"/>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2019-12-14T06:56:20Z</dcterms:created>
  <dcterms:modified xsi:type="dcterms:W3CDTF">2019-12-14T06:56:20Z</dcterms:modified>
</cp:coreProperties>
</file>