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53"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SCHEDULE 13G</w:t>
      </w:r>
    </w:p>
    <w:p>
      <w:pPr>
        <w:spacing w:after="0" w:line="30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8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(Amendment No. _ )</w:t>
      </w:r>
      <w:r>
        <w:rPr>
          <w:rFonts w:ascii="Arial" w:cs="Arial" w:eastAsia="Arial" w:hAnsi="Arial"/>
          <w:sz w:val="35"/>
          <w:szCs w:val="35"/>
          <w:b w:val="1"/>
          <w:bCs w:val="1"/>
          <w:color w:val="auto"/>
          <w:vertAlign w:val="superscript"/>
        </w:rPr>
        <w:t>*</w:t>
      </w: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 xml:space="preserve">Credicorp Ltd </w:t>
      </w:r>
      <w:r>
        <w:rPr>
          <w:rFonts w:ascii="Arial" w:cs="Arial" w:eastAsia="Arial" w:hAnsi="Arial"/>
          <w:sz w:val="35"/>
          <w:szCs w:val="35"/>
          <w:color w:val="auto"/>
          <w:vertAlign w:val="superscript"/>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77470</wp:posOffset>
            </wp:positionV>
            <wp:extent cx="573024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218" w:lineRule="exact"/>
        <w:rPr>
          <w:sz w:val="24"/>
          <w:szCs w:val="24"/>
          <w:color w:val="auto"/>
        </w:rPr>
      </w:pPr>
    </w:p>
    <w:p>
      <w:pPr>
        <w:ind w:left="4900"/>
        <w:spacing w:after="0"/>
        <w:rPr>
          <w:sz w:val="20"/>
          <w:szCs w:val="20"/>
          <w:color w:val="auto"/>
        </w:rPr>
      </w:pPr>
      <w:r>
        <w:rPr>
          <w:rFonts w:ascii="Arial" w:cs="Arial" w:eastAsia="Arial" w:hAnsi="Arial"/>
          <w:sz w:val="22"/>
          <w:szCs w:val="22"/>
          <w:color w:val="auto"/>
        </w:rPr>
        <w:t>(Name of Issuer)</w:t>
      </w:r>
    </w:p>
    <w:p>
      <w:pPr>
        <w:spacing w:after="0" w:line="206" w:lineRule="exact"/>
        <w:rPr>
          <w:sz w:val="24"/>
          <w:szCs w:val="24"/>
          <w:color w:val="auto"/>
        </w:rPr>
      </w:pPr>
    </w:p>
    <w:p>
      <w:pPr>
        <w:ind w:left="4920"/>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321"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(Title of Class of Securities)</w:t>
      </w:r>
    </w:p>
    <w:p>
      <w:pPr>
        <w:spacing w:after="0" w:line="213"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 xml:space="preserve">G2519Y108 </w:t>
      </w:r>
      <w:r>
        <w:rPr>
          <w:rFonts w:ascii="Arial" w:cs="Arial" w:eastAsia="Arial" w:hAnsi="Arial"/>
          <w:sz w:val="35"/>
          <w:szCs w:val="35"/>
          <w:color w:val="auto"/>
          <w:vertAlign w:val="superscript"/>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77470</wp:posOffset>
            </wp:positionV>
            <wp:extent cx="573024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218" w:lineRule="exact"/>
        <w:rPr>
          <w:sz w:val="24"/>
          <w:szCs w:val="24"/>
          <w:color w:val="auto"/>
        </w:rPr>
      </w:pPr>
    </w:p>
    <w:p>
      <w:pPr>
        <w:ind w:left="4860"/>
        <w:spacing w:after="0"/>
        <w:rPr>
          <w:sz w:val="20"/>
          <w:szCs w:val="20"/>
          <w:color w:val="auto"/>
        </w:rPr>
      </w:pPr>
      <w:r>
        <w:rPr>
          <w:rFonts w:ascii="Arial" w:cs="Arial" w:eastAsia="Arial" w:hAnsi="Arial"/>
          <w:sz w:val="22"/>
          <w:szCs w:val="22"/>
          <w:color w:val="auto"/>
        </w:rPr>
        <w:t>(CUSIP Number)</w:t>
      </w:r>
    </w:p>
    <w:p>
      <w:pPr>
        <w:spacing w:after="0" w:line="206" w:lineRule="exact"/>
        <w:rPr>
          <w:sz w:val="24"/>
          <w:szCs w:val="24"/>
          <w:color w:val="auto"/>
        </w:rPr>
      </w:pPr>
    </w:p>
    <w:p>
      <w:pPr>
        <w:ind w:left="4740"/>
        <w:spacing w:after="0"/>
        <w:rPr>
          <w:sz w:val="20"/>
          <w:szCs w:val="20"/>
          <w:color w:val="auto"/>
        </w:rPr>
      </w:pPr>
      <w:r>
        <w:rPr>
          <w:rFonts w:ascii="Arial" w:cs="Arial" w:eastAsia="Arial" w:hAnsi="Arial"/>
          <w:sz w:val="22"/>
          <w:szCs w:val="22"/>
          <w:color w:val="auto"/>
        </w:rPr>
        <w:t>December 31,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321" w:lineRule="exact"/>
        <w:rPr>
          <w:sz w:val="24"/>
          <w:szCs w:val="24"/>
          <w:color w:val="auto"/>
        </w:rPr>
      </w:pPr>
    </w:p>
    <w:p>
      <w:pPr>
        <w:ind w:left="3180"/>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420" w:firstLine="2"/>
        <w:spacing w:after="0" w:line="385" w:lineRule="auto"/>
        <w:tabs>
          <w:tab w:leader="none" w:pos="478" w:val="left"/>
        </w:tabs>
        <w:numPr>
          <w:ilvl w:val="1"/>
          <w:numId w:val="1"/>
        </w:numPr>
        <w:rPr>
          <w:rFonts w:ascii="Arial" w:cs="Arial" w:eastAsia="Arial" w:hAnsi="Arial"/>
          <w:sz w:val="19"/>
          <w:szCs w:val="19"/>
          <w:color w:val="auto"/>
        </w:rPr>
      </w:pPr>
      <w:r>
        <w:rPr>
          <w:rFonts w:ascii="Arial" w:cs="Arial" w:eastAsia="Arial" w:hAnsi="Arial"/>
          <w:sz w:val="19"/>
          <w:szCs w:val="19"/>
          <w:color w:val="auto"/>
        </w:rPr>
        <w:t>Rule 13d-1(b) [ ] Rule 13d-1(c)</w:t>
      </w:r>
    </w:p>
    <w:p>
      <w:pPr>
        <w:spacing w:after="0" w:line="1" w:lineRule="exact"/>
        <w:rPr>
          <w:rFonts w:ascii="Arial" w:cs="Arial" w:eastAsia="Arial" w:hAnsi="Arial"/>
          <w:sz w:val="19"/>
          <w:szCs w:val="19"/>
          <w:color w:val="auto"/>
        </w:rPr>
      </w:pPr>
    </w:p>
    <w:p>
      <w:pPr>
        <w:ind w:left="60"/>
        <w:spacing w:after="0"/>
        <w:rPr>
          <w:rFonts w:ascii="Arial" w:cs="Arial" w:eastAsia="Arial" w:hAnsi="Arial"/>
          <w:sz w:val="19"/>
          <w:szCs w:val="19"/>
          <w:color w:val="auto"/>
        </w:rPr>
      </w:pPr>
      <w:r>
        <w:rPr>
          <w:rFonts w:ascii="Arial" w:cs="Arial" w:eastAsia="Arial" w:hAnsi="Arial"/>
          <w:sz w:val="22"/>
          <w:szCs w:val="22"/>
          <w:color w:val="auto"/>
        </w:rPr>
        <w:t>[ ]  Rule 13d-1(d)</w:t>
      </w:r>
    </w:p>
    <w:p>
      <w:pPr>
        <w:spacing w:after="0" w:line="267" w:lineRule="exact"/>
        <w:rPr>
          <w:rFonts w:ascii="Arial" w:cs="Arial" w:eastAsia="Arial" w:hAnsi="Arial"/>
          <w:sz w:val="19"/>
          <w:szCs w:val="19"/>
          <w:color w:val="auto"/>
        </w:rPr>
      </w:pPr>
    </w:p>
    <w:p>
      <w:pPr>
        <w:spacing w:after="0" w:line="213" w:lineRule="auto"/>
        <w:rPr>
          <w:rFonts w:ascii="Arial" w:cs="Arial" w:eastAsia="Arial" w:hAnsi="Arial"/>
          <w:sz w:val="19"/>
          <w:szCs w:val="19"/>
          <w:color w:val="auto"/>
        </w:rPr>
      </w:pPr>
      <w:r>
        <w:rPr>
          <w:rFonts w:ascii="Arial" w:cs="Arial" w:eastAsia="Arial" w:hAnsi="Arial"/>
          <w:sz w:val="35"/>
          <w:szCs w:val="35"/>
          <w:color w:val="auto"/>
          <w:vertAlign w:val="superscript"/>
        </w:rPr>
        <w:t>*</w:t>
      </w:r>
      <w:r>
        <w:rPr>
          <w:rFonts w:ascii="Arial" w:cs="Arial" w:eastAsia="Arial" w:hAnsi="Arial"/>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ind w:right="18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pacing w:after="0" w:line="101" w:lineRule="exact"/>
        <w:rPr>
          <w:sz w:val="24"/>
          <w:szCs w:val="24"/>
          <w:color w:val="auto"/>
        </w:rPr>
      </w:pPr>
    </w:p>
    <w:p>
      <w:pPr>
        <w:ind w:left="240" w:hanging="232"/>
        <w:spacing w:after="0"/>
        <w:tabs>
          <w:tab w:leader="none" w:pos="240" w:val="left"/>
        </w:tabs>
        <w:numPr>
          <w:ilvl w:val="0"/>
          <w:numId w:val="2"/>
        </w:numPr>
        <w:rPr>
          <w:rFonts w:ascii="Arial" w:cs="Arial" w:eastAsia="Arial" w:hAnsi="Arial"/>
          <w:sz w:val="36"/>
          <w:szCs w:val="36"/>
          <w:color w:val="auto"/>
          <w:vertAlign w:val="superscript"/>
        </w:rPr>
      </w:pPr>
      <w:r>
        <w:rPr>
          <w:rFonts w:ascii="Arial" w:cs="Arial" w:eastAsia="Arial" w:hAnsi="Arial"/>
          <w:sz w:val="22"/>
          <w:szCs w:val="22"/>
          <w:color w:val="auto"/>
        </w:rPr>
        <w:t>Amending the 13G filed on 14 Feb 2020. Updated percent held based on company TSO of 94,382,317</w:t>
      </w:r>
    </w:p>
    <w:p>
      <w:pPr>
        <w:sectPr>
          <w:pgSz w:w="11900" w:h="16838" w:orient="portrait"/>
          <w:cols w:equalWidth="0" w:num="1">
            <w:col w:w="11120"/>
          </w:cols>
          <w:pgMar w:left="320" w:top="220" w:right="459" w:bottom="1440" w:gutter="0" w:footer="0" w:header="0"/>
        </w:sectPr>
      </w:pPr>
    </w:p>
    <w:bookmarkStart w:id="1" w:name="page2"/>
    <w:bookmarkEnd w:id="1"/>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G2519Y108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720" w:type="dxa"/>
            <w:vAlign w:val="bottom"/>
          </w:tcPr>
          <w:p>
            <w:pPr>
              <w:ind w:left="120"/>
              <w:spacing w:after="0"/>
              <w:rPr>
                <w:sz w:val="20"/>
                <w:szCs w:val="20"/>
                <w:color w:val="auto"/>
              </w:rPr>
            </w:pPr>
            <w:r>
              <w:rPr>
                <w:rFonts w:ascii="Arial" w:cs="Arial" w:eastAsia="Arial" w:hAnsi="Arial"/>
                <w:sz w:val="22"/>
                <w:szCs w:val="22"/>
                <w:color w:val="auto"/>
              </w:rPr>
              <w:t>1.</w:t>
            </w:r>
          </w:p>
        </w:tc>
        <w:tc>
          <w:tcPr>
            <w:tcW w:w="3760" w:type="dxa"/>
            <w:vAlign w:val="bottom"/>
          </w:tcPr>
          <w:p>
            <w:pPr>
              <w:ind w:left="100"/>
              <w:spacing w:after="0"/>
              <w:rPr>
                <w:sz w:val="20"/>
                <w:szCs w:val="20"/>
                <w:color w:val="auto"/>
              </w:rPr>
            </w:pPr>
            <w:r>
              <w:rPr>
                <w:rFonts w:ascii="Arial" w:cs="Arial" w:eastAsia="Arial" w:hAnsi="Arial"/>
                <w:sz w:val="22"/>
                <w:szCs w:val="22"/>
                <w:color w:val="auto"/>
                <w:w w:val="99"/>
              </w:rPr>
              <w:t>NAMES OF REPORTING PERSONS</w:t>
            </w:r>
          </w:p>
        </w:tc>
        <w:tc>
          <w:tcPr>
            <w:tcW w:w="5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3"/>
                <w:szCs w:val="23"/>
                <w:color w:val="auto"/>
              </w:rPr>
            </w:pP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I.R.S. IDENTIFICATION NO. OF ABOVE PERSONS (ENTITIES ONLY)</w:t>
            </w:r>
          </w:p>
        </w:tc>
        <w:tc>
          <w:tcPr>
            <w:tcW w:w="0" w:type="dxa"/>
            <w:vAlign w:val="bottom"/>
          </w:tcPr>
          <w:p>
            <w:pPr>
              <w:spacing w:after="0"/>
              <w:rPr>
                <w:sz w:val="1"/>
                <w:szCs w:val="1"/>
                <w:color w:val="auto"/>
              </w:rPr>
            </w:pPr>
          </w:p>
        </w:tc>
      </w:tr>
      <w:tr>
        <w:trPr>
          <w:trHeight w:val="455"/>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Invesco Ltd.</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3"/>
                <w:szCs w:val="23"/>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98-0557567</w:t>
            </w:r>
          </w:p>
        </w:tc>
        <w:tc>
          <w:tcPr>
            <w:tcW w:w="5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2.</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CHECK THE APPROPRIATE BOX IF A MEMBER OF A GROUP*</w:t>
            </w:r>
          </w:p>
        </w:tc>
        <w:tc>
          <w:tcPr>
            <w:tcW w:w="0" w:type="dxa"/>
            <w:vAlign w:val="bottom"/>
          </w:tcPr>
          <w:p>
            <w:pPr>
              <w:spacing w:after="0"/>
              <w:rPr>
                <w:sz w:val="1"/>
                <w:szCs w:val="1"/>
                <w:color w:val="auto"/>
              </w:rPr>
            </w:pPr>
          </w:p>
        </w:tc>
      </w:tr>
      <w:tr>
        <w:trPr>
          <w:trHeight w:val="455"/>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(a) [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3"/>
                <w:szCs w:val="23"/>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(b) [ ]</w:t>
            </w:r>
          </w:p>
        </w:tc>
        <w:tc>
          <w:tcPr>
            <w:tcW w:w="5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3.</w:t>
            </w:r>
          </w:p>
        </w:tc>
        <w:tc>
          <w:tcPr>
            <w:tcW w:w="3760" w:type="dxa"/>
            <w:vAlign w:val="bottom"/>
          </w:tcPr>
          <w:p>
            <w:pPr>
              <w:ind w:left="100"/>
              <w:spacing w:after="0"/>
              <w:rPr>
                <w:sz w:val="20"/>
                <w:szCs w:val="20"/>
                <w:color w:val="auto"/>
              </w:rPr>
            </w:pPr>
            <w:r>
              <w:rPr>
                <w:rFonts w:ascii="Arial" w:cs="Arial" w:eastAsia="Arial" w:hAnsi="Arial"/>
                <w:sz w:val="22"/>
                <w:szCs w:val="22"/>
                <w:color w:val="auto"/>
              </w:rPr>
              <w:t>SEC USE ONLY</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4.</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CITIZENSHIP OR PLACE OF ORGANIZATION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Bermuda</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8"/>
        </w:trPr>
        <w:tc>
          <w:tcPr>
            <w:tcW w:w="1720" w:type="dxa"/>
            <w:vAlign w:val="bottom"/>
          </w:tcPr>
          <w:p>
            <w:pPr>
              <w:ind w:left="120"/>
              <w:spacing w:after="0"/>
              <w:rPr>
                <w:sz w:val="20"/>
                <w:szCs w:val="20"/>
                <w:color w:val="auto"/>
              </w:rPr>
            </w:pPr>
            <w:r>
              <w:rPr>
                <w:rFonts w:ascii="Arial" w:cs="Arial" w:eastAsia="Arial" w:hAnsi="Arial"/>
                <w:sz w:val="22"/>
                <w:szCs w:val="22"/>
                <w:color w:val="auto"/>
              </w:rPr>
              <w:t>NUMBER OF</w:t>
            </w:r>
          </w:p>
        </w:tc>
        <w:tc>
          <w:tcPr>
            <w:tcW w:w="3760" w:type="dxa"/>
            <w:vAlign w:val="bottom"/>
          </w:tcPr>
          <w:p>
            <w:pPr>
              <w:ind w:left="160"/>
              <w:spacing w:after="0"/>
              <w:rPr>
                <w:sz w:val="20"/>
                <w:szCs w:val="20"/>
                <w:color w:val="auto"/>
              </w:rPr>
            </w:pPr>
            <w:r>
              <w:rPr>
                <w:rFonts w:ascii="Arial" w:cs="Arial" w:eastAsia="Arial" w:hAnsi="Arial"/>
                <w:sz w:val="22"/>
                <w:szCs w:val="22"/>
                <w:color w:val="auto"/>
              </w:rPr>
              <w:t>5. SOLE VOTING POWER</w:t>
            </w:r>
          </w:p>
        </w:tc>
        <w:tc>
          <w:tcPr>
            <w:tcW w:w="5760" w:type="dxa"/>
            <w:vAlign w:val="bottom"/>
          </w:tcPr>
          <w:p>
            <w:pPr>
              <w:ind w:left="320"/>
              <w:spacing w:after="0"/>
              <w:rPr>
                <w:sz w:val="20"/>
                <w:szCs w:val="20"/>
                <w:color w:val="auto"/>
              </w:rPr>
            </w:pPr>
            <w:r>
              <w:rPr>
                <w:rFonts w:ascii="Arial" w:cs="Arial" w:eastAsia="Arial" w:hAnsi="Arial"/>
                <w:sz w:val="22"/>
                <w:szCs w:val="22"/>
                <w:color w:val="auto"/>
              </w:rPr>
              <w:t>4,705,679</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3760" w:type="dxa"/>
            <w:vAlign w:val="bottom"/>
          </w:tcPr>
          <w:p>
            <w:pPr>
              <w:spacing w:after="0"/>
              <w:rPr>
                <w:sz w:val="21"/>
                <w:szCs w:val="21"/>
                <w:color w:val="auto"/>
              </w:rPr>
            </w:pPr>
          </w:p>
        </w:tc>
        <w:tc>
          <w:tcPr>
            <w:tcW w:w="5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BENEFICIALLY</w:t>
            </w:r>
          </w:p>
        </w:tc>
        <w:tc>
          <w:tcPr>
            <w:tcW w:w="3760" w:type="dxa"/>
            <w:vAlign w:val="bottom"/>
          </w:tcPr>
          <w:p>
            <w:pPr>
              <w:ind w:left="160"/>
              <w:spacing w:after="0" w:line="243" w:lineRule="exact"/>
              <w:rPr>
                <w:sz w:val="20"/>
                <w:szCs w:val="20"/>
                <w:color w:val="auto"/>
              </w:rPr>
            </w:pPr>
            <w:r>
              <w:rPr>
                <w:rFonts w:ascii="Arial" w:cs="Arial" w:eastAsia="Arial" w:hAnsi="Arial"/>
                <w:sz w:val="22"/>
                <w:szCs w:val="22"/>
                <w:color w:val="auto"/>
              </w:rPr>
              <w:t>6. SHARED VOTING POWER</w:t>
            </w:r>
          </w:p>
        </w:tc>
        <w:tc>
          <w:tcPr>
            <w:tcW w:w="5760" w:type="dxa"/>
            <w:vAlign w:val="bottom"/>
          </w:tcPr>
          <w:p>
            <w:pPr>
              <w:ind w:left="320"/>
              <w:spacing w:after="0" w:line="243"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OWNED BY</w:t>
            </w:r>
          </w:p>
        </w:tc>
        <w:tc>
          <w:tcPr>
            <w:tcW w:w="3760" w:type="dxa"/>
            <w:vAlign w:val="bottom"/>
            <w:vMerge w:val="restart"/>
          </w:tcPr>
          <w:p>
            <w:pPr>
              <w:ind w:left="160"/>
              <w:spacing w:after="0"/>
              <w:rPr>
                <w:sz w:val="20"/>
                <w:szCs w:val="20"/>
                <w:color w:val="auto"/>
              </w:rPr>
            </w:pPr>
            <w:r>
              <w:rPr>
                <w:rFonts w:ascii="Arial" w:cs="Arial" w:eastAsia="Arial" w:hAnsi="Arial"/>
                <w:sz w:val="22"/>
                <w:szCs w:val="22"/>
                <w:color w:val="auto"/>
              </w:rPr>
              <w:t>7. SOLE DISPOSITIVE POWER</w:t>
            </w:r>
          </w:p>
        </w:tc>
        <w:tc>
          <w:tcPr>
            <w:tcW w:w="5760" w:type="dxa"/>
            <w:vAlign w:val="bottom"/>
            <w:vMerge w:val="restart"/>
          </w:tcPr>
          <w:p>
            <w:pPr>
              <w:ind w:left="320"/>
              <w:spacing w:after="0"/>
              <w:rPr>
                <w:sz w:val="20"/>
                <w:szCs w:val="20"/>
                <w:color w:val="auto"/>
              </w:rPr>
            </w:pPr>
            <w:r>
              <w:rPr>
                <w:rFonts w:ascii="Arial" w:cs="Arial" w:eastAsia="Arial" w:hAnsi="Arial"/>
                <w:sz w:val="22"/>
                <w:szCs w:val="22"/>
                <w:color w:val="auto"/>
              </w:rPr>
              <w:t>4,731,510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EACH</w:t>
            </w:r>
          </w:p>
        </w:tc>
        <w:tc>
          <w:tcPr>
            <w:tcW w:w="3760" w:type="dxa"/>
            <w:vAlign w:val="bottom"/>
            <w:vMerge w:val="continue"/>
          </w:tcPr>
          <w:p>
            <w:pPr>
              <w:spacing w:after="0"/>
              <w:rPr>
                <w:sz w:val="21"/>
                <w:szCs w:val="21"/>
                <w:color w:val="auto"/>
              </w:rPr>
            </w:pPr>
          </w:p>
        </w:tc>
        <w:tc>
          <w:tcPr>
            <w:tcW w:w="57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REPORTING</w:t>
            </w:r>
          </w:p>
        </w:tc>
        <w:tc>
          <w:tcPr>
            <w:tcW w:w="3760" w:type="dxa"/>
            <w:vAlign w:val="bottom"/>
            <w:vMerge w:val="restart"/>
          </w:tcPr>
          <w:p>
            <w:pPr>
              <w:ind w:left="160"/>
              <w:spacing w:after="0"/>
              <w:rPr>
                <w:sz w:val="20"/>
                <w:szCs w:val="20"/>
                <w:color w:val="auto"/>
              </w:rPr>
            </w:pPr>
            <w:r>
              <w:rPr>
                <w:rFonts w:ascii="Arial" w:cs="Arial" w:eastAsia="Arial" w:hAnsi="Arial"/>
                <w:sz w:val="22"/>
                <w:szCs w:val="22"/>
                <w:color w:val="auto"/>
              </w:rPr>
              <w:t>8. SHARED DISPOSITIVE POWER</w:t>
            </w:r>
          </w:p>
        </w:tc>
        <w:tc>
          <w:tcPr>
            <w:tcW w:w="5760" w:type="dxa"/>
            <w:vAlign w:val="bottom"/>
            <w:vMerge w:val="restart"/>
          </w:tcPr>
          <w:p>
            <w:pPr>
              <w:ind w:left="3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74"/>
        </w:trPr>
        <w:tc>
          <w:tcPr>
            <w:tcW w:w="172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3760" w:type="dxa"/>
            <w:vAlign w:val="bottom"/>
            <w:vMerge w:val="continue"/>
          </w:tcPr>
          <w:p>
            <w:pPr>
              <w:spacing w:after="0"/>
              <w:rPr>
                <w:sz w:val="23"/>
                <w:szCs w:val="23"/>
                <w:color w:val="auto"/>
              </w:rPr>
            </w:pPr>
          </w:p>
        </w:tc>
        <w:tc>
          <w:tcPr>
            <w:tcW w:w="57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9.</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4,731,510</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10.</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11.</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PERCENT OF CLASS REPRESENTED BY AMOUNT IN ROW (9)</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5.0%</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12.</w:t>
            </w:r>
          </w:p>
        </w:tc>
        <w:tc>
          <w:tcPr>
            <w:tcW w:w="3760" w:type="dxa"/>
            <w:vAlign w:val="bottom"/>
          </w:tcPr>
          <w:p>
            <w:pPr>
              <w:ind w:left="100"/>
              <w:spacing w:after="0"/>
              <w:rPr>
                <w:sz w:val="20"/>
                <w:szCs w:val="20"/>
                <w:color w:val="auto"/>
              </w:rPr>
            </w:pPr>
            <w:r>
              <w:rPr>
                <w:rFonts w:ascii="Arial" w:cs="Arial" w:eastAsia="Arial" w:hAnsi="Arial"/>
                <w:sz w:val="22"/>
                <w:szCs w:val="22"/>
                <w:color w:val="auto"/>
              </w:rPr>
              <w:t>TYPE OF REPORTING PERSON</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HC, IA</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20" w:type="dxa"/>
            <w:vAlign w:val="bottom"/>
            <w:tcBorders>
              <w:bottom w:val="single" w:sz="8" w:color="808080"/>
            </w:tcBorders>
          </w:tcPr>
          <w:p>
            <w:pPr>
              <w:spacing w:after="0"/>
              <w:rPr>
                <w:sz w:val="8"/>
                <w:szCs w:val="8"/>
                <w:color w:val="auto"/>
              </w:rPr>
            </w:pPr>
          </w:p>
        </w:tc>
        <w:tc>
          <w:tcPr>
            <w:tcW w:w="3760" w:type="dxa"/>
            <w:vAlign w:val="bottom"/>
            <w:tcBorders>
              <w:bottom w:val="single" w:sz="8" w:color="808080"/>
            </w:tcBorders>
          </w:tcPr>
          <w:p>
            <w:pPr>
              <w:spacing w:after="0"/>
              <w:rPr>
                <w:sz w:val="8"/>
                <w:szCs w:val="8"/>
                <w:color w:val="auto"/>
              </w:rPr>
            </w:pPr>
          </w:p>
        </w:tc>
        <w:tc>
          <w:tcPr>
            <w:tcW w:w="57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8" w:right="33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8255"/>
                    </a:xfrm>
                    <a:prstGeom prst="rect">
                      <a:avLst/>
                    </a:prstGeom>
                    <a:noFill/>
                  </pic:spPr>
                </pic:pic>
              </a:graphicData>
            </a:graphic>
          </wp:anchor>
        </w:drawing>
        <w:t>Item 1.</w:t>
      </w:r>
    </w:p>
    <w:p>
      <w:pPr>
        <w:spacing w:after="0" w:line="125" w:lineRule="exact"/>
        <w:rPr>
          <w:sz w:val="20"/>
          <w:szCs w:val="20"/>
          <w:color w:val="auto"/>
        </w:rPr>
      </w:pPr>
    </w:p>
    <w:p>
      <w:pPr>
        <w:ind w:left="1500" w:right="8140" w:hanging="587"/>
        <w:spacing w:after="0" w:line="334" w:lineRule="auto"/>
        <w:tabs>
          <w:tab w:leader="none" w:pos="150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Name of Issuer </w:t>
      </w:r>
      <w:r>
        <w:rPr>
          <w:rFonts w:ascii="Arial" w:cs="Arial" w:eastAsia="Arial" w:hAnsi="Arial"/>
          <w:sz w:val="19"/>
          <w:szCs w:val="19"/>
          <w:color w:val="auto"/>
        </w:rPr>
        <w:t>Credicorp Ltd</w:t>
      </w:r>
    </w:p>
    <w:p>
      <w:pPr>
        <w:spacing w:after="0" w:line="12" w:lineRule="exact"/>
        <w:rPr>
          <w:rFonts w:ascii="Arial" w:cs="Arial" w:eastAsia="Arial" w:hAnsi="Arial"/>
          <w:sz w:val="19"/>
          <w:szCs w:val="19"/>
          <w:b w:val="1"/>
          <w:bCs w:val="1"/>
          <w:color w:val="auto"/>
        </w:rPr>
      </w:pPr>
    </w:p>
    <w:p>
      <w:pPr>
        <w:ind w:left="1500" w:right="5220" w:hanging="587"/>
        <w:spacing w:after="0" w:line="334" w:lineRule="auto"/>
        <w:tabs>
          <w:tab w:leader="none" w:pos="150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Address of Issuer's Principal Executive Offices </w:t>
      </w:r>
      <w:r>
        <w:rPr>
          <w:rFonts w:ascii="Arial" w:cs="Arial" w:eastAsia="Arial" w:hAnsi="Arial"/>
          <w:sz w:val="19"/>
          <w:szCs w:val="19"/>
          <w:color w:val="auto"/>
        </w:rPr>
        <w:t>156 Calle Centenario, La Molina, Lima 12, PE</w:t>
      </w:r>
    </w:p>
    <w:p>
      <w:pPr>
        <w:spacing w:after="0" w:line="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25" w:lineRule="exact"/>
        <w:rPr>
          <w:sz w:val="20"/>
          <w:szCs w:val="20"/>
          <w:color w:val="auto"/>
        </w:rPr>
      </w:pPr>
    </w:p>
    <w:p>
      <w:pPr>
        <w:ind w:left="1500" w:right="7000" w:hanging="587"/>
        <w:spacing w:after="0" w:line="334" w:lineRule="auto"/>
        <w:tabs>
          <w:tab w:leader="none" w:pos="1500" w:val="left"/>
        </w:tabs>
        <w:numPr>
          <w:ilvl w:val="0"/>
          <w:numId w:val="4"/>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Name of Person Filing </w:t>
      </w:r>
      <w:r>
        <w:rPr>
          <w:rFonts w:ascii="Arial" w:cs="Arial" w:eastAsia="Arial" w:hAnsi="Arial"/>
          <w:sz w:val="19"/>
          <w:szCs w:val="19"/>
          <w:color w:val="auto"/>
        </w:rPr>
        <w:t>Invesco Ltd. ("Invesco Ltd.")</w:t>
      </w:r>
    </w:p>
    <w:p>
      <w:pPr>
        <w:spacing w:after="0" w:line="12" w:lineRule="exact"/>
        <w:rPr>
          <w:rFonts w:ascii="Arial" w:cs="Arial" w:eastAsia="Arial" w:hAnsi="Arial"/>
          <w:sz w:val="19"/>
          <w:szCs w:val="19"/>
          <w:b w:val="1"/>
          <w:bCs w:val="1"/>
          <w:color w:val="auto"/>
        </w:rPr>
      </w:pPr>
    </w:p>
    <w:p>
      <w:pPr>
        <w:ind w:left="1500" w:right="4120" w:hanging="587"/>
        <w:spacing w:after="0" w:line="334" w:lineRule="auto"/>
        <w:tabs>
          <w:tab w:leader="none" w:pos="1500" w:val="left"/>
        </w:tabs>
        <w:numPr>
          <w:ilvl w:val="0"/>
          <w:numId w:val="4"/>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Address of Principal Business Office or, if None, Residence </w:t>
      </w:r>
      <w:r>
        <w:rPr>
          <w:rFonts w:ascii="Arial" w:cs="Arial" w:eastAsia="Arial" w:hAnsi="Arial"/>
          <w:sz w:val="19"/>
          <w:szCs w:val="19"/>
          <w:color w:val="auto"/>
        </w:rPr>
        <w:t>1555 Peachtree Street NE, Suite 1800, Atlanta, GA 30309</w:t>
      </w:r>
    </w:p>
    <w:p>
      <w:pPr>
        <w:spacing w:after="0" w:line="12" w:lineRule="exact"/>
        <w:rPr>
          <w:rFonts w:ascii="Arial" w:cs="Arial" w:eastAsia="Arial" w:hAnsi="Arial"/>
          <w:sz w:val="19"/>
          <w:szCs w:val="19"/>
          <w:b w:val="1"/>
          <w:bCs w:val="1"/>
          <w:color w:val="auto"/>
        </w:rPr>
      </w:pPr>
    </w:p>
    <w:p>
      <w:pPr>
        <w:ind w:left="1500" w:right="8480" w:hanging="587"/>
        <w:spacing w:after="0" w:line="334" w:lineRule="auto"/>
        <w:tabs>
          <w:tab w:leader="none" w:pos="1500" w:val="left"/>
        </w:tabs>
        <w:numPr>
          <w:ilvl w:val="0"/>
          <w:numId w:val="4"/>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Citizenship </w:t>
      </w:r>
      <w:r>
        <w:rPr>
          <w:rFonts w:ascii="Arial" w:cs="Arial" w:eastAsia="Arial" w:hAnsi="Arial"/>
          <w:sz w:val="19"/>
          <w:szCs w:val="19"/>
          <w:color w:val="auto"/>
        </w:rPr>
        <w:t>Bermuda</w:t>
      </w:r>
    </w:p>
    <w:p>
      <w:pPr>
        <w:spacing w:after="0" w:line="12" w:lineRule="exact"/>
        <w:rPr>
          <w:rFonts w:ascii="Arial" w:cs="Arial" w:eastAsia="Arial" w:hAnsi="Arial"/>
          <w:sz w:val="19"/>
          <w:szCs w:val="19"/>
          <w:b w:val="1"/>
          <w:bCs w:val="1"/>
          <w:color w:val="auto"/>
        </w:rPr>
      </w:pPr>
    </w:p>
    <w:p>
      <w:pPr>
        <w:ind w:left="1500" w:right="7140" w:hanging="587"/>
        <w:spacing w:after="0" w:line="334" w:lineRule="auto"/>
        <w:tabs>
          <w:tab w:leader="none" w:pos="1500" w:val="left"/>
        </w:tabs>
        <w:numPr>
          <w:ilvl w:val="0"/>
          <w:numId w:val="4"/>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Title of Class of Securities </w:t>
      </w:r>
      <w:r>
        <w:rPr>
          <w:rFonts w:ascii="Arial" w:cs="Arial" w:eastAsia="Arial" w:hAnsi="Arial"/>
          <w:sz w:val="19"/>
          <w:szCs w:val="19"/>
          <w:color w:val="auto"/>
        </w:rPr>
        <w:t>Common Stock</w:t>
      </w:r>
    </w:p>
    <w:p>
      <w:pPr>
        <w:spacing w:after="0" w:line="12" w:lineRule="exact"/>
        <w:rPr>
          <w:rFonts w:ascii="Arial" w:cs="Arial" w:eastAsia="Arial" w:hAnsi="Arial"/>
          <w:sz w:val="19"/>
          <w:szCs w:val="19"/>
          <w:b w:val="1"/>
          <w:bCs w:val="1"/>
          <w:color w:val="auto"/>
        </w:rPr>
      </w:pPr>
    </w:p>
    <w:p>
      <w:pPr>
        <w:ind w:left="1500" w:right="8060" w:hanging="587"/>
        <w:spacing w:after="0" w:line="334" w:lineRule="auto"/>
        <w:tabs>
          <w:tab w:leader="none" w:pos="1500" w:val="left"/>
        </w:tabs>
        <w:numPr>
          <w:ilvl w:val="0"/>
          <w:numId w:val="4"/>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CUSIP Number </w:t>
      </w:r>
      <w:r>
        <w:rPr>
          <w:rFonts w:ascii="Arial" w:cs="Arial" w:eastAsia="Arial" w:hAnsi="Arial"/>
          <w:sz w:val="19"/>
          <w:szCs w:val="19"/>
          <w:color w:val="auto"/>
        </w:rPr>
        <w:t>G2519Y108</w:t>
      </w:r>
    </w:p>
    <w:p>
      <w:pPr>
        <w:spacing w:after="0" w:line="13"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19"/>
          <w:szCs w:val="19"/>
          <w:b w:val="1"/>
          <w:bCs w:val="1"/>
          <w:color w:val="auto"/>
        </w:rPr>
        <w:t>If This Statement is Filed Pursuant to Rule 13d-1(b), or 13d-2(b) or (c), Check Whether the Person Filing is a:</w:t>
      </w:r>
    </w:p>
    <w:p>
      <w:pPr>
        <w:sectPr>
          <w:pgSz w:w="11900" w:h="16838" w:orient="portrait"/>
          <w:cols w:equalWidth="0" w:num="1">
            <w:col w:w="11020"/>
          </w:cols>
          <w:pgMar w:left="400" w:top="423" w:right="479" w:bottom="0" w:gutter="0" w:footer="0" w:header="0"/>
        </w:sectPr>
      </w:pPr>
    </w:p>
    <w:p>
      <w:pPr>
        <w:spacing w:after="0" w:line="131" w:lineRule="exact"/>
        <w:rPr>
          <w:sz w:val="20"/>
          <w:szCs w:val="20"/>
          <w:color w:val="auto"/>
        </w:rPr>
      </w:pPr>
    </w:p>
    <w:p>
      <w:pPr>
        <w:ind w:left="920"/>
        <w:spacing w:after="0"/>
        <w:tabs>
          <w:tab w:leader="none" w:pos="148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22"/>
          <w:szCs w:val="22"/>
          <w:color w:val="auto"/>
        </w:rPr>
        <w:t>[ ]</w:t>
      </w:r>
    </w:p>
    <w:p>
      <w:pPr>
        <w:spacing w:after="0" w:line="125" w:lineRule="exact"/>
        <w:rPr>
          <w:sz w:val="20"/>
          <w:szCs w:val="20"/>
          <w:color w:val="auto"/>
        </w:rPr>
      </w:pPr>
    </w:p>
    <w:p>
      <w:pPr>
        <w:ind w:left="920"/>
        <w:spacing w:after="0"/>
        <w:tabs>
          <w:tab w:leader="none" w:pos="1480" w:val="left"/>
        </w:tabs>
        <w:rPr>
          <w:sz w:val="20"/>
          <w:szCs w:val="20"/>
          <w:color w:val="auto"/>
        </w:rPr>
      </w:pPr>
      <w:r>
        <w:rPr>
          <w:rFonts w:ascii="Arial" w:cs="Arial" w:eastAsia="Arial" w:hAnsi="Arial"/>
          <w:sz w:val="22"/>
          <w:szCs w:val="22"/>
          <w:color w:val="auto"/>
        </w:rPr>
        <w:t>(b)</w:t>
      </w:r>
      <w:r>
        <w:rPr>
          <w:sz w:val="20"/>
          <w:szCs w:val="20"/>
          <w:color w:val="auto"/>
        </w:rPr>
        <w:tab/>
      </w:r>
      <w:r>
        <w:rPr>
          <w:rFonts w:ascii="Arial" w:cs="Arial" w:eastAsia="Arial" w:hAnsi="Arial"/>
          <w:sz w:val="22"/>
          <w:szCs w:val="22"/>
          <w:color w:val="auto"/>
        </w:rPr>
        <w:t>[ ]</w:t>
      </w:r>
    </w:p>
    <w:p>
      <w:pPr>
        <w:spacing w:after="0" w:line="125" w:lineRule="exact"/>
        <w:rPr>
          <w:sz w:val="20"/>
          <w:szCs w:val="20"/>
          <w:color w:val="auto"/>
        </w:rPr>
      </w:pPr>
    </w:p>
    <w:p>
      <w:pPr>
        <w:ind w:left="920"/>
        <w:spacing w:after="0"/>
        <w:tabs>
          <w:tab w:leader="none" w:pos="1480" w:val="left"/>
        </w:tabs>
        <w:rPr>
          <w:sz w:val="20"/>
          <w:szCs w:val="20"/>
          <w:color w:val="auto"/>
        </w:rPr>
      </w:pPr>
      <w:r>
        <w:rPr>
          <w:rFonts w:ascii="Arial" w:cs="Arial" w:eastAsia="Arial" w:hAnsi="Arial"/>
          <w:sz w:val="22"/>
          <w:szCs w:val="22"/>
          <w:color w:val="auto"/>
        </w:rPr>
        <w:t>(c)</w:t>
      </w:r>
      <w:r>
        <w:rPr>
          <w:sz w:val="20"/>
          <w:szCs w:val="20"/>
          <w:color w:val="auto"/>
        </w:rPr>
        <w:tab/>
      </w:r>
      <w:r>
        <w:rPr>
          <w:rFonts w:ascii="Arial" w:cs="Arial" w:eastAsia="Arial" w:hAnsi="Arial"/>
          <w:sz w:val="22"/>
          <w:szCs w:val="22"/>
          <w:color w:val="auto"/>
        </w:rPr>
        <w:t>[ ]</w:t>
      </w:r>
    </w:p>
    <w:p>
      <w:pPr>
        <w:spacing w:after="0" w:line="247" w:lineRule="exact"/>
        <w:rPr>
          <w:sz w:val="20"/>
          <w:szCs w:val="20"/>
          <w:color w:val="auto"/>
        </w:rPr>
      </w:pPr>
    </w:p>
    <w:p>
      <w:pPr>
        <w:ind w:left="920"/>
        <w:spacing w:after="0"/>
        <w:tabs>
          <w:tab w:leader="none" w:pos="1480" w:val="left"/>
        </w:tabs>
        <w:rPr>
          <w:sz w:val="20"/>
          <w:szCs w:val="20"/>
          <w:color w:val="auto"/>
        </w:rPr>
      </w:pPr>
      <w:r>
        <w:rPr>
          <w:rFonts w:ascii="Arial" w:cs="Arial" w:eastAsia="Arial" w:hAnsi="Arial"/>
          <w:sz w:val="22"/>
          <w:szCs w:val="22"/>
          <w:color w:val="auto"/>
        </w:rPr>
        <w:t>(d)</w:t>
      </w:r>
      <w:r>
        <w:rPr>
          <w:sz w:val="20"/>
          <w:szCs w:val="20"/>
          <w:color w:val="auto"/>
        </w:rPr>
        <w:tab/>
      </w:r>
      <w:r>
        <w:rPr>
          <w:rFonts w:ascii="Arial" w:cs="Arial" w:eastAsia="Arial" w:hAnsi="Arial"/>
          <w:sz w:val="22"/>
          <w:szCs w:val="22"/>
          <w:color w:val="auto"/>
        </w:rPr>
        <w:t>[ ]</w:t>
      </w:r>
    </w:p>
    <w:p>
      <w:pPr>
        <w:spacing w:after="0" w:line="247" w:lineRule="exact"/>
        <w:rPr>
          <w:sz w:val="20"/>
          <w:szCs w:val="20"/>
          <w:color w:val="auto"/>
        </w:rPr>
      </w:pPr>
    </w:p>
    <w:p>
      <w:pPr>
        <w:ind w:left="920"/>
        <w:spacing w:after="0"/>
        <w:tabs>
          <w:tab w:leader="none" w:pos="1480" w:val="left"/>
        </w:tabs>
        <w:rPr>
          <w:sz w:val="20"/>
          <w:szCs w:val="20"/>
          <w:color w:val="auto"/>
        </w:rPr>
      </w:pPr>
      <w:r>
        <w:rPr>
          <w:rFonts w:ascii="Arial" w:cs="Arial" w:eastAsia="Arial" w:hAnsi="Arial"/>
          <w:sz w:val="22"/>
          <w:szCs w:val="22"/>
          <w:color w:val="auto"/>
        </w:rPr>
        <w:t>(e)</w:t>
      </w:r>
      <w:r>
        <w:rPr>
          <w:sz w:val="20"/>
          <w:szCs w:val="20"/>
          <w:color w:val="auto"/>
        </w:rPr>
        <w:tab/>
      </w:r>
      <w:r>
        <w:rPr>
          <w:rFonts w:ascii="Arial" w:cs="Arial" w:eastAsia="Arial" w:hAnsi="Arial"/>
          <w:sz w:val="22"/>
          <w:szCs w:val="22"/>
          <w:color w:val="auto"/>
        </w:rPr>
        <w:t>[X]</w:t>
      </w:r>
    </w:p>
    <w:p>
      <w:pPr>
        <w:spacing w:after="0" w:line="125" w:lineRule="exact"/>
        <w:rPr>
          <w:sz w:val="20"/>
          <w:szCs w:val="20"/>
          <w:color w:val="auto"/>
        </w:rPr>
      </w:pPr>
    </w:p>
    <w:p>
      <w:pPr>
        <w:ind w:left="920"/>
        <w:spacing w:after="0"/>
        <w:tabs>
          <w:tab w:leader="none" w:pos="1480" w:val="left"/>
        </w:tabs>
        <w:rPr>
          <w:sz w:val="20"/>
          <w:szCs w:val="20"/>
          <w:color w:val="auto"/>
        </w:rPr>
      </w:pPr>
      <w:r>
        <w:rPr>
          <w:rFonts w:ascii="Arial" w:cs="Arial" w:eastAsia="Arial" w:hAnsi="Arial"/>
          <w:sz w:val="22"/>
          <w:szCs w:val="22"/>
          <w:color w:val="auto"/>
        </w:rPr>
        <w:t>(f)</w:t>
      </w:r>
      <w:r>
        <w:rPr>
          <w:sz w:val="20"/>
          <w:szCs w:val="20"/>
          <w:color w:val="auto"/>
        </w:rPr>
        <w:tab/>
      </w:r>
      <w:r>
        <w:rPr>
          <w:rFonts w:ascii="Arial" w:cs="Arial" w:eastAsia="Arial" w:hAnsi="Arial"/>
          <w:sz w:val="22"/>
          <w:szCs w:val="22"/>
          <w:color w:val="auto"/>
        </w:rPr>
        <w:t>[ ]</w:t>
      </w:r>
    </w:p>
    <w:p>
      <w:pPr>
        <w:spacing w:after="0" w:line="125" w:lineRule="exact"/>
        <w:rPr>
          <w:sz w:val="20"/>
          <w:szCs w:val="20"/>
          <w:color w:val="auto"/>
        </w:rPr>
      </w:pPr>
    </w:p>
    <w:p>
      <w:pPr>
        <w:ind w:left="920"/>
        <w:spacing w:after="0"/>
        <w:tabs>
          <w:tab w:leader="none" w:pos="1480" w:val="left"/>
        </w:tabs>
        <w:rPr>
          <w:sz w:val="20"/>
          <w:szCs w:val="20"/>
          <w:color w:val="auto"/>
        </w:rPr>
      </w:pPr>
      <w:r>
        <w:rPr>
          <w:rFonts w:ascii="Arial" w:cs="Arial" w:eastAsia="Arial" w:hAnsi="Arial"/>
          <w:sz w:val="22"/>
          <w:szCs w:val="22"/>
          <w:color w:val="auto"/>
        </w:rPr>
        <w:t>(g)</w:t>
      </w:r>
      <w:r>
        <w:rPr>
          <w:sz w:val="20"/>
          <w:szCs w:val="20"/>
          <w:color w:val="auto"/>
        </w:rPr>
        <w:tab/>
      </w:r>
      <w:r>
        <w:rPr>
          <w:rFonts w:ascii="Arial" w:cs="Arial" w:eastAsia="Arial" w:hAnsi="Arial"/>
          <w:sz w:val="22"/>
          <w:szCs w:val="22"/>
          <w:color w:val="auto"/>
        </w:rPr>
        <w:t>[X]</w:t>
      </w:r>
    </w:p>
    <w:p>
      <w:pPr>
        <w:spacing w:after="0" w:line="247" w:lineRule="exact"/>
        <w:rPr>
          <w:sz w:val="20"/>
          <w:szCs w:val="20"/>
          <w:color w:val="auto"/>
        </w:rPr>
      </w:pPr>
    </w:p>
    <w:p>
      <w:pPr>
        <w:ind w:left="920"/>
        <w:spacing w:after="0"/>
        <w:tabs>
          <w:tab w:leader="none" w:pos="1480" w:val="left"/>
        </w:tabs>
        <w:rPr>
          <w:sz w:val="20"/>
          <w:szCs w:val="20"/>
          <w:color w:val="auto"/>
        </w:rPr>
      </w:pPr>
      <w:r>
        <w:rPr>
          <w:rFonts w:ascii="Arial" w:cs="Arial" w:eastAsia="Arial" w:hAnsi="Arial"/>
          <w:sz w:val="22"/>
          <w:szCs w:val="22"/>
          <w:color w:val="auto"/>
        </w:rPr>
        <w:t>(h)</w:t>
      </w:r>
      <w:r>
        <w:rPr>
          <w:sz w:val="20"/>
          <w:szCs w:val="20"/>
          <w:color w:val="auto"/>
        </w:rPr>
        <w:tab/>
      </w:r>
      <w:r>
        <w:rPr>
          <w:rFonts w:ascii="Arial" w:cs="Arial" w:eastAsia="Arial" w:hAnsi="Arial"/>
          <w:sz w:val="22"/>
          <w:szCs w:val="22"/>
          <w:color w:val="auto"/>
        </w:rPr>
        <w:t>[ ]</w:t>
      </w:r>
    </w:p>
    <w:p>
      <w:pPr>
        <w:spacing w:after="0" w:line="368" w:lineRule="exact"/>
        <w:rPr>
          <w:sz w:val="20"/>
          <w:szCs w:val="20"/>
          <w:color w:val="auto"/>
        </w:rPr>
      </w:pPr>
    </w:p>
    <w:p>
      <w:pPr>
        <w:ind w:left="920"/>
        <w:spacing w:after="0"/>
        <w:tabs>
          <w:tab w:leader="none" w:pos="1480" w:val="left"/>
        </w:tabs>
        <w:rPr>
          <w:sz w:val="20"/>
          <w:szCs w:val="20"/>
          <w:color w:val="auto"/>
        </w:rPr>
      </w:pPr>
      <w:r>
        <w:rPr>
          <w:rFonts w:ascii="Arial" w:cs="Arial" w:eastAsia="Arial" w:hAnsi="Arial"/>
          <w:sz w:val="22"/>
          <w:szCs w:val="22"/>
          <w:color w:val="auto"/>
        </w:rPr>
        <w:t>(i)</w:t>
      </w:r>
      <w:r>
        <w:rPr>
          <w:sz w:val="20"/>
          <w:szCs w:val="20"/>
          <w:color w:val="auto"/>
        </w:rPr>
        <w:tab/>
      </w:r>
      <w:r>
        <w:rPr>
          <w:rFonts w:ascii="Arial" w:cs="Arial" w:eastAsia="Arial" w:hAnsi="Arial"/>
          <w:sz w:val="22"/>
          <w:szCs w:val="22"/>
          <w:color w:val="auto"/>
        </w:rPr>
        <w:t>[ ]</w:t>
      </w:r>
    </w:p>
    <w:p>
      <w:pPr>
        <w:spacing w:after="0" w:line="247" w:lineRule="exact"/>
        <w:rPr>
          <w:sz w:val="20"/>
          <w:szCs w:val="20"/>
          <w:color w:val="auto"/>
        </w:rPr>
      </w:pPr>
    </w:p>
    <w:p>
      <w:pPr>
        <w:ind w:left="920"/>
        <w:spacing w:after="0"/>
        <w:tabs>
          <w:tab w:leader="none" w:pos="1480" w:val="left"/>
        </w:tabs>
        <w:rPr>
          <w:sz w:val="20"/>
          <w:szCs w:val="20"/>
          <w:color w:val="auto"/>
        </w:rPr>
      </w:pPr>
      <w:r>
        <w:rPr>
          <w:rFonts w:ascii="Arial" w:cs="Arial" w:eastAsia="Arial" w:hAnsi="Arial"/>
          <w:sz w:val="22"/>
          <w:szCs w:val="22"/>
          <w:color w:val="auto"/>
        </w:rPr>
        <w:t>(j)</w:t>
      </w:r>
      <w:r>
        <w:rPr>
          <w:sz w:val="20"/>
          <w:szCs w:val="20"/>
          <w:color w:val="auto"/>
        </w:rPr>
        <w:tab/>
      </w:r>
      <w:r>
        <w:rPr>
          <w:rFonts w:ascii="Arial" w:cs="Arial" w:eastAsia="Arial" w:hAnsi="Arial"/>
          <w:sz w:val="22"/>
          <w:szCs w:val="22"/>
          <w:color w:val="auto"/>
        </w:rPr>
        <w:t>[ ]</w:t>
      </w:r>
    </w:p>
    <w:p>
      <w:pPr>
        <w:spacing w:after="0" w:line="11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Arial" w:cs="Arial" w:eastAsia="Arial" w:hAnsi="Arial"/>
          <w:sz w:val="22"/>
          <w:szCs w:val="22"/>
          <w:color w:val="auto"/>
        </w:rPr>
        <w:t>Broker or dealer registered under Section 15 of the Act (15 U.S.C. 78o).</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Bank as defined in Section 3(a)(6) of the Act (15 U.S.C. 78c).</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Insurance Company as defined in Section 3(a)(19) of the Act (15 U.S.C. 78c).</w:t>
      </w:r>
    </w:p>
    <w:p>
      <w:pPr>
        <w:spacing w:after="0" w:line="125" w:lineRule="exact"/>
        <w:rPr>
          <w:sz w:val="20"/>
          <w:szCs w:val="20"/>
          <w:color w:val="auto"/>
        </w:rPr>
      </w:pPr>
    </w:p>
    <w:p>
      <w:pPr>
        <w:spacing w:after="0"/>
        <w:rPr>
          <w:sz w:val="20"/>
          <w:szCs w:val="20"/>
          <w:color w:val="auto"/>
        </w:rPr>
      </w:pPr>
      <w:r>
        <w:rPr>
          <w:rFonts w:ascii="Arial" w:cs="Arial" w:eastAsia="Arial" w:hAnsi="Arial"/>
          <w:sz w:val="19"/>
          <w:szCs w:val="19"/>
          <w:color w:val="auto"/>
        </w:rPr>
        <w:t>Investment Company registered under Section 8 of the Investment Company Act of 1940 (15 U.S.C.</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80a-8).</w:t>
      </w:r>
    </w:p>
    <w:p>
      <w:pPr>
        <w:spacing w:after="0" w:line="107" w:lineRule="exact"/>
        <w:rPr>
          <w:sz w:val="20"/>
          <w:szCs w:val="20"/>
          <w:color w:val="auto"/>
        </w:rPr>
      </w:pPr>
    </w:p>
    <w:p>
      <w:pPr>
        <w:spacing w:after="0"/>
        <w:rPr>
          <w:sz w:val="20"/>
          <w:szCs w:val="20"/>
          <w:color w:val="auto"/>
        </w:rPr>
      </w:pPr>
      <w:r>
        <w:rPr>
          <w:rFonts w:ascii="Arial" w:cs="Arial" w:eastAsia="Arial" w:hAnsi="Arial"/>
          <w:sz w:val="22"/>
          <w:szCs w:val="22"/>
          <w:color w:val="auto"/>
        </w:rPr>
        <w:t>An investment adviser in accordance with Rule 240.13d-1(b)(1)(ii)(E);</w:t>
      </w:r>
    </w:p>
    <w:p>
      <w:pPr>
        <w:spacing w:after="0" w:line="125" w:lineRule="exact"/>
        <w:rPr>
          <w:sz w:val="20"/>
          <w:szCs w:val="20"/>
          <w:color w:val="auto"/>
        </w:rPr>
      </w:pPr>
    </w:p>
    <w:p>
      <w:pPr>
        <w:ind w:right="560"/>
        <w:spacing w:after="0" w:line="415" w:lineRule="auto"/>
        <w:rPr>
          <w:sz w:val="20"/>
          <w:szCs w:val="20"/>
          <w:color w:val="auto"/>
        </w:rPr>
      </w:pPr>
      <w:r>
        <w:rPr>
          <w:rFonts w:ascii="Arial" w:cs="Arial" w:eastAsia="Arial" w:hAnsi="Arial"/>
          <w:sz w:val="19"/>
          <w:szCs w:val="19"/>
          <w:color w:val="auto"/>
        </w:rPr>
        <w:t>An employee benefit plan or endowment fund in accordance with Rule 240.13d-1(b)(1)(ii)(F); A parent holding company or control person in accordance with Rule 240.13d-1(b)(1)(ii)(G);</w:t>
      </w:r>
    </w:p>
    <w:p>
      <w:pPr>
        <w:ind w:right="360"/>
        <w:spacing w:after="0" w:line="250" w:lineRule="auto"/>
        <w:rPr>
          <w:sz w:val="20"/>
          <w:szCs w:val="20"/>
          <w:color w:val="auto"/>
        </w:rPr>
      </w:pPr>
      <w:r>
        <w:rPr>
          <w:rFonts w:ascii="Arial" w:cs="Arial" w:eastAsia="Arial" w:hAnsi="Arial"/>
          <w:sz w:val="22"/>
          <w:szCs w:val="22"/>
          <w:color w:val="auto"/>
        </w:rPr>
        <w:t>A savings association as defined in Section 3(b) of the Federal Deposit Insurance Act (12 U.S.C. 1813);</w:t>
      </w:r>
    </w:p>
    <w:p>
      <w:pPr>
        <w:spacing w:after="0" w:line="94" w:lineRule="exact"/>
        <w:rPr>
          <w:sz w:val="20"/>
          <w:szCs w:val="20"/>
          <w:color w:val="auto"/>
        </w:rPr>
      </w:pPr>
    </w:p>
    <w:p>
      <w:pPr>
        <w:ind w:right="40"/>
        <w:spacing w:after="0" w:line="250" w:lineRule="auto"/>
        <w:rPr>
          <w:sz w:val="20"/>
          <w:szCs w:val="20"/>
          <w:color w:val="auto"/>
        </w:rPr>
      </w:pPr>
      <w:r>
        <w:rPr>
          <w:rFonts w:ascii="Arial" w:cs="Arial" w:eastAsia="Arial" w:hAnsi="Arial"/>
          <w:sz w:val="22"/>
          <w:szCs w:val="22"/>
          <w:color w:val="auto"/>
        </w:rPr>
        <w:t>A church plan that is excluded from the definition of an investment company under Section 3(c)(14) of the Investment Company Act of 1940 (15 U.S.C. 80a-3);</w:t>
      </w:r>
    </w:p>
    <w:p>
      <w:pPr>
        <w:spacing w:after="0" w:line="94" w:lineRule="exact"/>
        <w:rPr>
          <w:sz w:val="20"/>
          <w:szCs w:val="20"/>
          <w:color w:val="auto"/>
        </w:rPr>
      </w:pPr>
    </w:p>
    <w:p>
      <w:pPr>
        <w:spacing w:after="0"/>
        <w:rPr>
          <w:sz w:val="20"/>
          <w:szCs w:val="20"/>
          <w:color w:val="auto"/>
        </w:rPr>
      </w:pPr>
      <w:r>
        <w:rPr>
          <w:rFonts w:ascii="Arial" w:cs="Arial" w:eastAsia="Arial" w:hAnsi="Arial"/>
          <w:sz w:val="22"/>
          <w:szCs w:val="22"/>
          <w:color w:val="auto"/>
        </w:rPr>
        <w:t>Group, in accordance with Rule 240.13d-1(b)(1)(ii)(J).</w:t>
      </w:r>
    </w:p>
    <w:p>
      <w:pPr>
        <w:spacing w:after="0" w:line="502" w:lineRule="exact"/>
        <w:rPr>
          <w:sz w:val="20"/>
          <w:szCs w:val="20"/>
          <w:color w:val="auto"/>
        </w:rPr>
      </w:pPr>
    </w:p>
    <w:p>
      <w:pPr>
        <w:sectPr>
          <w:pgSz w:w="11900" w:h="16838" w:orient="portrait"/>
          <w:cols w:equalWidth="0" w:num="2">
            <w:col w:w="1980" w:space="320"/>
            <w:col w:w="8720"/>
          </w:cols>
          <w:pgMar w:left="400" w:top="423" w:right="479" w:bottom="0" w:gutter="0" w:footer="0" w:header="0"/>
          <w:type w:val="continuous"/>
        </w:sectPr>
      </w:pPr>
    </w:p>
    <w:p>
      <w:pPr>
        <w:ind w:right="660"/>
        <w:spacing w:after="0" w:line="250"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94" w:lineRule="exact"/>
        <w:rPr>
          <w:sz w:val="20"/>
          <w:szCs w:val="20"/>
          <w:color w:val="auto"/>
        </w:rPr>
      </w:pPr>
    </w:p>
    <w:p>
      <w:pPr>
        <w:ind w:left="1500" w:hanging="587"/>
        <w:spacing w:after="0"/>
        <w:tabs>
          <w:tab w:leader="none" w:pos="1500" w:val="left"/>
        </w:tabs>
        <w:numPr>
          <w:ilvl w:val="0"/>
          <w:numId w:val="5"/>
        </w:numPr>
        <w:rPr>
          <w:rFonts w:ascii="Arial" w:cs="Arial" w:eastAsia="Arial" w:hAnsi="Arial"/>
          <w:sz w:val="22"/>
          <w:szCs w:val="22"/>
          <w:color w:val="auto"/>
        </w:rPr>
      </w:pPr>
      <w:r>
        <w:rPr>
          <w:rFonts w:ascii="Arial" w:cs="Arial" w:eastAsia="Arial" w:hAnsi="Arial"/>
          <w:sz w:val="22"/>
          <w:szCs w:val="22"/>
          <w:color w:val="auto"/>
        </w:rPr>
        <w:t>Amount Beneficially Owned:</w:t>
      </w:r>
    </w:p>
    <w:p>
      <w:pPr>
        <w:spacing w:after="0" w:line="125" w:lineRule="exact"/>
        <w:rPr>
          <w:rFonts w:ascii="Arial" w:cs="Arial" w:eastAsia="Arial" w:hAnsi="Arial"/>
          <w:sz w:val="22"/>
          <w:szCs w:val="22"/>
          <w:color w:val="auto"/>
        </w:rPr>
      </w:pPr>
    </w:p>
    <w:p>
      <w:pPr>
        <w:ind w:left="1500" w:right="620"/>
        <w:spacing w:after="0" w:line="328" w:lineRule="auto"/>
        <w:rPr>
          <w:rFonts w:ascii="Arial" w:cs="Arial" w:eastAsia="Arial" w:hAnsi="Arial"/>
          <w:sz w:val="22"/>
          <w:szCs w:val="22"/>
          <w:color w:val="auto"/>
        </w:rPr>
      </w:pPr>
      <w:r>
        <w:rPr>
          <w:rFonts w:ascii="Arial" w:cs="Arial" w:eastAsia="Arial" w:hAnsi="Arial"/>
          <w:sz w:val="19"/>
          <w:szCs w:val="19"/>
          <w:color w:val="auto"/>
        </w:rPr>
        <w:t>Invesco Ltd. , in its capacity as a parent holding company to its investment advisers, may be deemed to beneficially own 4,731,510 shares of the Issuer which are held of record by clients of Invesco Ltd. ..</w:t>
      </w:r>
    </w:p>
    <w:p>
      <w:pPr>
        <w:sectPr>
          <w:pgSz w:w="11900" w:h="16838" w:orient="portrait"/>
          <w:cols w:equalWidth="0" w:num="1">
            <w:col w:w="11020"/>
          </w:cols>
          <w:pgMar w:left="400" w:top="423" w:right="479" w:bottom="0" w:gutter="0" w:footer="0" w:header="0"/>
          <w:type w:val="continuous"/>
        </w:sectPr>
      </w:pPr>
    </w:p>
    <w:p>
      <w:pPr>
        <w:spacing w:after="0" w:line="24" w:lineRule="exact"/>
        <w:rPr>
          <w:sz w:val="20"/>
          <w:szCs w:val="20"/>
          <w:color w:val="auto"/>
        </w:rPr>
      </w:pPr>
    </w:p>
    <w:p>
      <w:pPr>
        <w:ind w:left="1500" w:hanging="587"/>
        <w:spacing w:after="0"/>
        <w:tabs>
          <w:tab w:leader="none" w:pos="1500" w:val="left"/>
        </w:tabs>
        <w:numPr>
          <w:ilvl w:val="0"/>
          <w:numId w:val="6"/>
        </w:numPr>
        <w:rPr>
          <w:rFonts w:ascii="Arial" w:cs="Arial" w:eastAsia="Arial" w:hAnsi="Arial"/>
          <w:sz w:val="22"/>
          <w:szCs w:val="22"/>
          <w:color w:val="auto"/>
        </w:rPr>
      </w:pPr>
      <w:r>
        <w:rPr>
          <w:rFonts w:ascii="Arial" w:cs="Arial" w:eastAsia="Arial" w:hAnsi="Arial"/>
          <w:sz w:val="22"/>
          <w:szCs w:val="22"/>
          <w:color w:val="auto"/>
        </w:rPr>
        <w:t>Percent of Class:</w:t>
      </w:r>
    </w:p>
    <w:p>
      <w:pPr>
        <w:spacing w:after="0" w:line="125" w:lineRule="exact"/>
        <w:rPr>
          <w:rFonts w:ascii="Arial" w:cs="Arial" w:eastAsia="Arial" w:hAnsi="Arial"/>
          <w:sz w:val="22"/>
          <w:szCs w:val="22"/>
          <w:color w:val="auto"/>
        </w:rPr>
      </w:pPr>
    </w:p>
    <w:p>
      <w:pPr>
        <w:ind w:left="1500"/>
        <w:spacing w:after="0"/>
        <w:rPr>
          <w:rFonts w:ascii="Arial" w:cs="Arial" w:eastAsia="Arial" w:hAnsi="Arial"/>
          <w:sz w:val="22"/>
          <w:szCs w:val="22"/>
          <w:color w:val="auto"/>
        </w:rPr>
      </w:pPr>
      <w:r>
        <w:rPr>
          <w:rFonts w:ascii="Arial" w:cs="Arial" w:eastAsia="Arial" w:hAnsi="Arial"/>
          <w:sz w:val="22"/>
          <w:szCs w:val="22"/>
          <w:color w:val="auto"/>
        </w:rPr>
        <w:t>5.0%</w:t>
      </w:r>
    </w:p>
    <w:p>
      <w:pPr>
        <w:spacing w:after="0" w:line="125" w:lineRule="exact"/>
        <w:rPr>
          <w:rFonts w:ascii="Arial" w:cs="Arial" w:eastAsia="Arial" w:hAnsi="Arial"/>
          <w:sz w:val="22"/>
          <w:szCs w:val="22"/>
          <w:color w:val="auto"/>
        </w:rPr>
      </w:pPr>
    </w:p>
    <w:p>
      <w:pPr>
        <w:ind w:left="1500" w:hanging="587"/>
        <w:spacing w:after="0"/>
        <w:tabs>
          <w:tab w:leader="none" w:pos="1500" w:val="left"/>
        </w:tabs>
        <w:numPr>
          <w:ilvl w:val="0"/>
          <w:numId w:val="6"/>
        </w:numPr>
        <w:rPr>
          <w:rFonts w:ascii="Arial" w:cs="Arial" w:eastAsia="Arial" w:hAnsi="Arial"/>
          <w:sz w:val="22"/>
          <w:szCs w:val="22"/>
          <w:color w:val="auto"/>
        </w:rPr>
      </w:pPr>
      <w:r>
        <w:rPr>
          <w:rFonts w:ascii="Arial" w:cs="Arial" w:eastAsia="Arial" w:hAnsi="Arial"/>
          <w:sz w:val="22"/>
          <w:szCs w:val="22"/>
          <w:color w:val="auto"/>
        </w:rPr>
        <w:t>Number of shares as to which such person has:</w:t>
      </w:r>
    </w:p>
    <w:p>
      <w:pPr>
        <w:spacing w:after="0" w:line="125" w:lineRule="exact"/>
        <w:rPr>
          <w:rFonts w:ascii="Arial" w:cs="Arial" w:eastAsia="Arial" w:hAnsi="Arial"/>
          <w:sz w:val="22"/>
          <w:szCs w:val="22"/>
          <w:color w:val="auto"/>
        </w:rPr>
      </w:pPr>
    </w:p>
    <w:p>
      <w:pPr>
        <w:ind w:left="2300" w:hanging="806"/>
        <w:spacing w:after="0"/>
        <w:tabs>
          <w:tab w:leader="none" w:pos="2300" w:val="left"/>
        </w:tabs>
        <w:numPr>
          <w:ilvl w:val="1"/>
          <w:numId w:val="6"/>
        </w:numPr>
        <w:rPr>
          <w:rFonts w:ascii="Arial" w:cs="Arial" w:eastAsia="Arial" w:hAnsi="Arial"/>
          <w:sz w:val="22"/>
          <w:szCs w:val="22"/>
          <w:color w:val="auto"/>
        </w:rPr>
      </w:pPr>
      <w:r>
        <w:rPr>
          <w:rFonts w:ascii="Arial" w:cs="Arial" w:eastAsia="Arial" w:hAnsi="Arial"/>
          <w:sz w:val="22"/>
          <w:szCs w:val="22"/>
          <w:color w:val="auto"/>
        </w:rPr>
        <w:t>sole power to vote or to direct the vote</w:t>
      </w:r>
    </w:p>
    <w:p>
      <w:pPr>
        <w:spacing w:after="0" w:line="125" w:lineRule="exact"/>
        <w:rPr>
          <w:rFonts w:ascii="Arial" w:cs="Arial" w:eastAsia="Arial" w:hAnsi="Arial"/>
          <w:sz w:val="22"/>
          <w:szCs w:val="22"/>
          <w:color w:val="auto"/>
        </w:rPr>
      </w:pPr>
    </w:p>
    <w:p>
      <w:pPr>
        <w:ind w:left="2300" w:hanging="806"/>
        <w:spacing w:after="0"/>
        <w:tabs>
          <w:tab w:leader="none" w:pos="2300" w:val="left"/>
        </w:tabs>
        <w:numPr>
          <w:ilvl w:val="1"/>
          <w:numId w:val="6"/>
        </w:numPr>
        <w:rPr>
          <w:rFonts w:ascii="Arial" w:cs="Arial" w:eastAsia="Arial" w:hAnsi="Arial"/>
          <w:sz w:val="22"/>
          <w:szCs w:val="22"/>
          <w:color w:val="auto"/>
        </w:rPr>
      </w:pPr>
      <w:r>
        <w:rPr>
          <w:rFonts w:ascii="Arial" w:cs="Arial" w:eastAsia="Arial" w:hAnsi="Arial"/>
          <w:sz w:val="22"/>
          <w:szCs w:val="22"/>
          <w:color w:val="auto"/>
        </w:rPr>
        <w:t>shared power to vote or to direct the vote</w:t>
      </w:r>
    </w:p>
    <w:p>
      <w:pPr>
        <w:spacing w:after="0" w:line="125" w:lineRule="exact"/>
        <w:rPr>
          <w:rFonts w:ascii="Arial" w:cs="Arial" w:eastAsia="Arial" w:hAnsi="Arial"/>
          <w:sz w:val="22"/>
          <w:szCs w:val="22"/>
          <w:color w:val="auto"/>
        </w:rPr>
      </w:pPr>
    </w:p>
    <w:p>
      <w:pPr>
        <w:ind w:left="2300" w:hanging="806"/>
        <w:spacing w:after="0" w:line="183" w:lineRule="auto"/>
        <w:tabs>
          <w:tab w:leader="none" w:pos="2300" w:val="left"/>
        </w:tabs>
        <w:numPr>
          <w:ilvl w:val="1"/>
          <w:numId w:val="6"/>
        </w:numPr>
        <w:rPr>
          <w:rFonts w:ascii="Arial" w:cs="Arial" w:eastAsia="Arial" w:hAnsi="Arial"/>
          <w:sz w:val="39"/>
          <w:szCs w:val="39"/>
          <w:color w:val="auto"/>
          <w:vertAlign w:val="subscript"/>
        </w:rPr>
      </w:pPr>
      <w:r>
        <w:rPr>
          <w:rFonts w:ascii="Arial" w:cs="Arial" w:eastAsia="Arial" w:hAnsi="Arial"/>
          <w:sz w:val="20"/>
          <w:szCs w:val="20"/>
          <w:color w:val="auto"/>
        </w:rPr>
        <w:t>sole power to dispose or to direct the disposition of</w:t>
      </w:r>
    </w:p>
    <w:p>
      <w:pPr>
        <w:spacing w:after="0" w:line="103" w:lineRule="exact"/>
        <w:rPr>
          <w:rFonts w:ascii="Arial" w:cs="Arial" w:eastAsia="Arial" w:hAnsi="Arial"/>
          <w:sz w:val="39"/>
          <w:szCs w:val="39"/>
          <w:color w:val="auto"/>
          <w:vertAlign w:val="subscript"/>
        </w:rPr>
      </w:pPr>
    </w:p>
    <w:p>
      <w:pPr>
        <w:ind w:left="2300" w:right="800" w:hanging="806"/>
        <w:spacing w:after="0" w:line="183" w:lineRule="auto"/>
        <w:tabs>
          <w:tab w:leader="none" w:pos="2300" w:val="left"/>
        </w:tabs>
        <w:numPr>
          <w:ilvl w:val="1"/>
          <w:numId w:val="6"/>
        </w:numPr>
        <w:rPr>
          <w:rFonts w:ascii="Arial" w:cs="Arial" w:eastAsia="Arial" w:hAnsi="Arial"/>
          <w:sz w:val="39"/>
          <w:szCs w:val="39"/>
          <w:color w:val="auto"/>
          <w:vertAlign w:val="subscript"/>
        </w:rPr>
      </w:pPr>
      <w:r>
        <w:rPr>
          <w:rFonts w:ascii="Arial" w:cs="Arial" w:eastAsia="Arial" w:hAnsi="Arial"/>
          <w:sz w:val="20"/>
          <w:szCs w:val="20"/>
          <w:color w:val="auto"/>
        </w:rPr>
        <w:t>shared power to dispose or to direct the disposition of</w:t>
      </w:r>
    </w:p>
    <w:p>
      <w:pPr>
        <w:spacing w:after="0" w:line="98"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Class.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9"/>
          <w:szCs w:val="19"/>
          <w:color w:val="auto"/>
        </w:rPr>
        <w:t>4,705,679</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0</w:t>
      </w: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color w:val="auto"/>
        </w:rPr>
        <w:t>4,731,510</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color w:val="auto"/>
        </w:rPr>
        <w:t>0</w:t>
      </w:r>
    </w:p>
    <w:p>
      <w:pPr>
        <w:spacing w:after="0" w:line="624" w:lineRule="exact"/>
        <w:rPr>
          <w:sz w:val="20"/>
          <w:szCs w:val="20"/>
          <w:color w:val="auto"/>
        </w:rPr>
      </w:pPr>
    </w:p>
    <w:p>
      <w:pPr>
        <w:sectPr>
          <w:pgSz w:w="11900" w:h="16838" w:orient="portrait"/>
          <w:cols w:equalWidth="0" w:num="2">
            <w:col w:w="6500" w:space="260"/>
            <w:col w:w="4260"/>
          </w:cols>
          <w:pgMar w:left="400" w:top="423" w:right="479" w:bottom="0" w:gutter="0" w:footer="0" w:header="0"/>
          <w:type w:val="continuous"/>
        </w:sectPr>
      </w:pPr>
    </w:p>
    <w:p>
      <w:pPr>
        <w:ind w:left="920" w:right="300"/>
        <w:spacing w:after="0" w:line="274" w:lineRule="auto"/>
        <w:rPr>
          <w:sz w:val="20"/>
          <w:szCs w:val="20"/>
          <w:color w:val="auto"/>
        </w:rPr>
      </w:pPr>
      <w:r>
        <w:rPr>
          <w:rFonts w:ascii="Arial" w:cs="Arial" w:eastAsia="Arial" w:hAnsi="Arial"/>
          <w:sz w:val="21"/>
          <w:szCs w:val="21"/>
          <w:color w:val="auto"/>
        </w:rPr>
        <w:t>If this statement is being filed to report the fact that as of the date hereof the reporting person has ceased to be the beneficial owner of more than five percent of the class of securities, check the following: [ ]</w:t>
      </w:r>
    </w:p>
    <w:p>
      <w:pPr>
        <w:sectPr>
          <w:pgSz w:w="11900" w:h="16838" w:orient="portrait"/>
          <w:cols w:equalWidth="0" w:num="1">
            <w:col w:w="11020"/>
          </w:cols>
          <w:pgMar w:left="400" w:top="423" w:right="479" w:bottom="0" w:gutter="0" w:footer="0" w:header="0"/>
          <w:type w:val="continuous"/>
        </w:sectPr>
      </w:pPr>
    </w:p>
    <w:bookmarkStart w:id="3" w:name="page4"/>
    <w:bookmarkEnd w:id="3"/>
    <w:p>
      <w:pPr>
        <w:spacing w:after="0"/>
        <w:tabs>
          <w:tab w:leader="none" w:pos="900" w:val="left"/>
        </w:tabs>
        <w:rPr>
          <w:sz w:val="20"/>
          <w:szCs w:val="20"/>
          <w:color w:val="auto"/>
        </w:rPr>
      </w:pPr>
      <w:r>
        <w:rPr>
          <w:rFonts w:ascii="Arial" w:cs="Arial" w:eastAsia="Arial" w:hAnsi="Arial"/>
          <w:sz w:val="22"/>
          <w:szCs w:val="22"/>
          <w:b w:val="1"/>
          <w:bCs w:val="1"/>
          <w:color w:val="auto"/>
        </w:rPr>
        <w:t>Item 6.</w:t>
      </w:r>
      <w:r>
        <w:rPr>
          <w:sz w:val="20"/>
          <w:szCs w:val="20"/>
          <w:color w:val="auto"/>
        </w:rPr>
        <w:tab/>
      </w:r>
      <w:r>
        <w:rPr>
          <w:rFonts w:ascii="Arial" w:cs="Arial" w:eastAsia="Arial" w:hAnsi="Arial"/>
          <w:sz w:val="19"/>
          <w:szCs w:val="19"/>
          <w:b w:val="1"/>
          <w:bCs w:val="1"/>
          <w:color w:val="auto"/>
        </w:rPr>
        <w:t>Ownership of More than Five Percent on Behalf of Another Person.</w:t>
      </w:r>
    </w:p>
    <w:p>
      <w:pPr>
        <w:spacing w:after="0" w:line="132" w:lineRule="exact"/>
        <w:rPr>
          <w:sz w:val="20"/>
          <w:szCs w:val="20"/>
          <w:color w:val="auto"/>
        </w:rPr>
      </w:pPr>
    </w:p>
    <w:p>
      <w:pPr>
        <w:ind w:left="920"/>
        <w:spacing w:after="0" w:line="328" w:lineRule="auto"/>
        <w:rPr>
          <w:sz w:val="20"/>
          <w:szCs w:val="20"/>
          <w:color w:val="auto"/>
        </w:rPr>
      </w:pPr>
      <w:r>
        <w:rPr>
          <w:rFonts w:ascii="Arial" w:cs="Arial" w:eastAsia="Arial" w:hAnsi="Arial"/>
          <w:sz w:val="19"/>
          <w:szCs w:val="19"/>
          <w:color w:val="auto"/>
        </w:rPr>
        <w:t>However, no one individual has greater than 5% economic ownership. The shareholders of the Fund have the right to receive or the power to direct the receipt of dividends and proceeds from the sale of securities listed above.</w:t>
      </w:r>
    </w:p>
    <w:p>
      <w:pPr>
        <w:spacing w:after="0" w:line="18" w:lineRule="exact"/>
        <w:rPr>
          <w:sz w:val="20"/>
          <w:szCs w:val="20"/>
          <w:color w:val="auto"/>
        </w:rPr>
      </w:pPr>
    </w:p>
    <w:p>
      <w:pPr>
        <w:ind w:left="920" w:right="380" w:hanging="903"/>
        <w:spacing w:after="0" w:line="256" w:lineRule="auto"/>
        <w:tabs>
          <w:tab w:leader="none" w:pos="900" w:val="left"/>
        </w:tabs>
        <w:rPr>
          <w:sz w:val="20"/>
          <w:szCs w:val="20"/>
          <w:color w:val="auto"/>
        </w:rPr>
      </w:pPr>
      <w:r>
        <w:rPr>
          <w:rFonts w:ascii="Arial" w:cs="Arial" w:eastAsia="Arial" w:hAnsi="Arial"/>
          <w:sz w:val="22"/>
          <w:szCs w:val="22"/>
          <w:b w:val="1"/>
          <w:bCs w:val="1"/>
          <w:color w:val="auto"/>
        </w:rPr>
        <w:t>Item 7.</w:t>
        <w:tab/>
        <w:t>Identification and Classification of the Subsidiary Which Acquired the Security Being Reported on by the Parent Holding Company.</w:t>
      </w:r>
    </w:p>
    <w:p>
      <w:pPr>
        <w:spacing w:after="0" w:line="87" w:lineRule="exact"/>
        <w:rPr>
          <w:sz w:val="20"/>
          <w:szCs w:val="20"/>
          <w:color w:val="auto"/>
        </w:rPr>
      </w:pPr>
    </w:p>
    <w:p>
      <w:pPr>
        <w:ind w:left="920"/>
        <w:spacing w:after="0"/>
        <w:rPr>
          <w:sz w:val="20"/>
          <w:szCs w:val="20"/>
          <w:color w:val="auto"/>
        </w:rPr>
      </w:pPr>
      <w:r>
        <w:rPr>
          <w:rFonts w:ascii="Arial" w:cs="Arial" w:eastAsia="Arial" w:hAnsi="Arial"/>
          <w:sz w:val="22"/>
          <w:szCs w:val="22"/>
          <w:color w:val="auto"/>
        </w:rPr>
        <w:t>Invesco Advisers, Inc.</w:t>
      </w:r>
    </w:p>
    <w:p>
      <w:pPr>
        <w:ind w:left="920"/>
        <w:spacing w:after="0" w:line="238" w:lineRule="auto"/>
        <w:rPr>
          <w:sz w:val="20"/>
          <w:szCs w:val="20"/>
          <w:color w:val="auto"/>
        </w:rPr>
      </w:pPr>
      <w:r>
        <w:rPr>
          <w:rFonts w:ascii="Arial" w:cs="Arial" w:eastAsia="Arial" w:hAnsi="Arial"/>
          <w:sz w:val="22"/>
          <w:szCs w:val="22"/>
          <w:color w:val="auto"/>
        </w:rPr>
        <w:t>Invesco Asset Management Ltd</w:t>
      </w:r>
    </w:p>
    <w:p>
      <w:pPr>
        <w:ind w:left="920"/>
        <w:spacing w:after="0"/>
        <w:rPr>
          <w:sz w:val="20"/>
          <w:szCs w:val="20"/>
          <w:color w:val="auto"/>
        </w:rPr>
      </w:pPr>
      <w:r>
        <w:rPr>
          <w:rFonts w:ascii="Arial" w:cs="Arial" w:eastAsia="Arial" w:hAnsi="Arial"/>
          <w:sz w:val="22"/>
          <w:szCs w:val="22"/>
          <w:color w:val="auto"/>
        </w:rPr>
        <w:t>Invesco Capital Management LLC</w:t>
      </w:r>
    </w:p>
    <w:p>
      <w:pPr>
        <w:spacing w:after="0" w:line="101"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8.</w:t>
      </w:r>
      <w:r>
        <w:rPr>
          <w:sz w:val="20"/>
          <w:szCs w:val="20"/>
          <w:color w:val="auto"/>
        </w:rPr>
        <w:tab/>
      </w:r>
      <w:r>
        <w:rPr>
          <w:rFonts w:ascii="Arial" w:cs="Arial" w:eastAsia="Arial" w:hAnsi="Arial"/>
          <w:sz w:val="19"/>
          <w:szCs w:val="19"/>
          <w:b w:val="1"/>
          <w:bCs w:val="1"/>
          <w:color w:val="auto"/>
        </w:rPr>
        <w:t>Identification and Classification of Members of the Group.</w:t>
      </w:r>
    </w:p>
    <w:p>
      <w:pPr>
        <w:spacing w:after="0" w:line="239"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 This schedule is not being filed pursuant to Rule 13d-1(b)(1)(ii)(J) or Rule 13d-1(d).</w:t>
      </w:r>
    </w:p>
    <w:p>
      <w:pPr>
        <w:spacing w:after="0" w:line="11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9.</w:t>
      </w:r>
      <w:r>
        <w:rPr>
          <w:sz w:val="20"/>
          <w:szCs w:val="20"/>
          <w:color w:val="auto"/>
        </w:rPr>
        <w:tab/>
      </w:r>
      <w:r>
        <w:rPr>
          <w:rFonts w:ascii="Arial" w:cs="Arial" w:eastAsia="Arial" w:hAnsi="Arial"/>
          <w:sz w:val="19"/>
          <w:szCs w:val="19"/>
          <w:b w:val="1"/>
          <w:bCs w:val="1"/>
          <w:color w:val="auto"/>
        </w:rPr>
        <w:t>Notice of Dissolution of Group.</w:t>
      </w:r>
    </w:p>
    <w:p>
      <w:pPr>
        <w:spacing w:after="0" w:line="239"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10.  Certification.</w:t>
      </w:r>
    </w:p>
    <w:p>
      <w:pPr>
        <w:spacing w:after="0" w:line="239" w:lineRule="exact"/>
        <w:rPr>
          <w:sz w:val="20"/>
          <w:szCs w:val="20"/>
          <w:color w:val="auto"/>
        </w:rPr>
      </w:pPr>
    </w:p>
    <w:p>
      <w:pPr>
        <w:ind w:left="920" w:right="20"/>
        <w:spacing w:after="0" w:line="287"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020"/>
          </w:cols>
          <w:pgMar w:left="400" w:top="112" w:right="47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8890"/>
                    </a:xfrm>
                    <a:prstGeom prst="rect">
                      <a:avLst/>
                    </a:prstGeom>
                    <a:noFill/>
                  </pic:spPr>
                </pic:pic>
              </a:graphicData>
            </a:graphic>
          </wp:anchor>
        </w:drawing>
        <w:t>SIGNATURE</w:t>
      </w:r>
    </w:p>
    <w:p>
      <w:pPr>
        <w:spacing w:after="0" w:line="334" w:lineRule="exact"/>
        <w:rPr>
          <w:sz w:val="20"/>
          <w:szCs w:val="20"/>
          <w:color w:val="auto"/>
        </w:rPr>
      </w:pPr>
    </w:p>
    <w:p>
      <w:pPr>
        <w:ind w:left="60" w:right="199"/>
        <w:spacing w:after="0" w:line="250"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56" w:lineRule="exact"/>
        <w:rPr>
          <w:sz w:val="20"/>
          <w:szCs w:val="20"/>
          <w:color w:val="auto"/>
        </w:rPr>
      </w:pPr>
    </w:p>
    <w:p>
      <w:pPr>
        <w:ind w:left="620"/>
        <w:spacing w:after="0"/>
        <w:rPr>
          <w:sz w:val="20"/>
          <w:szCs w:val="20"/>
          <w:color w:val="auto"/>
        </w:rPr>
      </w:pPr>
      <w:r>
        <w:rPr>
          <w:rFonts w:ascii="Arial" w:cs="Arial" w:eastAsia="Arial" w:hAnsi="Arial"/>
          <w:sz w:val="22"/>
          <w:szCs w:val="22"/>
          <w:color w:val="auto"/>
        </w:rPr>
        <w:t>Invesco Ltd.</w:t>
      </w:r>
    </w:p>
    <w:p>
      <w:pPr>
        <w:spacing w:after="0" w:line="44" w:lineRule="exact"/>
        <w:rPr>
          <w:sz w:val="20"/>
          <w:szCs w:val="20"/>
          <w:color w:val="auto"/>
        </w:rPr>
      </w:pPr>
    </w:p>
    <w:p>
      <w:pPr>
        <w:ind w:left="6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Nancy L. Tomassone</w:t>
      </w:r>
    </w:p>
    <w:p>
      <w:pPr>
        <w:spacing w:after="0" w:line="44" w:lineRule="exact"/>
        <w:rPr>
          <w:sz w:val="20"/>
          <w:szCs w:val="20"/>
          <w:color w:val="auto"/>
        </w:rPr>
      </w:pPr>
    </w:p>
    <w:p>
      <w:pPr>
        <w:ind w:left="620"/>
        <w:spacing w:after="0"/>
        <w:rPr>
          <w:sz w:val="20"/>
          <w:szCs w:val="20"/>
          <w:color w:val="auto"/>
        </w:rPr>
      </w:pPr>
      <w:r>
        <w:rPr>
          <w:rFonts w:ascii="Arial" w:cs="Arial" w:eastAsia="Arial" w:hAnsi="Arial"/>
          <w:sz w:val="22"/>
          <w:szCs w:val="22"/>
          <w:color w:val="auto"/>
        </w:rPr>
        <w:t>Date: April 08, 2020</w:t>
      </w:r>
    </w:p>
    <w:p>
      <w:pPr>
        <w:spacing w:after="0" w:line="44" w:lineRule="exact"/>
        <w:rPr>
          <w:sz w:val="20"/>
          <w:szCs w:val="20"/>
          <w:color w:val="auto"/>
        </w:rPr>
      </w:pPr>
    </w:p>
    <w:p>
      <w:pPr>
        <w:ind w:left="620"/>
        <w:spacing w:after="0"/>
        <w:rPr>
          <w:sz w:val="20"/>
          <w:szCs w:val="20"/>
          <w:color w:val="auto"/>
        </w:rPr>
      </w:pPr>
      <w:r>
        <w:rPr>
          <w:rFonts w:ascii="Arial" w:cs="Arial" w:eastAsia="Arial" w:hAnsi="Arial"/>
          <w:sz w:val="22"/>
          <w:szCs w:val="22"/>
          <w:color w:val="auto"/>
        </w:rPr>
        <w:t>Name: Nancy L. Tomassone</w:t>
      </w:r>
    </w:p>
    <w:p>
      <w:pPr>
        <w:spacing w:after="0" w:line="44" w:lineRule="exact"/>
        <w:rPr>
          <w:sz w:val="20"/>
          <w:szCs w:val="20"/>
          <w:color w:val="auto"/>
        </w:rPr>
      </w:pPr>
    </w:p>
    <w:p>
      <w:pPr>
        <w:ind w:left="620"/>
        <w:spacing w:after="0"/>
        <w:rPr>
          <w:sz w:val="20"/>
          <w:szCs w:val="20"/>
          <w:color w:val="auto"/>
        </w:rPr>
      </w:pPr>
      <w:r>
        <w:rPr>
          <w:rFonts w:ascii="Arial" w:cs="Arial" w:eastAsia="Arial" w:hAnsi="Arial"/>
          <w:sz w:val="22"/>
          <w:szCs w:val="22"/>
          <w:color w:val="auto"/>
        </w:rPr>
        <w:t>Title: Global Assurance Officer</w:t>
      </w:r>
    </w:p>
    <w:p>
      <w:pPr>
        <w:sectPr>
          <w:pgSz w:w="11900" w:h="16838" w:orient="portrait"/>
          <w:cols w:equalWidth="0" w:num="1">
            <w:col w:w="9019"/>
          </w:cols>
          <w:pgMar w:left="1440" w:top="409" w:right="1440" w:bottom="1440" w:gutter="0" w:footer="0" w:header="0"/>
        </w:sectPr>
      </w:pPr>
    </w:p>
    <w:bookmarkStart w:id="5" w:name="page6"/>
    <w:bookmarkEnd w:id="5"/>
    <w:p>
      <w:pPr>
        <w:spacing w:after="0" w:line="32"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u w:val="single" w:color="auto"/>
          <w:color w:val="auto"/>
        </w:rPr>
        <w:t>JOINT FILING AGREEMENT</w:t>
      </w:r>
    </w:p>
    <w:p>
      <w:pPr>
        <w:spacing w:after="0" w:line="240"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In accordance with Rule 13d-1(k) (l) under the Securities Exchange Act of 1934, as amended, the undersigned hereby agree to the joint filing of the attached Schedule 13G, and any and all amendments thereto, and expressly authorize Invesco Ltd., as the ultimate parent company of each of its undersigned subsidiaries, to file such Schedule 13G, and any and all amendments thereto, on behalf of each of them.</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Dated: 02/10/2020</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Invesco Ltd.</w:t>
      </w:r>
    </w:p>
    <w:p>
      <w:pPr>
        <w:spacing w:after="0" w:line="238" w:lineRule="auto"/>
        <w:rPr>
          <w:sz w:val="20"/>
          <w:szCs w:val="20"/>
          <w:color w:val="auto"/>
        </w:rPr>
      </w:pPr>
      <w:r>
        <w:rPr>
          <w:rFonts w:ascii="Arial" w:cs="Arial" w:eastAsia="Arial" w:hAnsi="Arial"/>
          <w:sz w:val="22"/>
          <w:szCs w:val="22"/>
          <w:color w:val="auto"/>
        </w:rPr>
        <w:t xml:space="preserve">By: /s/ </w:t>
      </w:r>
      <w:r>
        <w:rPr>
          <w:rFonts w:ascii="Arial" w:cs="Arial" w:eastAsia="Arial" w:hAnsi="Arial"/>
          <w:sz w:val="22"/>
          <w:szCs w:val="22"/>
          <w:u w:val="single" w:color="auto"/>
          <w:color w:val="auto"/>
        </w:rPr>
        <w:t>Nancy Tomassone</w:t>
      </w:r>
    </w:p>
    <w:p>
      <w:pPr>
        <w:spacing w:after="0" w:line="230" w:lineRule="auto"/>
        <w:rPr>
          <w:sz w:val="20"/>
          <w:szCs w:val="20"/>
          <w:color w:val="auto"/>
        </w:rPr>
      </w:pPr>
      <w:r>
        <w:rPr>
          <w:rFonts w:ascii="Arial" w:cs="Arial" w:eastAsia="Arial" w:hAnsi="Arial"/>
          <w:sz w:val="22"/>
          <w:szCs w:val="22"/>
          <w:color w:val="auto"/>
        </w:rPr>
        <w:t>Name: Nancy Tomassone</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Global Assurance Officer</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Invesco Advisers, Inc.</w:t>
      </w:r>
    </w:p>
    <w:p>
      <w:pPr>
        <w:spacing w:after="0" w:line="238" w:lineRule="auto"/>
        <w:rPr>
          <w:sz w:val="20"/>
          <w:szCs w:val="20"/>
          <w:color w:val="auto"/>
        </w:rPr>
      </w:pPr>
      <w:r>
        <w:rPr>
          <w:rFonts w:ascii="Arial" w:cs="Arial" w:eastAsia="Arial" w:hAnsi="Arial"/>
          <w:sz w:val="22"/>
          <w:szCs w:val="22"/>
          <w:color w:val="auto"/>
        </w:rPr>
        <w:t xml:space="preserve">By: /s/ </w:t>
      </w:r>
      <w:r>
        <w:rPr>
          <w:rFonts w:ascii="Arial" w:cs="Arial" w:eastAsia="Arial" w:hAnsi="Arial"/>
          <w:sz w:val="22"/>
          <w:szCs w:val="22"/>
          <w:u w:val="single" w:color="auto"/>
          <w:color w:val="auto"/>
        </w:rPr>
        <w:t>Robert R. Leveille</w:t>
      </w:r>
    </w:p>
    <w:p>
      <w:pPr>
        <w:spacing w:after="0" w:line="230" w:lineRule="auto"/>
        <w:rPr>
          <w:sz w:val="20"/>
          <w:szCs w:val="20"/>
          <w:color w:val="auto"/>
        </w:rPr>
      </w:pPr>
      <w:r>
        <w:rPr>
          <w:rFonts w:ascii="Arial" w:cs="Arial" w:eastAsia="Arial" w:hAnsi="Arial"/>
          <w:sz w:val="22"/>
          <w:szCs w:val="22"/>
          <w:color w:val="auto"/>
        </w:rPr>
        <w:t>Name: Robert R. Leveille</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Chief Compliance Officer</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Invesco Canada Ltd.</w:t>
      </w:r>
    </w:p>
    <w:p>
      <w:pPr>
        <w:spacing w:after="0" w:line="238" w:lineRule="auto"/>
        <w:rPr>
          <w:sz w:val="20"/>
          <w:szCs w:val="20"/>
          <w:color w:val="auto"/>
        </w:rPr>
      </w:pPr>
      <w:r>
        <w:rPr>
          <w:rFonts w:ascii="Arial" w:cs="Arial" w:eastAsia="Arial" w:hAnsi="Arial"/>
          <w:sz w:val="22"/>
          <w:szCs w:val="22"/>
          <w:color w:val="auto"/>
        </w:rPr>
        <w:t xml:space="preserve">By: /s/ </w:t>
      </w:r>
      <w:r>
        <w:rPr>
          <w:rFonts w:ascii="Arial" w:cs="Arial" w:eastAsia="Arial" w:hAnsi="Arial"/>
          <w:sz w:val="22"/>
          <w:szCs w:val="22"/>
          <w:u w:val="single" w:color="auto"/>
          <w:color w:val="auto"/>
        </w:rPr>
        <w:t>Kate Archibald</w:t>
      </w:r>
    </w:p>
    <w:p>
      <w:pPr>
        <w:spacing w:after="0" w:line="230" w:lineRule="auto"/>
        <w:rPr>
          <w:sz w:val="20"/>
          <w:szCs w:val="20"/>
          <w:color w:val="auto"/>
        </w:rPr>
      </w:pPr>
      <w:r>
        <w:rPr>
          <w:rFonts w:ascii="Arial" w:cs="Arial" w:eastAsia="Arial" w:hAnsi="Arial"/>
          <w:sz w:val="22"/>
          <w:szCs w:val="22"/>
          <w:color w:val="auto"/>
        </w:rPr>
        <w:t>Name: Kate Archibald</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SVP, Head of Compliance, and Chief Compliance Officer</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Invesco Trust Company</w:t>
      </w:r>
    </w:p>
    <w:p>
      <w:pPr>
        <w:spacing w:after="0" w:line="238" w:lineRule="auto"/>
        <w:rPr>
          <w:sz w:val="20"/>
          <w:szCs w:val="20"/>
          <w:color w:val="auto"/>
        </w:rPr>
      </w:pPr>
      <w:r>
        <w:rPr>
          <w:rFonts w:ascii="Arial" w:cs="Arial" w:eastAsia="Arial" w:hAnsi="Arial"/>
          <w:sz w:val="22"/>
          <w:szCs w:val="22"/>
          <w:color w:val="auto"/>
        </w:rPr>
        <w:t xml:space="preserve">By: /s/ </w:t>
      </w:r>
      <w:r>
        <w:rPr>
          <w:rFonts w:ascii="Arial" w:cs="Arial" w:eastAsia="Arial" w:hAnsi="Arial"/>
          <w:sz w:val="22"/>
          <w:szCs w:val="22"/>
          <w:u w:val="single" w:color="auto"/>
          <w:color w:val="auto"/>
        </w:rPr>
        <w:t>Odeh Stevens</w:t>
      </w:r>
    </w:p>
    <w:p>
      <w:pPr>
        <w:spacing w:after="0" w:line="230" w:lineRule="auto"/>
        <w:rPr>
          <w:sz w:val="20"/>
          <w:szCs w:val="20"/>
          <w:color w:val="auto"/>
        </w:rPr>
      </w:pPr>
      <w:r>
        <w:rPr>
          <w:rFonts w:ascii="Arial" w:cs="Arial" w:eastAsia="Arial" w:hAnsi="Arial"/>
          <w:sz w:val="22"/>
          <w:szCs w:val="22"/>
          <w:color w:val="auto"/>
        </w:rPr>
        <w:t>Name: Odeh Stevens</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Authorized Signatory</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Invesco Hong Kong Limited</w:t>
      </w:r>
    </w:p>
    <w:p>
      <w:pPr>
        <w:spacing w:after="0" w:line="238" w:lineRule="auto"/>
        <w:rPr>
          <w:sz w:val="20"/>
          <w:szCs w:val="20"/>
          <w:color w:val="auto"/>
        </w:rPr>
      </w:pPr>
      <w:r>
        <w:rPr>
          <w:rFonts w:ascii="Arial" w:cs="Arial" w:eastAsia="Arial" w:hAnsi="Arial"/>
          <w:sz w:val="22"/>
          <w:szCs w:val="22"/>
          <w:color w:val="auto"/>
        </w:rPr>
        <w:t xml:space="preserve">By: /s/ </w:t>
      </w:r>
      <w:r>
        <w:rPr>
          <w:rFonts w:ascii="Arial" w:cs="Arial" w:eastAsia="Arial" w:hAnsi="Arial"/>
          <w:sz w:val="22"/>
          <w:szCs w:val="22"/>
          <w:u w:val="single" w:color="auto"/>
          <w:color w:val="auto"/>
        </w:rPr>
        <w:t>Lee Siu Mei</w:t>
      </w:r>
    </w:p>
    <w:p>
      <w:pPr>
        <w:spacing w:after="0" w:line="230" w:lineRule="auto"/>
        <w:rPr>
          <w:sz w:val="20"/>
          <w:szCs w:val="20"/>
          <w:color w:val="auto"/>
        </w:rPr>
      </w:pPr>
      <w:r>
        <w:rPr>
          <w:rFonts w:ascii="Arial" w:cs="Arial" w:eastAsia="Arial" w:hAnsi="Arial"/>
          <w:sz w:val="22"/>
          <w:szCs w:val="22"/>
          <w:color w:val="auto"/>
        </w:rPr>
        <w:t>Name: Lee Siu Mei</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Authorized Signatory</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Invesco Hong Kong Limited</w:t>
      </w:r>
    </w:p>
    <w:p>
      <w:pPr>
        <w:spacing w:after="0" w:line="238" w:lineRule="auto"/>
        <w:rPr>
          <w:sz w:val="20"/>
          <w:szCs w:val="20"/>
          <w:color w:val="auto"/>
        </w:rPr>
      </w:pPr>
      <w:r>
        <w:rPr>
          <w:rFonts w:ascii="Arial" w:cs="Arial" w:eastAsia="Arial" w:hAnsi="Arial"/>
          <w:sz w:val="22"/>
          <w:szCs w:val="22"/>
          <w:color w:val="auto"/>
        </w:rPr>
        <w:t xml:space="preserve">By: /s/ </w:t>
      </w:r>
      <w:r>
        <w:rPr>
          <w:rFonts w:ascii="Arial" w:cs="Arial" w:eastAsia="Arial" w:hAnsi="Arial"/>
          <w:sz w:val="22"/>
          <w:szCs w:val="22"/>
          <w:u w:val="single" w:color="auto"/>
          <w:color w:val="auto"/>
        </w:rPr>
        <w:t>Pang Sin Chu</w:t>
      </w:r>
    </w:p>
    <w:p>
      <w:pPr>
        <w:spacing w:after="0" w:line="230" w:lineRule="auto"/>
        <w:rPr>
          <w:sz w:val="20"/>
          <w:szCs w:val="20"/>
          <w:color w:val="auto"/>
        </w:rPr>
      </w:pPr>
      <w:r>
        <w:rPr>
          <w:rFonts w:ascii="Arial" w:cs="Arial" w:eastAsia="Arial" w:hAnsi="Arial"/>
          <w:sz w:val="22"/>
          <w:szCs w:val="22"/>
          <w:color w:val="auto"/>
        </w:rPr>
        <w:t>Name: Pang Sin Chu</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Authorized Signatory</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Invesco Asset Management Deutschland GmbH</w:t>
      </w:r>
    </w:p>
    <w:p>
      <w:pPr>
        <w:spacing w:after="0" w:line="238" w:lineRule="auto"/>
        <w:rPr>
          <w:sz w:val="20"/>
          <w:szCs w:val="20"/>
          <w:color w:val="auto"/>
        </w:rPr>
      </w:pPr>
      <w:r>
        <w:rPr>
          <w:rFonts w:ascii="Arial" w:cs="Arial" w:eastAsia="Arial" w:hAnsi="Arial"/>
          <w:sz w:val="22"/>
          <w:szCs w:val="22"/>
          <w:color w:val="auto"/>
        </w:rPr>
        <w:t xml:space="preserve">By: /s/ </w:t>
      </w:r>
      <w:r>
        <w:rPr>
          <w:rFonts w:ascii="Arial" w:cs="Arial" w:eastAsia="Arial" w:hAnsi="Arial"/>
          <w:sz w:val="22"/>
          <w:szCs w:val="22"/>
          <w:u w:val="single" w:color="auto"/>
          <w:color w:val="auto"/>
        </w:rPr>
        <w:t>Stephanie Ehrenfried</w:t>
      </w:r>
    </w:p>
    <w:p>
      <w:pPr>
        <w:spacing w:after="0" w:line="230" w:lineRule="auto"/>
        <w:rPr>
          <w:sz w:val="20"/>
          <w:szCs w:val="20"/>
          <w:color w:val="auto"/>
        </w:rPr>
      </w:pPr>
      <w:r>
        <w:rPr>
          <w:rFonts w:ascii="Arial" w:cs="Arial" w:eastAsia="Arial" w:hAnsi="Arial"/>
          <w:sz w:val="22"/>
          <w:szCs w:val="22"/>
          <w:color w:val="auto"/>
        </w:rPr>
        <w:t>Name: Stephanie Ehrenfried</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Head of Legal Continental Europe &amp; Cross-Border Funds</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Invesco Asset Management Limited</w:t>
      </w:r>
    </w:p>
    <w:p>
      <w:pPr>
        <w:spacing w:after="0" w:line="238" w:lineRule="auto"/>
        <w:rPr>
          <w:sz w:val="20"/>
          <w:szCs w:val="20"/>
          <w:color w:val="auto"/>
        </w:rPr>
      </w:pPr>
      <w:r>
        <w:rPr>
          <w:rFonts w:ascii="Arial" w:cs="Arial" w:eastAsia="Arial" w:hAnsi="Arial"/>
          <w:sz w:val="22"/>
          <w:szCs w:val="22"/>
          <w:color w:val="auto"/>
        </w:rPr>
        <w:t xml:space="preserve">By: /s/ </w:t>
      </w:r>
      <w:r>
        <w:rPr>
          <w:rFonts w:ascii="Arial" w:cs="Arial" w:eastAsia="Arial" w:hAnsi="Arial"/>
          <w:sz w:val="22"/>
          <w:szCs w:val="22"/>
          <w:u w:val="single" w:color="auto"/>
          <w:color w:val="auto"/>
        </w:rPr>
        <w:t>Chris Edge</w:t>
      </w:r>
    </w:p>
    <w:p>
      <w:pPr>
        <w:spacing w:after="0" w:line="230" w:lineRule="auto"/>
        <w:rPr>
          <w:sz w:val="20"/>
          <w:szCs w:val="20"/>
          <w:color w:val="auto"/>
        </w:rPr>
      </w:pPr>
      <w:r>
        <w:rPr>
          <w:rFonts w:ascii="Arial" w:cs="Arial" w:eastAsia="Arial" w:hAnsi="Arial"/>
          <w:sz w:val="22"/>
          <w:szCs w:val="22"/>
          <w:color w:val="auto"/>
        </w:rPr>
        <w:t>Name: Chris Edge</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Director of UK Compliance</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Invesco Asset Management S.A.</w:t>
      </w:r>
    </w:p>
    <w:p>
      <w:pPr>
        <w:spacing w:after="0" w:line="238" w:lineRule="auto"/>
        <w:rPr>
          <w:sz w:val="20"/>
          <w:szCs w:val="20"/>
          <w:color w:val="auto"/>
        </w:rPr>
      </w:pPr>
      <w:r>
        <w:rPr>
          <w:rFonts w:ascii="Arial" w:cs="Arial" w:eastAsia="Arial" w:hAnsi="Arial"/>
          <w:sz w:val="22"/>
          <w:szCs w:val="22"/>
          <w:color w:val="auto"/>
        </w:rPr>
        <w:t xml:space="preserve">By: /s/ </w:t>
      </w:r>
      <w:r>
        <w:rPr>
          <w:rFonts w:ascii="Arial" w:cs="Arial" w:eastAsia="Arial" w:hAnsi="Arial"/>
          <w:sz w:val="22"/>
          <w:szCs w:val="22"/>
          <w:u w:val="single" w:color="auto"/>
          <w:color w:val="auto"/>
        </w:rPr>
        <w:t>Laurent Vitel-Lepinay</w:t>
      </w:r>
    </w:p>
    <w:p>
      <w:pPr>
        <w:spacing w:after="0" w:line="230" w:lineRule="auto"/>
        <w:rPr>
          <w:sz w:val="20"/>
          <w:szCs w:val="20"/>
          <w:color w:val="auto"/>
        </w:rPr>
      </w:pPr>
      <w:r>
        <w:rPr>
          <w:rFonts w:ascii="Arial" w:cs="Arial" w:eastAsia="Arial" w:hAnsi="Arial"/>
          <w:sz w:val="22"/>
          <w:szCs w:val="22"/>
          <w:color w:val="auto"/>
        </w:rPr>
        <w:t>Name: Laurent Vitel-Lepinay</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Deputy CEO</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Invesco Asset Management S.A.</w:t>
      </w:r>
    </w:p>
    <w:p>
      <w:pPr>
        <w:spacing w:after="0" w:line="238" w:lineRule="auto"/>
        <w:rPr>
          <w:sz w:val="20"/>
          <w:szCs w:val="20"/>
          <w:color w:val="auto"/>
        </w:rPr>
      </w:pPr>
      <w:r>
        <w:rPr>
          <w:rFonts w:ascii="Arial" w:cs="Arial" w:eastAsia="Arial" w:hAnsi="Arial"/>
          <w:sz w:val="22"/>
          <w:szCs w:val="22"/>
          <w:color w:val="auto"/>
        </w:rPr>
        <w:t xml:space="preserve">By: /s/ </w:t>
      </w:r>
      <w:r>
        <w:rPr>
          <w:rFonts w:ascii="Arial" w:cs="Arial" w:eastAsia="Arial" w:hAnsi="Arial"/>
          <w:sz w:val="22"/>
          <w:szCs w:val="22"/>
          <w:u w:val="single" w:color="auto"/>
          <w:color w:val="auto"/>
        </w:rPr>
        <w:t>Bernard Aybran</w:t>
      </w:r>
    </w:p>
    <w:p>
      <w:pPr>
        <w:spacing w:after="0" w:line="230" w:lineRule="auto"/>
        <w:rPr>
          <w:sz w:val="20"/>
          <w:szCs w:val="20"/>
          <w:color w:val="auto"/>
        </w:rPr>
      </w:pPr>
      <w:r>
        <w:rPr>
          <w:rFonts w:ascii="Arial" w:cs="Arial" w:eastAsia="Arial" w:hAnsi="Arial"/>
          <w:sz w:val="22"/>
          <w:szCs w:val="22"/>
          <w:color w:val="auto"/>
        </w:rPr>
        <w:t>Name: Bernard Aybran</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Multi-Management CIO</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Invesco Management S.A.</w:t>
      </w:r>
    </w:p>
    <w:p>
      <w:pPr>
        <w:spacing w:after="0" w:line="238" w:lineRule="auto"/>
        <w:rPr>
          <w:sz w:val="20"/>
          <w:szCs w:val="20"/>
          <w:color w:val="auto"/>
        </w:rPr>
      </w:pPr>
      <w:r>
        <w:rPr>
          <w:rFonts w:ascii="Arial" w:cs="Arial" w:eastAsia="Arial" w:hAnsi="Arial"/>
          <w:sz w:val="22"/>
          <w:szCs w:val="22"/>
          <w:color w:val="auto"/>
        </w:rPr>
        <w:t xml:space="preserve">By: /s/ </w:t>
      </w:r>
      <w:r>
        <w:rPr>
          <w:rFonts w:ascii="Arial" w:cs="Arial" w:eastAsia="Arial" w:hAnsi="Arial"/>
          <w:sz w:val="22"/>
          <w:szCs w:val="22"/>
          <w:u w:val="single" w:color="auto"/>
          <w:color w:val="auto"/>
        </w:rPr>
        <w:t>Peter Carroll</w:t>
      </w:r>
    </w:p>
    <w:p>
      <w:pPr>
        <w:spacing w:after="0" w:line="230" w:lineRule="auto"/>
        <w:rPr>
          <w:sz w:val="20"/>
          <w:szCs w:val="20"/>
          <w:color w:val="auto"/>
        </w:rPr>
      </w:pPr>
      <w:r>
        <w:rPr>
          <w:rFonts w:ascii="Arial" w:cs="Arial" w:eastAsia="Arial" w:hAnsi="Arial"/>
          <w:sz w:val="22"/>
          <w:szCs w:val="22"/>
          <w:color w:val="auto"/>
        </w:rPr>
        <w:t>Name: Peter Carroll</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Head EMEA Delegation Oversight</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Invesco Taiwan Limited</w:t>
      </w:r>
    </w:p>
    <w:p>
      <w:pPr>
        <w:spacing w:after="0" w:line="238" w:lineRule="auto"/>
        <w:rPr>
          <w:sz w:val="20"/>
          <w:szCs w:val="20"/>
          <w:color w:val="auto"/>
        </w:rPr>
      </w:pPr>
      <w:r>
        <w:rPr>
          <w:rFonts w:ascii="Arial" w:cs="Arial" w:eastAsia="Arial" w:hAnsi="Arial"/>
          <w:sz w:val="22"/>
          <w:szCs w:val="22"/>
          <w:color w:val="auto"/>
        </w:rPr>
        <w:t xml:space="preserve">By: /s/ </w:t>
      </w:r>
      <w:r>
        <w:rPr>
          <w:rFonts w:ascii="Arial" w:cs="Arial" w:eastAsia="Arial" w:hAnsi="Arial"/>
          <w:sz w:val="22"/>
          <w:szCs w:val="22"/>
          <w:u w:val="single" w:color="auto"/>
          <w:color w:val="auto"/>
        </w:rPr>
        <w:t>Jacky Hsiao</w:t>
      </w:r>
    </w:p>
    <w:p>
      <w:pPr>
        <w:spacing w:after="0" w:line="230" w:lineRule="auto"/>
        <w:rPr>
          <w:sz w:val="20"/>
          <w:szCs w:val="20"/>
          <w:color w:val="auto"/>
        </w:rPr>
      </w:pPr>
      <w:r>
        <w:rPr>
          <w:rFonts w:ascii="Arial" w:cs="Arial" w:eastAsia="Arial" w:hAnsi="Arial"/>
          <w:sz w:val="22"/>
          <w:szCs w:val="22"/>
          <w:color w:val="auto"/>
        </w:rPr>
        <w:t>Name: Jacky Hsiao</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General Manager</w:t>
      </w:r>
    </w:p>
    <w:p>
      <w:pPr>
        <w:sectPr>
          <w:pgSz w:w="11900" w:h="16871" w:orient="portrait"/>
          <w:cols w:equalWidth="0" w:num="1">
            <w:col w:w="10940"/>
          </w:cols>
          <w:pgMar w:left="420" w:top="111" w:right="539" w:bottom="0" w:gutter="0" w:footer="0" w:header="0"/>
        </w:sectPr>
      </w:pPr>
    </w:p>
    <w:bookmarkStart w:id="6" w:name="page7"/>
    <w:bookmarkEnd w:id="6"/>
    <w:p>
      <w:pPr>
        <w:spacing w:after="0"/>
        <w:rPr>
          <w:sz w:val="20"/>
          <w:szCs w:val="20"/>
          <w:color w:val="auto"/>
        </w:rPr>
      </w:pPr>
      <w:r>
        <w:rPr>
          <w:rFonts w:ascii="Arial" w:cs="Arial" w:eastAsia="Arial" w:hAnsi="Arial"/>
          <w:sz w:val="19"/>
          <w:szCs w:val="19"/>
          <w:color w:val="auto"/>
        </w:rPr>
        <w:t>Invesco Asset Management (Japan) Limited</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/s/ </w:t>
      </w:r>
      <w:r>
        <w:rPr>
          <w:rFonts w:ascii="Arial" w:cs="Arial" w:eastAsia="Arial" w:hAnsi="Arial"/>
          <w:sz w:val="22"/>
          <w:szCs w:val="22"/>
          <w:u w:val="single" w:color="auto"/>
          <w:color w:val="auto"/>
        </w:rPr>
        <w:t>Tsuyoshi Mochiyama</w:t>
      </w:r>
    </w:p>
    <w:p>
      <w:pPr>
        <w:spacing w:after="0" w:line="230" w:lineRule="auto"/>
        <w:rPr>
          <w:sz w:val="20"/>
          <w:szCs w:val="20"/>
          <w:color w:val="auto"/>
        </w:rPr>
      </w:pPr>
      <w:r>
        <w:rPr>
          <w:rFonts w:ascii="Arial" w:cs="Arial" w:eastAsia="Arial" w:hAnsi="Arial"/>
          <w:sz w:val="22"/>
          <w:szCs w:val="22"/>
          <w:color w:val="auto"/>
        </w:rPr>
        <w:t>Name: Tsuyoshi Mochiyama</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Head of Compliance</w:t>
      </w:r>
    </w:p>
    <w:p>
      <w:pPr>
        <w:spacing w:after="0" w:line="215" w:lineRule="exact"/>
        <w:rPr>
          <w:sz w:val="20"/>
          <w:szCs w:val="20"/>
          <w:color w:val="auto"/>
        </w:rPr>
      </w:pPr>
    </w:p>
    <w:p>
      <w:pPr>
        <w:spacing w:after="0"/>
        <w:rPr>
          <w:sz w:val="20"/>
          <w:szCs w:val="20"/>
          <w:color w:val="auto"/>
        </w:rPr>
      </w:pPr>
      <w:r>
        <w:rPr>
          <w:rFonts w:ascii="Arial" w:cs="Arial" w:eastAsia="Arial" w:hAnsi="Arial"/>
          <w:sz w:val="19"/>
          <w:szCs w:val="19"/>
          <w:color w:val="auto"/>
        </w:rPr>
        <w:t>Invesco Asset Management Singapore Limited</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/s/ </w:t>
      </w:r>
      <w:r>
        <w:rPr>
          <w:rFonts w:ascii="Arial" w:cs="Arial" w:eastAsia="Arial" w:hAnsi="Arial"/>
          <w:sz w:val="22"/>
          <w:szCs w:val="22"/>
          <w:u w:val="single" w:color="auto"/>
          <w:color w:val="auto"/>
        </w:rPr>
        <w:t>Lee Siu Mei</w:t>
      </w:r>
    </w:p>
    <w:p>
      <w:pPr>
        <w:spacing w:after="0" w:line="230" w:lineRule="auto"/>
        <w:rPr>
          <w:sz w:val="20"/>
          <w:szCs w:val="20"/>
          <w:color w:val="auto"/>
        </w:rPr>
      </w:pPr>
      <w:r>
        <w:rPr>
          <w:rFonts w:ascii="Arial" w:cs="Arial" w:eastAsia="Arial" w:hAnsi="Arial"/>
          <w:sz w:val="22"/>
          <w:szCs w:val="22"/>
          <w:color w:val="auto"/>
        </w:rPr>
        <w:t>Name: Lee Siu Mei</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Authorized Signatory</w:t>
      </w:r>
    </w:p>
    <w:p>
      <w:pPr>
        <w:spacing w:after="0" w:line="215" w:lineRule="exact"/>
        <w:rPr>
          <w:sz w:val="20"/>
          <w:szCs w:val="20"/>
          <w:color w:val="auto"/>
        </w:rPr>
      </w:pPr>
    </w:p>
    <w:p>
      <w:pPr>
        <w:spacing w:after="0"/>
        <w:rPr>
          <w:sz w:val="20"/>
          <w:szCs w:val="20"/>
          <w:color w:val="auto"/>
        </w:rPr>
      </w:pPr>
      <w:r>
        <w:rPr>
          <w:rFonts w:ascii="Arial" w:cs="Arial" w:eastAsia="Arial" w:hAnsi="Arial"/>
          <w:sz w:val="19"/>
          <w:szCs w:val="19"/>
          <w:color w:val="auto"/>
        </w:rPr>
        <w:t>Invesco Asset Management Singapore Limited</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/s/ </w:t>
      </w:r>
      <w:r>
        <w:rPr>
          <w:rFonts w:ascii="Arial" w:cs="Arial" w:eastAsia="Arial" w:hAnsi="Arial"/>
          <w:sz w:val="22"/>
          <w:szCs w:val="22"/>
          <w:u w:val="single" w:color="auto"/>
          <w:color w:val="auto"/>
        </w:rPr>
        <w:t>Pang Sin Chu</w:t>
      </w:r>
    </w:p>
    <w:p>
      <w:pPr>
        <w:spacing w:after="0" w:line="230" w:lineRule="auto"/>
        <w:rPr>
          <w:sz w:val="20"/>
          <w:szCs w:val="20"/>
          <w:color w:val="auto"/>
        </w:rPr>
      </w:pPr>
      <w:r>
        <w:rPr>
          <w:rFonts w:ascii="Arial" w:cs="Arial" w:eastAsia="Arial" w:hAnsi="Arial"/>
          <w:sz w:val="22"/>
          <w:szCs w:val="22"/>
          <w:color w:val="auto"/>
        </w:rPr>
        <w:t>Name: Pang Sin Chu</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Authorized Signatory</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Invesco Capital Management, LLC</w:t>
      </w:r>
    </w:p>
    <w:p>
      <w:pPr>
        <w:spacing w:after="0" w:line="238" w:lineRule="auto"/>
        <w:rPr>
          <w:sz w:val="20"/>
          <w:szCs w:val="20"/>
          <w:color w:val="auto"/>
        </w:rPr>
      </w:pPr>
      <w:r>
        <w:rPr>
          <w:rFonts w:ascii="Arial" w:cs="Arial" w:eastAsia="Arial" w:hAnsi="Arial"/>
          <w:sz w:val="22"/>
          <w:szCs w:val="22"/>
          <w:color w:val="auto"/>
        </w:rPr>
        <w:t xml:space="preserve">By: /s/ </w:t>
      </w:r>
      <w:r>
        <w:rPr>
          <w:rFonts w:ascii="Arial" w:cs="Arial" w:eastAsia="Arial" w:hAnsi="Arial"/>
          <w:sz w:val="22"/>
          <w:szCs w:val="22"/>
          <w:u w:val="single" w:color="auto"/>
          <w:color w:val="auto"/>
        </w:rPr>
        <w:t>Melanie Zimdars</w:t>
      </w:r>
    </w:p>
    <w:p>
      <w:pPr>
        <w:spacing w:after="0" w:line="230" w:lineRule="auto"/>
        <w:rPr>
          <w:sz w:val="20"/>
          <w:szCs w:val="20"/>
          <w:color w:val="auto"/>
        </w:rPr>
      </w:pPr>
      <w:r>
        <w:rPr>
          <w:rFonts w:ascii="Arial" w:cs="Arial" w:eastAsia="Arial" w:hAnsi="Arial"/>
          <w:sz w:val="22"/>
          <w:szCs w:val="22"/>
          <w:color w:val="auto"/>
        </w:rPr>
        <w:t>Name: Melanie Zimdars</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CCO, ICM &amp; ETFs</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Invesco Investment Advisers, LLC</w:t>
      </w:r>
    </w:p>
    <w:p>
      <w:pPr>
        <w:spacing w:after="0" w:line="238" w:lineRule="auto"/>
        <w:rPr>
          <w:sz w:val="20"/>
          <w:szCs w:val="20"/>
          <w:color w:val="auto"/>
        </w:rPr>
      </w:pPr>
      <w:r>
        <w:rPr>
          <w:rFonts w:ascii="Arial" w:cs="Arial" w:eastAsia="Arial" w:hAnsi="Arial"/>
          <w:sz w:val="22"/>
          <w:szCs w:val="22"/>
          <w:color w:val="auto"/>
        </w:rPr>
        <w:t xml:space="preserve">By: /s/ </w:t>
      </w:r>
      <w:r>
        <w:rPr>
          <w:rFonts w:ascii="Arial" w:cs="Arial" w:eastAsia="Arial" w:hAnsi="Arial"/>
          <w:sz w:val="22"/>
          <w:szCs w:val="22"/>
          <w:u w:val="single" w:color="auto"/>
          <w:color w:val="auto"/>
        </w:rPr>
        <w:t>Trisha B Hancock</w:t>
      </w:r>
    </w:p>
    <w:p>
      <w:pPr>
        <w:spacing w:after="0" w:line="230" w:lineRule="auto"/>
        <w:rPr>
          <w:sz w:val="20"/>
          <w:szCs w:val="20"/>
          <w:color w:val="auto"/>
        </w:rPr>
      </w:pPr>
      <w:r>
        <w:rPr>
          <w:rFonts w:ascii="Arial" w:cs="Arial" w:eastAsia="Arial" w:hAnsi="Arial"/>
          <w:sz w:val="22"/>
          <w:szCs w:val="22"/>
          <w:color w:val="auto"/>
        </w:rPr>
        <w:t>Name: Trisha B Hancock</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CCO, Broker-Dealers and UITs</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Invesco Australia Ltd.</w:t>
      </w:r>
    </w:p>
    <w:p>
      <w:pPr>
        <w:spacing w:after="0" w:line="238" w:lineRule="auto"/>
        <w:rPr>
          <w:sz w:val="20"/>
          <w:szCs w:val="20"/>
          <w:color w:val="auto"/>
        </w:rPr>
      </w:pPr>
      <w:r>
        <w:rPr>
          <w:rFonts w:ascii="Arial" w:cs="Arial" w:eastAsia="Arial" w:hAnsi="Arial"/>
          <w:sz w:val="22"/>
          <w:szCs w:val="22"/>
          <w:color w:val="auto"/>
        </w:rPr>
        <w:t xml:space="preserve">By: /s/ </w:t>
      </w:r>
      <w:r>
        <w:rPr>
          <w:rFonts w:ascii="Arial" w:cs="Arial" w:eastAsia="Arial" w:hAnsi="Arial"/>
          <w:sz w:val="22"/>
          <w:szCs w:val="22"/>
          <w:u w:val="single" w:color="auto"/>
          <w:color w:val="auto"/>
        </w:rPr>
        <w:t>Joslyn Telford</w:t>
      </w:r>
    </w:p>
    <w:p>
      <w:pPr>
        <w:spacing w:after="0" w:line="230" w:lineRule="auto"/>
        <w:rPr>
          <w:sz w:val="20"/>
          <w:szCs w:val="20"/>
          <w:color w:val="auto"/>
        </w:rPr>
      </w:pPr>
      <w:r>
        <w:rPr>
          <w:rFonts w:ascii="Arial" w:cs="Arial" w:eastAsia="Arial" w:hAnsi="Arial"/>
          <w:sz w:val="22"/>
          <w:szCs w:val="22"/>
          <w:color w:val="auto"/>
        </w:rPr>
        <w:t>Name: Joslyn Telford</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Senior Compliance Manager</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Invesco Private Capital, Inc.</w:t>
      </w:r>
    </w:p>
    <w:p>
      <w:pPr>
        <w:spacing w:after="0" w:line="238" w:lineRule="auto"/>
        <w:rPr>
          <w:sz w:val="20"/>
          <w:szCs w:val="20"/>
          <w:color w:val="auto"/>
        </w:rPr>
      </w:pPr>
      <w:r>
        <w:rPr>
          <w:rFonts w:ascii="Arial" w:cs="Arial" w:eastAsia="Arial" w:hAnsi="Arial"/>
          <w:sz w:val="22"/>
          <w:szCs w:val="22"/>
          <w:color w:val="auto"/>
        </w:rPr>
        <w:t xml:space="preserve">By: /s/ </w:t>
      </w:r>
      <w:r>
        <w:rPr>
          <w:rFonts w:ascii="Arial" w:cs="Arial" w:eastAsia="Arial" w:hAnsi="Arial"/>
          <w:sz w:val="22"/>
          <w:szCs w:val="22"/>
          <w:u w:val="single" w:color="auto"/>
          <w:color w:val="auto"/>
        </w:rPr>
        <w:t>Josh E Levit</w:t>
      </w:r>
    </w:p>
    <w:p>
      <w:pPr>
        <w:spacing w:after="0" w:line="230" w:lineRule="auto"/>
        <w:rPr>
          <w:sz w:val="20"/>
          <w:szCs w:val="20"/>
          <w:color w:val="auto"/>
        </w:rPr>
      </w:pPr>
      <w:r>
        <w:rPr>
          <w:rFonts w:ascii="Arial" w:cs="Arial" w:eastAsia="Arial" w:hAnsi="Arial"/>
          <w:sz w:val="22"/>
          <w:szCs w:val="22"/>
          <w:color w:val="auto"/>
        </w:rPr>
        <w:t>Name: Josh E Levit</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Chief Compliance Officer</w:t>
      </w:r>
    </w:p>
    <w:sectPr>
      <w:pgSz w:w="11900" w:h="16838" w:orient="portrait"/>
      <w:cols w:equalWidth="0" w:num="1">
        <w:col w:w="10039"/>
      </w:cols>
      <w:pgMar w:left="420" w:top="36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lvl w:ilvl="1">
      <w:lvlJc w:val="left"/>
      <w:lvlText w:val="[%2]"/>
      <w:numFmt w:val="upperLetter"/>
      <w:start w:val="24"/>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Letter"/>
      <w:start w:val="2"/>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2020-04-08T06:23:24Z</dcterms:created>
  <dcterms:modified xsi:type="dcterms:W3CDTF">2020-04-08T06:23:24Z</dcterms:modified>
</cp:coreProperties>
</file>