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92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257175</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762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Report of Foreign Private Issuer</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Pursuant to Rule 13a-16 or 15d-16 under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month of March 2026</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001-14014</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CREDICORP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our subsidiary</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Banco de Credito del Peru: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La Molina 15026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Lima, Peru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66"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-712470</wp:posOffset>
            </wp:positionH>
            <wp:positionV relativeFrom="paragraph">
              <wp:posOffset>207645</wp:posOffset>
            </wp:positionV>
            <wp:extent cx="71469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292100</wp:posOffset>
            </wp:positionV>
            <wp:extent cx="7146925"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925" cy="3048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429895</wp:posOffset>
            </wp:positionV>
            <wp:extent cx="714692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1884680" cy="352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84680" cy="352425"/>
                    </a:xfrm>
                    <a:prstGeom prst="rect">
                      <a:avLst/>
                    </a:prstGeom>
                    <a:noFill/>
                  </pic:spPr>
                </pic:pic>
              </a:graphicData>
            </a:graphic>
          </wp:anchor>
        </w:drawing>
        <w:t>March 2,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 - SEC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 MATERIAL EVENT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Sirs:</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Please find attached a copy of the audited consolidated financial statements of Credicorp Ltd. (“the Company”) and its subsidiaries, together with the audited separate financial statements of Credicorp Ltd., for the fiscal year ended on December 31, 2025, including the report of the external auditors Tanaka, Valdivia y Asociados Sociedad Civil de Responsabilidad Limitada, members of EYG in Peru, approved by the Company’s Board of Directors in its session held on February 26, 2026, and which will be presented to the Annual General Meeting of Shareholders on March 31, 2026.</w:t>
      </w:r>
    </w:p>
    <w:p>
      <w:pPr>
        <w:spacing w:after="0" w:line="16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José Luis Muñoz</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227965</wp:posOffset>
            </wp:positionV>
            <wp:extent cx="714692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4" w:lineRule="exact"/>
        <w:rPr>
          <w:sz w:val="20"/>
          <w:szCs w:val="20"/>
          <w:color w:val="auto"/>
        </w:rPr>
      </w:pPr>
    </w:p>
    <w:p>
      <w:pPr>
        <w:ind w:firstLine="478"/>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Date: March 2, 2026</w:t>
      </w:r>
    </w:p>
    <w:p>
      <w:pPr>
        <w:spacing w:after="0" w:line="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CREDICORP LTD.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(Registrant)</w:t>
      </w:r>
    </w:p>
    <w:p>
      <w:pPr>
        <w:spacing w:after="0" w:line="186"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José Luis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16510</wp:posOffset>
            </wp:positionV>
            <wp:extent cx="238252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2520" cy="15240"/>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José Luis Muñoz</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304800</wp:posOffset>
            </wp:positionV>
            <wp:extent cx="714692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92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925"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123825</wp:posOffset>
            </wp:positionV>
            <wp:extent cx="4573270" cy="704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3270" cy="704850"/>
                    </a:xfrm>
                    <a:prstGeom prst="rect">
                      <a:avLst/>
                    </a:prstGeom>
                    <a:noFill/>
                  </pic:spPr>
                </pic:pic>
              </a:graphicData>
            </a:graphic>
          </wp:anchor>
        </w:drawing>
      </w:r>
    </w:p>
    <w:p>
      <w:pPr>
        <w:spacing w:after="0" w:line="351"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CREDICORP LTD. AND SUBSIDIARIES</w:t>
      </w:r>
    </w:p>
    <w:p>
      <w:pPr>
        <w:spacing w:after="0" w:line="178"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CONSOLIDATED FINANCIAL STATEMENTS</w:t>
      </w:r>
    </w:p>
    <w:p>
      <w:pPr>
        <w:spacing w:after="0" w:line="13"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1377315</wp:posOffset>
            </wp:positionV>
            <wp:extent cx="714692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925" cy="1524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236220</wp:posOffset>
            </wp:positionV>
            <wp:extent cx="735330" cy="750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ectPr>
          <w:pgSz w:w="11900" w:h="16838" w:orient="portrait"/>
          <w:cols w:equalWidth="0" w:num="1">
            <w:col w:w="10140"/>
          </w:cols>
          <w:pgMar w:left="1440" w:top="195" w:right="319" w:bottom="1440" w:gutter="0" w:footer="0" w:header="0"/>
        </w:sectPr>
      </w:pPr>
    </w:p>
    <w:bookmarkStart w:id="4" w:name="page5"/>
    <w:bookmarkEnd w:id="4"/>
    <w:tbl>
      <w:tblPr>
        <w:tblLayout w:type="fixed"/>
        <w:tblInd w:w="3" w:type="dxa"/>
        <w:tblCellMar>
          <w:top w:w="0" w:type="dxa"/>
          <w:left w:w="0" w:type="dxa"/>
          <w:bottom w:w="0" w:type="dxa"/>
          <w:right w:w="0" w:type="dxa"/>
        </w:tblCellMar>
      </w:tblPr>
      <w:tr>
        <w:trPr>
          <w:trHeight w:val="222"/>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2460" w:type="dxa"/>
            <w:vAlign w:val="bottom"/>
          </w:tcPr>
          <w:p>
            <w:pPr>
              <w:spacing w:after="0"/>
              <w:rPr>
                <w:sz w:val="19"/>
                <w:szCs w:val="19"/>
                <w:color w:val="auto"/>
              </w:rPr>
            </w:pPr>
          </w:p>
        </w:tc>
      </w:tr>
      <w:tr>
        <w:trPr>
          <w:trHeight w:val="321"/>
        </w:trPr>
        <w:tc>
          <w:tcPr>
            <w:tcW w:w="5420" w:type="dxa"/>
            <w:vAlign w:val="bottom"/>
            <w:gridSpan w:val="2"/>
          </w:tcPr>
          <w:p>
            <w:pPr>
              <w:spacing w:after="0"/>
              <w:rPr>
                <w:sz w:val="20"/>
                <w:szCs w:val="20"/>
                <w:color w:val="auto"/>
              </w:rPr>
            </w:pPr>
            <w:r>
              <w:rPr>
                <w:rFonts w:ascii="Arial" w:cs="Arial" w:eastAsia="Arial" w:hAnsi="Arial"/>
                <w:sz w:val="16"/>
                <w:szCs w:val="16"/>
                <w:color w:val="auto"/>
              </w:rPr>
              <w:t>CONSOLIDATED FINANCIAL STATEMENTS</w:t>
            </w:r>
          </w:p>
        </w:tc>
        <w:tc>
          <w:tcPr>
            <w:tcW w:w="2460" w:type="dxa"/>
            <w:vAlign w:val="bottom"/>
          </w:tcPr>
          <w:p>
            <w:pPr>
              <w:spacing w:after="0"/>
              <w:rPr>
                <w:sz w:val="24"/>
                <w:szCs w:val="24"/>
                <w:color w:val="auto"/>
              </w:rPr>
            </w:pPr>
          </w:p>
        </w:tc>
      </w:tr>
      <w:tr>
        <w:trPr>
          <w:trHeight w:val="214"/>
        </w:trPr>
        <w:tc>
          <w:tcPr>
            <w:tcW w:w="5420" w:type="dxa"/>
            <w:vAlign w:val="bottom"/>
            <w:gridSpan w:val="2"/>
          </w:tcPr>
          <w:p>
            <w:pPr>
              <w:spacing w:after="0"/>
              <w:rPr>
                <w:sz w:val="20"/>
                <w:szCs w:val="20"/>
                <w:color w:val="auto"/>
              </w:rPr>
            </w:pPr>
            <w:r>
              <w:rPr>
                <w:rFonts w:ascii="Arial" w:cs="Arial" w:eastAsia="Arial" w:hAnsi="Arial"/>
                <w:sz w:val="16"/>
                <w:szCs w:val="16"/>
                <w:color w:val="auto"/>
              </w:rPr>
              <w:t>AS OF DECEMBER 31, 2025, AND 2024</w:t>
            </w:r>
          </w:p>
        </w:tc>
        <w:tc>
          <w:tcPr>
            <w:tcW w:w="2460" w:type="dxa"/>
            <w:vAlign w:val="bottom"/>
          </w:tcPr>
          <w:p>
            <w:pPr>
              <w:spacing w:after="0"/>
              <w:rPr>
                <w:sz w:val="18"/>
                <w:szCs w:val="18"/>
                <w:color w:val="auto"/>
              </w:rPr>
            </w:pPr>
          </w:p>
        </w:tc>
      </w:tr>
      <w:tr>
        <w:trPr>
          <w:trHeight w:val="362"/>
        </w:trPr>
        <w:tc>
          <w:tcPr>
            <w:tcW w:w="1000" w:type="dxa"/>
            <w:vAlign w:val="bottom"/>
          </w:tcPr>
          <w:p>
            <w:pPr>
              <w:spacing w:after="0"/>
              <w:rPr>
                <w:sz w:val="20"/>
                <w:szCs w:val="20"/>
                <w:color w:val="auto"/>
              </w:rPr>
            </w:pPr>
            <w:r>
              <w:rPr>
                <w:rFonts w:ascii="Arial" w:cs="Arial" w:eastAsia="Arial" w:hAnsi="Arial"/>
                <w:sz w:val="16"/>
                <w:szCs w:val="16"/>
                <w:color w:val="auto"/>
              </w:rPr>
              <w:t>CONTENTS</w:t>
            </w:r>
          </w:p>
        </w:tc>
        <w:tc>
          <w:tcPr>
            <w:tcW w:w="44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Pages</w:t>
            </w:r>
          </w:p>
        </w:tc>
      </w:tr>
      <w:tr>
        <w:trPr>
          <w:trHeight w:val="362"/>
        </w:trPr>
        <w:tc>
          <w:tcPr>
            <w:tcW w:w="5420" w:type="dxa"/>
            <w:vAlign w:val="bottom"/>
            <w:gridSpan w:val="2"/>
          </w:tcPr>
          <w:p>
            <w:pPr>
              <w:spacing w:after="0"/>
              <w:rPr>
                <w:sz w:val="20"/>
                <w:szCs w:val="20"/>
                <w:color w:val="auto"/>
              </w:rPr>
            </w:pPr>
            <w:r>
              <w:rPr>
                <w:rFonts w:ascii="Arial" w:cs="Arial" w:eastAsia="Arial" w:hAnsi="Arial"/>
                <w:sz w:val="16"/>
                <w:szCs w:val="16"/>
                <w:color w:val="auto"/>
              </w:rPr>
              <w:t>Independent auditor’s report</w:t>
            </w:r>
          </w:p>
        </w:tc>
        <w:tc>
          <w:tcPr>
            <w:tcW w:w="2460" w:type="dxa"/>
            <w:vAlign w:val="bottom"/>
          </w:tcPr>
          <w:p>
            <w:pPr>
              <w:jc w:val="right"/>
              <w:spacing w:after="0"/>
              <w:rPr>
                <w:sz w:val="20"/>
                <w:szCs w:val="20"/>
                <w:color w:val="auto"/>
              </w:rPr>
            </w:pPr>
            <w:r>
              <w:rPr>
                <w:rFonts w:ascii="Arial" w:cs="Arial" w:eastAsia="Arial" w:hAnsi="Arial"/>
                <w:sz w:val="16"/>
                <w:szCs w:val="16"/>
                <w:color w:val="auto"/>
              </w:rPr>
              <w:t>1 - 8</w:t>
            </w:r>
          </w:p>
        </w:tc>
      </w:tr>
      <w:tr>
        <w:trPr>
          <w:trHeight w:val="362"/>
        </w:trPr>
        <w:tc>
          <w:tcPr>
            <w:tcW w:w="5420" w:type="dxa"/>
            <w:vAlign w:val="bottom"/>
            <w:gridSpan w:val="2"/>
          </w:tcPr>
          <w:p>
            <w:pPr>
              <w:spacing w:after="0"/>
              <w:rPr>
                <w:sz w:val="20"/>
                <w:szCs w:val="20"/>
                <w:color w:val="auto"/>
              </w:rPr>
            </w:pPr>
            <w:r>
              <w:rPr>
                <w:rFonts w:ascii="Arial" w:cs="Arial" w:eastAsia="Arial" w:hAnsi="Arial"/>
                <w:sz w:val="16"/>
                <w:szCs w:val="16"/>
                <w:color w:val="auto"/>
              </w:rPr>
              <w:t>Consolidated statement of financial position</w:t>
            </w:r>
          </w:p>
        </w:tc>
        <w:tc>
          <w:tcPr>
            <w:tcW w:w="24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62"/>
        </w:trPr>
        <w:tc>
          <w:tcPr>
            <w:tcW w:w="5420" w:type="dxa"/>
            <w:vAlign w:val="bottom"/>
            <w:gridSpan w:val="2"/>
          </w:tcPr>
          <w:p>
            <w:pPr>
              <w:spacing w:after="0"/>
              <w:rPr>
                <w:sz w:val="20"/>
                <w:szCs w:val="20"/>
                <w:color w:val="auto"/>
              </w:rPr>
            </w:pPr>
            <w:r>
              <w:rPr>
                <w:rFonts w:ascii="Arial" w:cs="Arial" w:eastAsia="Arial" w:hAnsi="Arial"/>
                <w:sz w:val="16"/>
                <w:szCs w:val="16"/>
                <w:color w:val="auto"/>
              </w:rPr>
              <w:t>Consolidated statement of income</w:t>
            </w:r>
          </w:p>
        </w:tc>
        <w:tc>
          <w:tcPr>
            <w:tcW w:w="2460" w:type="dxa"/>
            <w:vAlign w:val="bottom"/>
          </w:tcPr>
          <w:p>
            <w:pPr>
              <w:jc w:val="right"/>
              <w:spacing w:after="0"/>
              <w:rPr>
                <w:sz w:val="20"/>
                <w:szCs w:val="20"/>
                <w:color w:val="auto"/>
              </w:rPr>
            </w:pPr>
            <w:r>
              <w:rPr>
                <w:rFonts w:ascii="Arial" w:cs="Arial" w:eastAsia="Arial" w:hAnsi="Arial"/>
                <w:sz w:val="16"/>
                <w:szCs w:val="16"/>
                <w:color w:val="auto"/>
              </w:rPr>
              <w:t>10 - 11</w:t>
            </w:r>
          </w:p>
        </w:tc>
      </w:tr>
      <w:tr>
        <w:trPr>
          <w:trHeight w:val="362"/>
        </w:trPr>
        <w:tc>
          <w:tcPr>
            <w:tcW w:w="5420" w:type="dxa"/>
            <w:vAlign w:val="bottom"/>
            <w:gridSpan w:val="2"/>
          </w:tcPr>
          <w:p>
            <w:pPr>
              <w:spacing w:after="0"/>
              <w:rPr>
                <w:sz w:val="20"/>
                <w:szCs w:val="20"/>
                <w:color w:val="auto"/>
              </w:rPr>
            </w:pPr>
            <w:r>
              <w:rPr>
                <w:rFonts w:ascii="Arial" w:cs="Arial" w:eastAsia="Arial" w:hAnsi="Arial"/>
                <w:sz w:val="16"/>
                <w:szCs w:val="16"/>
                <w:color w:val="auto"/>
              </w:rPr>
              <w:t>Consolidated statement of comprehensive income</w:t>
            </w:r>
          </w:p>
        </w:tc>
        <w:tc>
          <w:tcPr>
            <w:tcW w:w="24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62"/>
        </w:trPr>
        <w:tc>
          <w:tcPr>
            <w:tcW w:w="5420" w:type="dxa"/>
            <w:vAlign w:val="bottom"/>
            <w:gridSpan w:val="2"/>
          </w:tcPr>
          <w:p>
            <w:pPr>
              <w:spacing w:after="0"/>
              <w:rPr>
                <w:sz w:val="20"/>
                <w:szCs w:val="20"/>
                <w:color w:val="auto"/>
              </w:rPr>
            </w:pPr>
            <w:r>
              <w:rPr>
                <w:rFonts w:ascii="Arial" w:cs="Arial" w:eastAsia="Arial" w:hAnsi="Arial"/>
                <w:sz w:val="16"/>
                <w:szCs w:val="16"/>
                <w:color w:val="auto"/>
              </w:rPr>
              <w:t>Consolidated statement of changes in equity</w:t>
            </w:r>
          </w:p>
        </w:tc>
        <w:tc>
          <w:tcPr>
            <w:tcW w:w="2460" w:type="dxa"/>
            <w:vAlign w:val="bottom"/>
          </w:tcPr>
          <w:p>
            <w:pPr>
              <w:jc w:val="right"/>
              <w:spacing w:after="0"/>
              <w:rPr>
                <w:sz w:val="20"/>
                <w:szCs w:val="20"/>
                <w:color w:val="auto"/>
              </w:rPr>
            </w:pPr>
            <w:r>
              <w:rPr>
                <w:rFonts w:ascii="Arial" w:cs="Arial" w:eastAsia="Arial" w:hAnsi="Arial"/>
                <w:sz w:val="16"/>
                <w:szCs w:val="16"/>
                <w:color w:val="auto"/>
              </w:rPr>
              <w:t>13 -14</w:t>
            </w:r>
          </w:p>
        </w:tc>
      </w:tr>
      <w:tr>
        <w:trPr>
          <w:trHeight w:val="362"/>
        </w:trPr>
        <w:tc>
          <w:tcPr>
            <w:tcW w:w="5420" w:type="dxa"/>
            <w:vAlign w:val="bottom"/>
            <w:gridSpan w:val="2"/>
          </w:tcPr>
          <w:p>
            <w:pPr>
              <w:spacing w:after="0"/>
              <w:rPr>
                <w:sz w:val="20"/>
                <w:szCs w:val="20"/>
                <w:color w:val="auto"/>
              </w:rPr>
            </w:pPr>
            <w:r>
              <w:rPr>
                <w:rFonts w:ascii="Arial" w:cs="Arial" w:eastAsia="Arial" w:hAnsi="Arial"/>
                <w:sz w:val="16"/>
                <w:szCs w:val="16"/>
                <w:color w:val="auto"/>
              </w:rPr>
              <w:t>Consolidated statement of cash flows</w:t>
            </w:r>
          </w:p>
        </w:tc>
        <w:tc>
          <w:tcPr>
            <w:tcW w:w="2460" w:type="dxa"/>
            <w:vAlign w:val="bottom"/>
          </w:tcPr>
          <w:p>
            <w:pPr>
              <w:jc w:val="right"/>
              <w:spacing w:after="0"/>
              <w:rPr>
                <w:sz w:val="20"/>
                <w:szCs w:val="20"/>
                <w:color w:val="auto"/>
              </w:rPr>
            </w:pPr>
            <w:r>
              <w:rPr>
                <w:rFonts w:ascii="Arial" w:cs="Arial" w:eastAsia="Arial" w:hAnsi="Arial"/>
                <w:sz w:val="16"/>
                <w:szCs w:val="16"/>
                <w:color w:val="auto"/>
              </w:rPr>
              <w:t>15 - 18</w:t>
            </w:r>
          </w:p>
        </w:tc>
      </w:tr>
      <w:tr>
        <w:trPr>
          <w:trHeight w:val="362"/>
        </w:trPr>
        <w:tc>
          <w:tcPr>
            <w:tcW w:w="5420" w:type="dxa"/>
            <w:vAlign w:val="bottom"/>
            <w:gridSpan w:val="2"/>
          </w:tcPr>
          <w:p>
            <w:pPr>
              <w:spacing w:after="0"/>
              <w:rPr>
                <w:sz w:val="20"/>
                <w:szCs w:val="20"/>
                <w:color w:val="auto"/>
              </w:rPr>
            </w:pPr>
            <w:r>
              <w:rPr>
                <w:rFonts w:ascii="Arial" w:cs="Arial" w:eastAsia="Arial" w:hAnsi="Arial"/>
                <w:sz w:val="16"/>
                <w:szCs w:val="16"/>
                <w:color w:val="auto"/>
              </w:rPr>
              <w:t>Notes to the consolidated financial statements</w:t>
            </w:r>
          </w:p>
        </w:tc>
        <w:tc>
          <w:tcPr>
            <w:tcW w:w="2460" w:type="dxa"/>
            <w:vAlign w:val="bottom"/>
          </w:tcPr>
          <w:p>
            <w:pPr>
              <w:jc w:val="right"/>
              <w:spacing w:after="0"/>
              <w:rPr>
                <w:sz w:val="20"/>
                <w:szCs w:val="20"/>
                <w:color w:val="auto"/>
              </w:rPr>
            </w:pPr>
            <w:r>
              <w:rPr>
                <w:rFonts w:ascii="Arial" w:cs="Arial" w:eastAsia="Arial" w:hAnsi="Arial"/>
                <w:sz w:val="16"/>
                <w:szCs w:val="16"/>
                <w:color w:val="auto"/>
              </w:rPr>
              <w:t>19 - 178</w:t>
            </w:r>
          </w:p>
        </w:tc>
      </w:tr>
      <w:tr>
        <w:trPr>
          <w:trHeight w:val="329"/>
        </w:trPr>
        <w:tc>
          <w:tcPr>
            <w:tcW w:w="1000" w:type="dxa"/>
            <w:vAlign w:val="bottom"/>
          </w:tcPr>
          <w:p>
            <w:pPr>
              <w:spacing w:after="0"/>
              <w:rPr>
                <w:sz w:val="20"/>
                <w:szCs w:val="20"/>
                <w:color w:val="auto"/>
              </w:rPr>
            </w:pPr>
            <w:r>
              <w:rPr>
                <w:rFonts w:ascii="Arial" w:cs="Arial" w:eastAsia="Arial" w:hAnsi="Arial"/>
                <w:sz w:val="16"/>
                <w:szCs w:val="16"/>
                <w:color w:val="auto"/>
              </w:rPr>
              <w:t>S/, Sol</w:t>
            </w:r>
          </w:p>
        </w:tc>
        <w:tc>
          <w:tcPr>
            <w:tcW w:w="4420" w:type="dxa"/>
            <w:vAlign w:val="bottom"/>
          </w:tcPr>
          <w:p>
            <w:pPr>
              <w:ind w:left="140"/>
              <w:spacing w:after="0"/>
              <w:rPr>
                <w:sz w:val="20"/>
                <w:szCs w:val="20"/>
                <w:color w:val="auto"/>
              </w:rPr>
            </w:pPr>
            <w:r>
              <w:rPr>
                <w:rFonts w:ascii="Arial" w:cs="Arial" w:eastAsia="Arial" w:hAnsi="Arial"/>
                <w:sz w:val="16"/>
                <w:szCs w:val="16"/>
                <w:color w:val="auto"/>
              </w:rPr>
              <w:t>= Sol</w:t>
            </w:r>
          </w:p>
        </w:tc>
        <w:tc>
          <w:tcPr>
            <w:tcW w:w="2460" w:type="dxa"/>
            <w:vAlign w:val="bottom"/>
          </w:tcPr>
          <w:p>
            <w:pPr>
              <w:spacing w:after="0"/>
              <w:rPr>
                <w:sz w:val="24"/>
                <w:szCs w:val="24"/>
                <w:color w:val="auto"/>
              </w:rPr>
            </w:pPr>
          </w:p>
        </w:tc>
      </w:tr>
      <w:tr>
        <w:trPr>
          <w:trHeight w:val="181"/>
        </w:trPr>
        <w:tc>
          <w:tcPr>
            <w:tcW w:w="1000" w:type="dxa"/>
            <w:vAlign w:val="bottom"/>
          </w:tcPr>
          <w:p>
            <w:pPr>
              <w:spacing w:after="0" w:line="181" w:lineRule="exact"/>
              <w:rPr>
                <w:sz w:val="20"/>
                <w:szCs w:val="20"/>
                <w:color w:val="auto"/>
              </w:rPr>
            </w:pPr>
            <w:r>
              <w:rPr>
                <w:rFonts w:ascii="Arial" w:cs="Arial" w:eastAsia="Arial" w:hAnsi="Arial"/>
                <w:sz w:val="16"/>
                <w:szCs w:val="16"/>
                <w:color w:val="auto"/>
              </w:rPr>
              <w:t>US$</w:t>
            </w:r>
          </w:p>
        </w:tc>
        <w:tc>
          <w:tcPr>
            <w:tcW w:w="4420" w:type="dxa"/>
            <w:vAlign w:val="bottom"/>
          </w:tcPr>
          <w:p>
            <w:pPr>
              <w:ind w:left="140"/>
              <w:spacing w:after="0" w:line="181" w:lineRule="exact"/>
              <w:rPr>
                <w:sz w:val="20"/>
                <w:szCs w:val="20"/>
                <w:color w:val="auto"/>
              </w:rPr>
            </w:pPr>
            <w:r>
              <w:rPr>
                <w:rFonts w:ascii="Arial" w:cs="Arial" w:eastAsia="Arial" w:hAnsi="Arial"/>
                <w:sz w:val="16"/>
                <w:szCs w:val="16"/>
                <w:color w:val="auto"/>
              </w:rPr>
              <w:t>= U.S. Dollar</w:t>
            </w:r>
          </w:p>
        </w:tc>
        <w:tc>
          <w:tcPr>
            <w:tcW w:w="2460" w:type="dxa"/>
            <w:vAlign w:val="bottom"/>
          </w:tcPr>
          <w:p>
            <w:pPr>
              <w:spacing w:after="0"/>
              <w:rPr>
                <w:sz w:val="15"/>
                <w:szCs w:val="15"/>
                <w:color w:val="auto"/>
              </w:rPr>
            </w:pPr>
          </w:p>
        </w:tc>
      </w:tr>
      <w:tr>
        <w:trPr>
          <w:trHeight w:val="197"/>
        </w:trPr>
        <w:tc>
          <w:tcPr>
            <w:tcW w:w="1000" w:type="dxa"/>
            <w:vAlign w:val="bottom"/>
          </w:tcPr>
          <w:p>
            <w:pPr>
              <w:spacing w:after="0"/>
              <w:rPr>
                <w:sz w:val="20"/>
                <w:szCs w:val="20"/>
                <w:color w:val="auto"/>
              </w:rPr>
            </w:pPr>
            <w:r>
              <w:rPr>
                <w:rFonts w:ascii="Arial" w:cs="Arial" w:eastAsia="Arial" w:hAnsi="Arial"/>
                <w:sz w:val="16"/>
                <w:szCs w:val="16"/>
                <w:color w:val="auto"/>
              </w:rPr>
              <w:t>Bs</w:t>
            </w:r>
          </w:p>
        </w:tc>
        <w:tc>
          <w:tcPr>
            <w:tcW w:w="4420" w:type="dxa"/>
            <w:vAlign w:val="bottom"/>
          </w:tcPr>
          <w:p>
            <w:pPr>
              <w:ind w:left="140"/>
              <w:spacing w:after="0"/>
              <w:rPr>
                <w:sz w:val="20"/>
                <w:szCs w:val="20"/>
                <w:color w:val="auto"/>
              </w:rPr>
            </w:pPr>
            <w:r>
              <w:rPr>
                <w:rFonts w:ascii="Arial" w:cs="Arial" w:eastAsia="Arial" w:hAnsi="Arial"/>
                <w:sz w:val="16"/>
                <w:szCs w:val="16"/>
                <w:color w:val="auto"/>
              </w:rPr>
              <w:t>= Boliviano</w:t>
            </w:r>
          </w:p>
        </w:tc>
        <w:tc>
          <w:tcPr>
            <w:tcW w:w="2460" w:type="dxa"/>
            <w:vAlign w:val="bottom"/>
          </w:tcPr>
          <w:p>
            <w:pPr>
              <w:spacing w:after="0"/>
              <w:rPr>
                <w:sz w:val="17"/>
                <w:szCs w:val="17"/>
                <w:color w:val="auto"/>
              </w:rPr>
            </w:pPr>
          </w:p>
        </w:tc>
      </w:tr>
    </w:tbl>
    <w:p>
      <w:pPr>
        <w:ind w:left="1143" w:hanging="1143"/>
        <w:spacing w:after="0" w:line="236" w:lineRule="auto"/>
        <w:tabs>
          <w:tab w:leader="none" w:pos="1143" w:val="left"/>
        </w:tabs>
        <w:numPr>
          <w:ilvl w:val="0"/>
          <w:numId w:val="1"/>
        </w:numPr>
        <w:rPr>
          <w:rFonts w:ascii="Arial" w:cs="Arial" w:eastAsia="Arial" w:hAnsi="Arial"/>
          <w:sz w:val="16"/>
          <w:szCs w:val="16"/>
          <w:color w:val="auto"/>
        </w:rPr>
      </w:pPr>
      <w:r>
        <w:rPr>
          <w:rFonts w:ascii="Arial" w:cs="Arial" w:eastAsia="Arial" w:hAnsi="Arial"/>
          <w:sz w:val="16"/>
          <w:szCs w:val="16"/>
          <w:color w:val="auto"/>
        </w:rPr>
        <w:t>= Colombian Peso</w:t>
      </w:r>
    </w:p>
    <w:p>
      <w:pPr>
        <w:ind w:left="3"/>
        <w:spacing w:after="0"/>
        <w:tabs>
          <w:tab w:leader="none" w:pos="1123" w:val="left"/>
        </w:tabs>
        <w:rPr>
          <w:sz w:val="20"/>
          <w:szCs w:val="20"/>
          <w:color w:val="auto"/>
        </w:rPr>
      </w:pPr>
      <w:r>
        <w:rPr>
          <w:rFonts w:ascii="Arial" w:cs="Arial" w:eastAsia="Arial" w:hAnsi="Arial"/>
          <w:sz w:val="16"/>
          <w:szCs w:val="16"/>
          <w:color w:val="auto"/>
        </w:rPr>
        <w:t>¥, Yen</w:t>
      </w:r>
      <w:r>
        <w:rPr>
          <w:sz w:val="20"/>
          <w:szCs w:val="20"/>
          <w:color w:val="auto"/>
        </w:rPr>
        <w:tab/>
      </w:r>
      <w:r>
        <w:rPr>
          <w:rFonts w:ascii="Arial" w:cs="Arial" w:eastAsia="Arial" w:hAnsi="Arial"/>
          <w:sz w:val="15"/>
          <w:szCs w:val="15"/>
          <w:color w:val="auto"/>
        </w:rPr>
        <w:t>= Japanese 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714692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43"/>
          </w:cols>
          <w:pgMar w:left="317" w:top="316" w:right="1440" w:bottom="1440" w:gutter="0" w:footer="0" w:header="0"/>
        </w:sectPr>
      </w:pPr>
    </w:p>
    <w:bookmarkStart w:id="5" w:name="page6"/>
    <w:bookmarkEnd w:id="5"/>
    <w:p>
      <w:pPr>
        <w:ind w:left="2020"/>
        <w:spacing w:after="0"/>
        <w:rPr>
          <w:sz w:val="20"/>
          <w:szCs w:val="20"/>
          <w:color w:val="auto"/>
        </w:rPr>
      </w:pPr>
      <w:r>
        <w:rPr>
          <w:rFonts w:ascii="Arial" w:cs="Arial" w:eastAsia="Arial" w:hAnsi="Arial"/>
          <w:sz w:val="13"/>
          <w:szCs w:val="13"/>
          <w:b w:val="1"/>
          <w:bCs w:val="1"/>
          <w:color w:val="2D2D38"/>
        </w:rPr>
        <w:drawing>
          <wp:anchor simplePos="0" relativeHeight="251657728" behindDoc="1" locked="0" layoutInCell="0" allowOverlap="1">
            <wp:simplePos x="0" y="0"/>
            <wp:positionH relativeFrom="page">
              <wp:posOffset>231775</wp:posOffset>
            </wp:positionH>
            <wp:positionV relativeFrom="page">
              <wp:posOffset>211455</wp:posOffset>
            </wp:positionV>
            <wp:extent cx="735330" cy="750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t>Tanaka, Valdivia, Arribas &amp; Asociados</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3"/>
          <w:szCs w:val="13"/>
          <w:b w:val="1"/>
          <w:bCs w:val="1"/>
          <w:color w:val="2D2D38"/>
        </w:rPr>
        <w:t>Sociedad Civil de R. 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color w:val="auto"/>
        </w:rPr>
        <w:t>Independent auditor’s report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Directors of Credicorp Ltd.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Report on the audit of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audited the consolidated financial statements of Credicorp Ltd. and its subsidiaries (the Group), which comprise the consolidated statement of financial position as at December 31, 2025, and the consolidated statements of income, comprehensive income, changes in equity and cash flows for the year then ended, and notes to the consolidated financial statements, including material accounting policy information.</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our opinion, the accompanying consolidated financial statements present fairly, in all material respects, the consolidated financial position of the Group as at December 31, 2025, and its consolidated financial performance and its consolidated cash flows for the year then ended in accordance with IFRS Accounting Standards.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conducted our audit in accordance with International Standards on Auditing (ISAs) approved for application in Peru by the Board of Deans of Associations of Public Accountants of Peru. Our responsibilities under those standards are further described in the Auditor's responsibilities for the audit of the consolidated financial statements section of our report. We are independent of the Group in accordance with the International Ethics Standards Board for Accountants’ International Code of Ethics for Professional Accountants (including International Independence Standards) (IESBA Code), as applicable to audits of financial statements of public interest entities, together with the ethical requirements that are relevant to audits of the consolidated financial statements of public interest entities in Peru. We have also fulfilled our other ethical responsibilities in accordance with these requirements and the IESBA Code. We believe that the audit evidence we have obtained is sufficient and appropriate to provide a basis for our opinion.</w:t>
      </w:r>
    </w:p>
    <w:p>
      <w:pPr>
        <w:sectPr>
          <w:pgSz w:w="11900" w:h="16838" w:orient="portrait"/>
          <w:cols w:equalWidth="0" w:num="1">
            <w:col w:w="11240"/>
          </w:cols>
          <w:pgMar w:left="320" w:top="783" w:right="339" w:bottom="1440" w:gutter="0" w:footer="0" w:header="0"/>
        </w:sectPr>
      </w:pP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360" w:type="dxa"/>
            <w:vAlign w:val="bottom"/>
            <w:tcBorders>
              <w:right w:val="single" w:sz="8" w:color="FBE904"/>
            </w:tcBorders>
          </w:tcPr>
          <w:p>
            <w:pPr>
              <w:spacing w:after="0"/>
              <w:rPr>
                <w:sz w:val="20"/>
                <w:szCs w:val="20"/>
                <w:color w:val="auto"/>
              </w:rPr>
            </w:pPr>
            <w:r>
              <w:rPr>
                <w:rFonts w:ascii="Arial" w:cs="Arial" w:eastAsia="Arial" w:hAnsi="Arial"/>
                <w:sz w:val="13"/>
                <w:szCs w:val="13"/>
                <w:color w:val="656565"/>
              </w:rPr>
              <w:t>Lima</w:t>
            </w:r>
          </w:p>
        </w:tc>
        <w:tc>
          <w:tcPr>
            <w:tcW w:w="1480" w:type="dxa"/>
            <w:vAlign w:val="bottom"/>
            <w:tcBorders>
              <w:right w:val="single" w:sz="8" w:color="FBE904"/>
            </w:tcBorders>
          </w:tcPr>
          <w:p>
            <w:pPr>
              <w:ind w:left="100"/>
              <w:spacing w:after="0"/>
              <w:rPr>
                <w:sz w:val="20"/>
                <w:szCs w:val="20"/>
                <w:color w:val="auto"/>
              </w:rPr>
            </w:pPr>
            <w:r>
              <w:rPr>
                <w:rFonts w:ascii="Arial" w:cs="Arial" w:eastAsia="Arial" w:hAnsi="Arial"/>
                <w:sz w:val="13"/>
                <w:szCs w:val="13"/>
                <w:color w:val="656565"/>
              </w:rPr>
              <w:t>Lima II</w:t>
            </w:r>
          </w:p>
        </w:tc>
        <w:tc>
          <w:tcPr>
            <w:tcW w:w="860" w:type="dxa"/>
            <w:vAlign w:val="bottom"/>
          </w:tcPr>
          <w:p>
            <w:pPr>
              <w:ind w:left="100"/>
              <w:spacing w:after="0"/>
              <w:rPr>
                <w:sz w:val="20"/>
                <w:szCs w:val="20"/>
                <w:color w:val="auto"/>
              </w:rPr>
            </w:pPr>
            <w:r>
              <w:rPr>
                <w:rFonts w:ascii="Arial" w:cs="Arial" w:eastAsia="Arial" w:hAnsi="Arial"/>
                <w:sz w:val="13"/>
                <w:szCs w:val="13"/>
                <w:color w:val="656565"/>
              </w:rPr>
              <w:t>Lima III</w:t>
            </w:r>
          </w:p>
        </w:tc>
      </w:tr>
      <w:tr>
        <w:trPr>
          <w:trHeight w:val="168"/>
        </w:trPr>
        <w:tc>
          <w:tcPr>
            <w:tcW w:w="1360" w:type="dxa"/>
            <w:vAlign w:val="bottom"/>
            <w:tcBorders>
              <w:right w:val="single" w:sz="8" w:color="FBE904"/>
            </w:tcBorders>
          </w:tcPr>
          <w:p>
            <w:pPr>
              <w:spacing w:after="0"/>
              <w:rPr>
                <w:sz w:val="20"/>
                <w:szCs w:val="20"/>
                <w:color w:val="auto"/>
              </w:rPr>
            </w:pPr>
            <w:r>
              <w:rPr>
                <w:rFonts w:ascii="Arial" w:cs="Arial" w:eastAsia="Arial" w:hAnsi="Arial"/>
                <w:sz w:val="13"/>
                <w:szCs w:val="13"/>
                <w:color w:val="656565"/>
              </w:rPr>
              <w:t>Av. Víctor Andrés</w:t>
            </w:r>
          </w:p>
        </w:tc>
        <w:tc>
          <w:tcPr>
            <w:tcW w:w="1480" w:type="dxa"/>
            <w:vAlign w:val="bottom"/>
            <w:tcBorders>
              <w:right w:val="single" w:sz="8" w:color="FBE904"/>
            </w:tcBorders>
          </w:tcPr>
          <w:p>
            <w:pPr>
              <w:ind w:left="100"/>
              <w:spacing w:after="0"/>
              <w:rPr>
                <w:sz w:val="20"/>
                <w:szCs w:val="20"/>
                <w:color w:val="auto"/>
              </w:rPr>
            </w:pPr>
            <w:r>
              <w:rPr>
                <w:rFonts w:ascii="Arial" w:cs="Arial" w:eastAsia="Arial" w:hAnsi="Arial"/>
                <w:sz w:val="13"/>
                <w:szCs w:val="13"/>
                <w:color w:val="656565"/>
              </w:rPr>
              <w:t>Av. Jorge</w:t>
            </w:r>
          </w:p>
        </w:tc>
        <w:tc>
          <w:tcPr>
            <w:tcW w:w="860" w:type="dxa"/>
            <w:vAlign w:val="bottom"/>
          </w:tcPr>
          <w:p>
            <w:pPr>
              <w:ind w:left="100"/>
              <w:spacing w:after="0"/>
              <w:rPr>
                <w:sz w:val="20"/>
                <w:szCs w:val="20"/>
                <w:color w:val="auto"/>
              </w:rPr>
            </w:pPr>
            <w:r>
              <w:rPr>
                <w:rFonts w:ascii="Arial" w:cs="Arial" w:eastAsia="Arial" w:hAnsi="Arial"/>
                <w:sz w:val="13"/>
                <w:szCs w:val="13"/>
                <w:color w:val="656565"/>
              </w:rPr>
              <w:t>Av. Jorge</w:t>
            </w:r>
          </w:p>
        </w:tc>
      </w:tr>
      <w:tr>
        <w:trPr>
          <w:trHeight w:val="193"/>
        </w:trPr>
        <w:tc>
          <w:tcPr>
            <w:tcW w:w="1360" w:type="dxa"/>
            <w:vAlign w:val="bottom"/>
            <w:tcBorders>
              <w:right w:val="single" w:sz="8" w:color="FBE904"/>
            </w:tcBorders>
          </w:tcPr>
          <w:p>
            <w:pPr>
              <w:spacing w:after="0"/>
              <w:rPr>
                <w:sz w:val="20"/>
                <w:szCs w:val="20"/>
                <w:color w:val="auto"/>
              </w:rPr>
            </w:pPr>
            <w:r>
              <w:rPr>
                <w:rFonts w:ascii="Arial" w:cs="Arial" w:eastAsia="Arial" w:hAnsi="Arial"/>
                <w:sz w:val="13"/>
                <w:szCs w:val="13"/>
                <w:color w:val="656565"/>
              </w:rPr>
              <w:t>Belaunde 171,</w:t>
            </w:r>
          </w:p>
        </w:tc>
        <w:tc>
          <w:tcPr>
            <w:tcW w:w="1480" w:type="dxa"/>
            <w:vAlign w:val="bottom"/>
            <w:tcBorders>
              <w:right w:val="single" w:sz="8" w:color="FBE904"/>
            </w:tcBorders>
          </w:tcPr>
          <w:p>
            <w:pPr>
              <w:ind w:left="100"/>
              <w:spacing w:after="0"/>
              <w:rPr>
                <w:sz w:val="20"/>
                <w:szCs w:val="20"/>
                <w:color w:val="auto"/>
              </w:rPr>
            </w:pPr>
            <w:r>
              <w:rPr>
                <w:rFonts w:ascii="Arial" w:cs="Arial" w:eastAsia="Arial" w:hAnsi="Arial"/>
                <w:sz w:val="13"/>
                <w:szCs w:val="13"/>
                <w:color w:val="656565"/>
              </w:rPr>
              <w:t>Basadre 330,</w:t>
            </w:r>
          </w:p>
        </w:tc>
        <w:tc>
          <w:tcPr>
            <w:tcW w:w="860" w:type="dxa"/>
            <w:vAlign w:val="bottom"/>
          </w:tcPr>
          <w:p>
            <w:pPr>
              <w:ind w:left="100"/>
              <w:spacing w:after="0"/>
              <w:rPr>
                <w:sz w:val="20"/>
                <w:szCs w:val="20"/>
                <w:color w:val="auto"/>
              </w:rPr>
            </w:pPr>
            <w:r>
              <w:rPr>
                <w:rFonts w:ascii="Arial" w:cs="Arial" w:eastAsia="Arial" w:hAnsi="Arial"/>
                <w:sz w:val="13"/>
                <w:szCs w:val="13"/>
                <w:color w:val="656565"/>
                <w:w w:val="95"/>
              </w:rPr>
              <w:t>Basadre 350,</w:t>
            </w:r>
          </w:p>
        </w:tc>
      </w:tr>
      <w:tr>
        <w:trPr>
          <w:trHeight w:val="181"/>
        </w:trPr>
        <w:tc>
          <w:tcPr>
            <w:tcW w:w="1360" w:type="dxa"/>
            <w:vAlign w:val="bottom"/>
            <w:tcBorders>
              <w:right w:val="single" w:sz="8" w:color="FBE904"/>
            </w:tcBorders>
          </w:tcPr>
          <w:p>
            <w:pPr>
              <w:spacing w:after="0"/>
              <w:rPr>
                <w:sz w:val="20"/>
                <w:szCs w:val="20"/>
                <w:color w:val="auto"/>
              </w:rPr>
            </w:pPr>
            <w:r>
              <w:rPr>
                <w:rFonts w:ascii="Arial" w:cs="Arial" w:eastAsia="Arial" w:hAnsi="Arial"/>
                <w:sz w:val="13"/>
                <w:szCs w:val="13"/>
                <w:color w:val="656565"/>
              </w:rPr>
              <w:t>San Isidro</w:t>
            </w:r>
          </w:p>
        </w:tc>
        <w:tc>
          <w:tcPr>
            <w:tcW w:w="1480" w:type="dxa"/>
            <w:vAlign w:val="bottom"/>
            <w:tcBorders>
              <w:right w:val="single" w:sz="8" w:color="FBE904"/>
            </w:tcBorders>
          </w:tcPr>
          <w:p>
            <w:pPr>
              <w:ind w:left="100"/>
              <w:spacing w:after="0"/>
              <w:rPr>
                <w:sz w:val="20"/>
                <w:szCs w:val="20"/>
                <w:color w:val="auto"/>
              </w:rPr>
            </w:pPr>
            <w:r>
              <w:rPr>
                <w:rFonts w:ascii="Arial" w:cs="Arial" w:eastAsia="Arial" w:hAnsi="Arial"/>
                <w:sz w:val="13"/>
                <w:szCs w:val="13"/>
                <w:color w:val="656565"/>
              </w:rPr>
              <w:t>San Isidro</w:t>
            </w:r>
          </w:p>
        </w:tc>
        <w:tc>
          <w:tcPr>
            <w:tcW w:w="860" w:type="dxa"/>
            <w:vAlign w:val="bottom"/>
          </w:tcPr>
          <w:p>
            <w:pPr>
              <w:ind w:left="100"/>
              <w:spacing w:after="0"/>
              <w:rPr>
                <w:sz w:val="20"/>
                <w:szCs w:val="20"/>
                <w:color w:val="auto"/>
              </w:rPr>
            </w:pPr>
            <w:r>
              <w:rPr>
                <w:rFonts w:ascii="Arial" w:cs="Arial" w:eastAsia="Arial" w:hAnsi="Arial"/>
                <w:sz w:val="13"/>
                <w:szCs w:val="13"/>
                <w:color w:val="656565"/>
              </w:rPr>
              <w:t>San Isidro</w:t>
            </w:r>
          </w:p>
        </w:tc>
      </w:tr>
      <w:tr>
        <w:trPr>
          <w:trHeight w:val="201"/>
        </w:trPr>
        <w:tc>
          <w:tcPr>
            <w:tcW w:w="1360" w:type="dxa"/>
            <w:vAlign w:val="bottom"/>
            <w:tcBorders>
              <w:right w:val="single" w:sz="8" w:color="FBE904"/>
            </w:tcBorders>
          </w:tcPr>
          <w:p>
            <w:pPr>
              <w:spacing w:after="0"/>
              <w:rPr>
                <w:sz w:val="17"/>
                <w:szCs w:val="17"/>
                <w:color w:val="auto"/>
              </w:rPr>
            </w:pPr>
          </w:p>
        </w:tc>
        <w:tc>
          <w:tcPr>
            <w:tcW w:w="1480" w:type="dxa"/>
            <w:vAlign w:val="bottom"/>
            <w:tcBorders>
              <w:right w:val="single" w:sz="8" w:color="FBE904"/>
            </w:tcBorders>
          </w:tcPr>
          <w:p>
            <w:pPr>
              <w:spacing w:after="0"/>
              <w:rPr>
                <w:sz w:val="17"/>
                <w:szCs w:val="17"/>
                <w:color w:val="auto"/>
              </w:rPr>
            </w:pPr>
          </w:p>
        </w:tc>
        <w:tc>
          <w:tcPr>
            <w:tcW w:w="8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15240" cy="191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4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656565"/>
        </w:rPr>
        <w:t>Arequipa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-89535</wp:posOffset>
            </wp:positionV>
            <wp:extent cx="15240" cy="589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40" cy="5899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656565"/>
        </w:rPr>
        <w:t>Edificio City Center,</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656565"/>
        </w:rPr>
        <w:t>piso 13, Torre Sur,</w:t>
      </w:r>
    </w:p>
    <w:p>
      <w:pPr>
        <w:spacing w:after="0"/>
        <w:rPr>
          <w:sz w:val="20"/>
          <w:szCs w:val="20"/>
          <w:color w:val="auto"/>
        </w:rPr>
      </w:pPr>
      <w:r>
        <w:rPr>
          <w:rFonts w:ascii="Arial" w:cs="Arial" w:eastAsia="Arial" w:hAnsi="Arial"/>
          <w:sz w:val="13"/>
          <w:szCs w:val="13"/>
          <w:color w:val="656565"/>
        </w:rPr>
        <w:t>Cerro Colorado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Borders>
              <w:right w:val="single" w:sz="8" w:color="FBE904"/>
            </w:tcBorders>
          </w:tcPr>
          <w:p>
            <w:pPr>
              <w:spacing w:after="0"/>
              <w:rPr>
                <w:sz w:val="20"/>
                <w:szCs w:val="20"/>
                <w:color w:val="auto"/>
              </w:rPr>
            </w:pPr>
            <w:r>
              <w:rPr>
                <w:rFonts w:ascii="Arial" w:cs="Arial" w:eastAsia="Arial" w:hAnsi="Arial"/>
                <w:sz w:val="13"/>
                <w:szCs w:val="13"/>
                <w:color w:val="656565"/>
              </w:rPr>
              <w:t>Trujillo</w:t>
            </w:r>
          </w:p>
        </w:tc>
        <w:tc>
          <w:tcPr>
            <w:tcW w:w="1780" w:type="dxa"/>
            <w:vAlign w:val="bottom"/>
            <w:tcBorders>
              <w:right w:val="single" w:sz="8" w:color="FBE904"/>
            </w:tcBorders>
          </w:tcPr>
          <w:p>
            <w:pPr>
              <w:ind w:left="100"/>
              <w:spacing w:after="0"/>
              <w:rPr>
                <w:sz w:val="20"/>
                <w:szCs w:val="20"/>
                <w:color w:val="auto"/>
              </w:rPr>
            </w:pPr>
            <w:r>
              <w:rPr>
                <w:rFonts w:ascii="Arial" w:cs="Arial" w:eastAsia="Arial" w:hAnsi="Arial"/>
                <w:sz w:val="13"/>
                <w:szCs w:val="13"/>
                <w:color w:val="656565"/>
              </w:rPr>
              <w:t>Chiclayo (satélite)</w:t>
            </w:r>
          </w:p>
        </w:tc>
        <w:tc>
          <w:tcPr>
            <w:tcW w:w="1400" w:type="dxa"/>
            <w:vAlign w:val="bottom"/>
          </w:tcPr>
          <w:p>
            <w:pPr>
              <w:ind w:left="100"/>
              <w:spacing w:after="0"/>
              <w:rPr>
                <w:sz w:val="20"/>
                <w:szCs w:val="20"/>
                <w:color w:val="auto"/>
              </w:rPr>
            </w:pPr>
            <w:r>
              <w:rPr>
                <w:rFonts w:ascii="Arial" w:cs="Arial" w:eastAsia="Arial" w:hAnsi="Arial"/>
                <w:sz w:val="13"/>
                <w:szCs w:val="13"/>
                <w:color w:val="656565"/>
              </w:rPr>
              <w:t>Cusco (satélite)</w:t>
            </w:r>
          </w:p>
        </w:tc>
        <w:tc>
          <w:tcPr>
            <w:tcW w:w="0" w:type="dxa"/>
            <w:vAlign w:val="bottom"/>
          </w:tcPr>
          <w:p>
            <w:pPr>
              <w:spacing w:after="0"/>
              <w:rPr>
                <w:sz w:val="1"/>
                <w:szCs w:val="1"/>
                <w:color w:val="auto"/>
              </w:rPr>
            </w:pPr>
          </w:p>
        </w:tc>
      </w:tr>
      <w:tr>
        <w:trPr>
          <w:trHeight w:val="145"/>
        </w:trPr>
        <w:tc>
          <w:tcPr>
            <w:tcW w:w="1580" w:type="dxa"/>
            <w:vAlign w:val="bottom"/>
            <w:tcBorders>
              <w:right w:val="single" w:sz="8" w:color="FBE904"/>
            </w:tcBorders>
            <w:vMerge w:val="restart"/>
          </w:tcPr>
          <w:p>
            <w:pPr>
              <w:spacing w:after="0"/>
              <w:rPr>
                <w:sz w:val="20"/>
                <w:szCs w:val="20"/>
                <w:color w:val="auto"/>
              </w:rPr>
            </w:pPr>
            <w:r>
              <w:rPr>
                <w:rFonts w:ascii="Arial" w:cs="Arial" w:eastAsia="Arial" w:hAnsi="Arial"/>
                <w:sz w:val="13"/>
                <w:szCs w:val="13"/>
                <w:color w:val="656565"/>
              </w:rPr>
              <w:t>Av. El Golf 591,</w:t>
            </w:r>
          </w:p>
        </w:tc>
        <w:tc>
          <w:tcPr>
            <w:tcW w:w="1780" w:type="dxa"/>
            <w:vAlign w:val="bottom"/>
            <w:tcBorders>
              <w:right w:val="single" w:sz="8" w:color="FBE904"/>
            </w:tcBorders>
          </w:tcPr>
          <w:p>
            <w:pPr>
              <w:ind w:left="100"/>
              <w:spacing w:after="0" w:line="145" w:lineRule="exact"/>
              <w:rPr>
                <w:sz w:val="20"/>
                <w:szCs w:val="20"/>
                <w:color w:val="auto"/>
              </w:rPr>
            </w:pPr>
            <w:r>
              <w:rPr>
                <w:rFonts w:ascii="Arial" w:cs="Arial" w:eastAsia="Arial" w:hAnsi="Arial"/>
                <w:sz w:val="13"/>
                <w:szCs w:val="13"/>
                <w:color w:val="656565"/>
              </w:rPr>
              <w:t>Av. Federico Villareal 115,</w:t>
            </w:r>
          </w:p>
        </w:tc>
        <w:tc>
          <w:tcPr>
            <w:tcW w:w="1400" w:type="dxa"/>
            <w:vAlign w:val="bottom"/>
          </w:tcPr>
          <w:p>
            <w:pPr>
              <w:ind w:left="100"/>
              <w:spacing w:after="0" w:line="145" w:lineRule="exact"/>
              <w:rPr>
                <w:sz w:val="20"/>
                <w:szCs w:val="20"/>
                <w:color w:val="auto"/>
              </w:rPr>
            </w:pPr>
            <w:r>
              <w:rPr>
                <w:rFonts w:ascii="Arial" w:cs="Arial" w:eastAsia="Arial" w:hAnsi="Arial"/>
                <w:sz w:val="13"/>
                <w:szCs w:val="13"/>
                <w:color w:val="656565"/>
                <w:w w:val="96"/>
              </w:rPr>
              <w:t>Jr. Ricardo Palma #18,</w:t>
            </w:r>
          </w:p>
        </w:tc>
        <w:tc>
          <w:tcPr>
            <w:tcW w:w="0" w:type="dxa"/>
            <w:vAlign w:val="bottom"/>
          </w:tcPr>
          <w:p>
            <w:pPr>
              <w:spacing w:after="0"/>
              <w:rPr>
                <w:sz w:val="1"/>
                <w:szCs w:val="1"/>
                <w:color w:val="auto"/>
              </w:rPr>
            </w:pPr>
          </w:p>
        </w:tc>
      </w:tr>
      <w:tr>
        <w:trPr>
          <w:trHeight w:val="72"/>
        </w:trPr>
        <w:tc>
          <w:tcPr>
            <w:tcW w:w="1580" w:type="dxa"/>
            <w:vAlign w:val="bottom"/>
            <w:tcBorders>
              <w:right w:val="single" w:sz="8" w:color="FBE904"/>
            </w:tcBorders>
            <w:vMerge w:val="continue"/>
          </w:tcPr>
          <w:p>
            <w:pPr>
              <w:spacing w:after="0"/>
              <w:rPr>
                <w:sz w:val="6"/>
                <w:szCs w:val="6"/>
                <w:color w:val="auto"/>
              </w:rPr>
            </w:pPr>
          </w:p>
        </w:tc>
        <w:tc>
          <w:tcPr>
            <w:tcW w:w="1780" w:type="dxa"/>
            <w:vAlign w:val="bottom"/>
            <w:tcBorders>
              <w:right w:val="single" w:sz="8" w:color="FBE904"/>
            </w:tcBorders>
            <w:vMerge w:val="restart"/>
          </w:tcPr>
          <w:p>
            <w:pPr>
              <w:ind w:left="100"/>
              <w:spacing w:after="0" w:line="145" w:lineRule="exact"/>
              <w:rPr>
                <w:sz w:val="20"/>
                <w:szCs w:val="20"/>
                <w:color w:val="auto"/>
              </w:rPr>
            </w:pPr>
            <w:r>
              <w:rPr>
                <w:rFonts w:ascii="Arial" w:cs="Arial" w:eastAsia="Arial" w:hAnsi="Arial"/>
                <w:sz w:val="13"/>
                <w:szCs w:val="13"/>
                <w:color w:val="656565"/>
              </w:rPr>
              <w:t>Lambayeque</w:t>
            </w:r>
          </w:p>
        </w:tc>
        <w:tc>
          <w:tcPr>
            <w:tcW w:w="1400" w:type="dxa"/>
            <w:vAlign w:val="bottom"/>
            <w:vMerge w:val="restart"/>
          </w:tcPr>
          <w:p>
            <w:pPr>
              <w:ind w:left="100"/>
              <w:spacing w:after="0" w:line="145" w:lineRule="exact"/>
              <w:rPr>
                <w:sz w:val="20"/>
                <w:szCs w:val="20"/>
                <w:color w:val="auto"/>
              </w:rPr>
            </w:pPr>
            <w:r>
              <w:rPr>
                <w:rFonts w:ascii="Arial" w:cs="Arial" w:eastAsia="Arial" w:hAnsi="Arial"/>
                <w:sz w:val="13"/>
                <w:szCs w:val="13"/>
                <w:color w:val="656565"/>
              </w:rPr>
              <w:t>Urb. Santa Mónica,</w:t>
            </w:r>
          </w:p>
        </w:tc>
        <w:tc>
          <w:tcPr>
            <w:tcW w:w="0" w:type="dxa"/>
            <w:vAlign w:val="bottom"/>
          </w:tcPr>
          <w:p>
            <w:pPr>
              <w:spacing w:after="0"/>
              <w:rPr>
                <w:sz w:val="1"/>
                <w:szCs w:val="1"/>
                <w:color w:val="auto"/>
              </w:rPr>
            </w:pPr>
          </w:p>
        </w:tc>
      </w:tr>
      <w:tr>
        <w:trPr>
          <w:trHeight w:val="73"/>
        </w:trPr>
        <w:tc>
          <w:tcPr>
            <w:tcW w:w="1580" w:type="dxa"/>
            <w:vAlign w:val="bottom"/>
            <w:tcBorders>
              <w:right w:val="single" w:sz="8" w:color="FBE904"/>
            </w:tcBorders>
            <w:vMerge w:val="restart"/>
          </w:tcPr>
          <w:p>
            <w:pPr>
              <w:spacing w:after="0"/>
              <w:rPr>
                <w:sz w:val="20"/>
                <w:szCs w:val="20"/>
                <w:color w:val="auto"/>
              </w:rPr>
            </w:pPr>
            <w:r>
              <w:rPr>
                <w:rFonts w:ascii="Arial" w:cs="Arial" w:eastAsia="Arial" w:hAnsi="Arial"/>
                <w:sz w:val="13"/>
                <w:szCs w:val="13"/>
                <w:color w:val="656565"/>
              </w:rPr>
              <w:t>Víctor Larco Herrera,</w:t>
            </w:r>
          </w:p>
        </w:tc>
        <w:tc>
          <w:tcPr>
            <w:tcW w:w="1780" w:type="dxa"/>
            <w:vAlign w:val="bottom"/>
            <w:tcBorders>
              <w:right w:val="single" w:sz="8" w:color="FBE904"/>
            </w:tcBorders>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tcBorders>
              <w:right w:val="single" w:sz="8" w:color="FBE904"/>
            </w:tcBorders>
            <w:vMerge w:val="continue"/>
          </w:tcPr>
          <w:p>
            <w:pPr>
              <w:spacing w:after="0"/>
              <w:rPr>
                <w:sz w:val="10"/>
                <w:szCs w:val="10"/>
                <w:color w:val="auto"/>
              </w:rPr>
            </w:pPr>
          </w:p>
        </w:tc>
        <w:tc>
          <w:tcPr>
            <w:tcW w:w="1780" w:type="dxa"/>
            <w:vAlign w:val="bottom"/>
            <w:tcBorders>
              <w:right w:val="single" w:sz="8" w:color="FBE904"/>
            </w:tcBorders>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656565"/>
              </w:rPr>
              <w:t>Wanchaq</w:t>
            </w:r>
          </w:p>
        </w:tc>
        <w:tc>
          <w:tcPr>
            <w:tcW w:w="0" w:type="dxa"/>
            <w:vAlign w:val="bottom"/>
          </w:tcPr>
          <w:p>
            <w:pPr>
              <w:spacing w:after="0"/>
              <w:rPr>
                <w:sz w:val="1"/>
                <w:szCs w:val="1"/>
                <w:color w:val="auto"/>
              </w:rPr>
            </w:pPr>
          </w:p>
        </w:tc>
      </w:tr>
      <w:tr>
        <w:trPr>
          <w:trHeight w:val="48"/>
        </w:trPr>
        <w:tc>
          <w:tcPr>
            <w:tcW w:w="1580" w:type="dxa"/>
            <w:vAlign w:val="bottom"/>
            <w:tcBorders>
              <w:right w:val="single" w:sz="8" w:color="FBE904"/>
            </w:tcBorders>
            <w:vMerge w:val="restart"/>
          </w:tcPr>
          <w:p>
            <w:pPr>
              <w:spacing w:after="0"/>
              <w:rPr>
                <w:sz w:val="20"/>
                <w:szCs w:val="20"/>
                <w:color w:val="auto"/>
              </w:rPr>
            </w:pPr>
            <w:r>
              <w:rPr>
                <w:rFonts w:ascii="Arial" w:cs="Arial" w:eastAsia="Arial" w:hAnsi="Arial"/>
                <w:sz w:val="13"/>
                <w:szCs w:val="13"/>
                <w:color w:val="656565"/>
              </w:rPr>
              <w:t>Sede Miguel Ángel</w:t>
            </w:r>
          </w:p>
        </w:tc>
        <w:tc>
          <w:tcPr>
            <w:tcW w:w="1780" w:type="dxa"/>
            <w:vAlign w:val="bottom"/>
            <w:tcBorders>
              <w:right w:val="single" w:sz="8" w:color="FBE904"/>
            </w:tcBorders>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580" w:type="dxa"/>
            <w:vAlign w:val="bottom"/>
            <w:tcBorders>
              <w:right w:val="single" w:sz="8" w:color="FBE904"/>
            </w:tcBorders>
            <w:vMerge w:val="continue"/>
          </w:tcPr>
          <w:p>
            <w:pPr>
              <w:spacing w:after="0"/>
              <w:rPr>
                <w:sz w:val="11"/>
                <w:szCs w:val="11"/>
                <w:color w:val="auto"/>
              </w:rPr>
            </w:pPr>
          </w:p>
        </w:tc>
        <w:tc>
          <w:tcPr>
            <w:tcW w:w="1780" w:type="dxa"/>
            <w:vAlign w:val="bottom"/>
            <w:tcBorders>
              <w:right w:val="single" w:sz="8" w:color="FBE904"/>
            </w:tcBorders>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580" w:type="dxa"/>
            <w:vAlign w:val="bottom"/>
            <w:tcBorders>
              <w:right w:val="single" w:sz="8" w:color="FBE904"/>
            </w:tcBorders>
          </w:tcPr>
          <w:p>
            <w:pPr>
              <w:spacing w:after="0"/>
              <w:rPr>
                <w:sz w:val="20"/>
                <w:szCs w:val="20"/>
                <w:color w:val="auto"/>
              </w:rPr>
            </w:pPr>
            <w:r>
              <w:rPr>
                <w:rFonts w:ascii="Arial" w:cs="Arial" w:eastAsia="Arial" w:hAnsi="Arial"/>
                <w:sz w:val="13"/>
                <w:szCs w:val="13"/>
                <w:color w:val="656565"/>
              </w:rPr>
              <w:t>Quijano Doig, La Libertad</w:t>
            </w:r>
          </w:p>
        </w:tc>
        <w:tc>
          <w:tcPr>
            <w:tcW w:w="1780" w:type="dxa"/>
            <w:vAlign w:val="bottom"/>
            <w:tcBorders>
              <w:right w:val="single" w:sz="8" w:color="FBE904"/>
            </w:tcBorders>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FBE904"/>
            </w:tcBorders>
          </w:tcPr>
          <w:p>
            <w:pPr>
              <w:spacing w:after="0" w:line="20" w:lineRule="exact"/>
              <w:rPr>
                <w:sz w:val="1"/>
                <w:szCs w:val="1"/>
                <w:color w:val="auto"/>
              </w:rPr>
            </w:pPr>
          </w:p>
        </w:tc>
        <w:tc>
          <w:tcPr>
            <w:tcW w:w="1780" w:type="dxa"/>
            <w:vAlign w:val="bottom"/>
            <w:tcBorders>
              <w:right w:val="single" w:sz="8" w:color="FBE904"/>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-589280</wp:posOffset>
            </wp:positionV>
            <wp:extent cx="15240" cy="589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40" cy="58991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3">
            <w:col w:w="3820" w:space="720"/>
            <w:col w:w="1120" w:space="560"/>
            <w:col w:w="5020"/>
          </w:cols>
          <w:pgMar w:left="320" w:top="783" w:right="339" w:bottom="1440" w:gutter="0" w:footer="0" w:header="0"/>
          <w:type w:val="continuous"/>
        </w:sectPr>
      </w:pPr>
    </w:p>
    <w:p>
      <w:pPr>
        <w:ind w:right="5260"/>
        <w:spacing w:after="0" w:line="274" w:lineRule="auto"/>
        <w:rPr>
          <w:sz w:val="20"/>
          <w:szCs w:val="20"/>
          <w:color w:val="auto"/>
        </w:rPr>
      </w:pPr>
      <w:r>
        <w:rPr>
          <w:rFonts w:ascii="Arial" w:cs="Arial" w:eastAsia="Arial" w:hAnsi="Arial"/>
          <w:sz w:val="16"/>
          <w:szCs w:val="16"/>
          <w:color w:val="808080"/>
        </w:rPr>
        <w:t>Inscrita en la partida 11396556 del Registro de Personas Jurídicas de Lima y Callao Miembro de Ernst &amp; Young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448310</wp:posOffset>
            </wp:positionV>
            <wp:extent cx="714692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6" w:name="page7"/>
    <w:bookmarkEnd w:id="6"/>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35330" cy="750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Key audit matters</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Key audit matters are those matters that, in our professional judgment, were of most significance in our audit of the consolidated financial statements of the current period. These matters were addressed in the context of our audit of the consolidated financial statements as a whole, and in forming our opinion thereon, and we do not provide a separate opinion on these matters. For each matter below, our description of how our audit addressed the matter is provided in that context.</w:t>
      </w:r>
    </w:p>
    <w:p>
      <w:pPr>
        <w:spacing w:after="0" w:line="144" w:lineRule="exact"/>
        <w:rPr>
          <w:sz w:val="20"/>
          <w:szCs w:val="20"/>
          <w:color w:val="auto"/>
        </w:rPr>
      </w:pPr>
    </w:p>
    <w:p>
      <w:pPr>
        <w:ind w:right="320"/>
        <w:spacing w:after="0" w:line="248" w:lineRule="auto"/>
        <w:rPr>
          <w:sz w:val="20"/>
          <w:szCs w:val="20"/>
          <w:color w:val="auto"/>
        </w:rPr>
      </w:pPr>
      <w:r>
        <w:rPr>
          <w:rFonts w:ascii="Arial" w:cs="Arial" w:eastAsia="Arial" w:hAnsi="Arial"/>
          <w:sz w:val="16"/>
          <w:szCs w:val="16"/>
          <w:color w:val="auto"/>
        </w:rPr>
        <w:t>We have fulfilled the responsibilities described in the Auditor’s responsibilities for the audit of the consolidated financial statements section of our report, including in relation to these matters. Accordingly, our audit included the performance of procedures designed to respond to our assessment of the risks of material misstatement of the consolidated financial statements. The results of our audit procedures, including the procedures performed to address the matters below, provide the basis for our audit opinion on the accompanying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Key audit matter</w:t>
            </w:r>
          </w:p>
        </w:tc>
        <w:tc>
          <w:tcPr>
            <w:tcW w:w="69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How our audit addressed the key audit matter</w:t>
            </w:r>
          </w:p>
        </w:tc>
      </w:tr>
      <w:tr>
        <w:trPr>
          <w:trHeight w:val="191"/>
        </w:trPr>
        <w:tc>
          <w:tcPr>
            <w:tcW w:w="4340" w:type="dxa"/>
            <w:vAlign w:val="bottom"/>
          </w:tcPr>
          <w:p>
            <w:pPr>
              <w:spacing w:after="0"/>
              <w:rPr>
                <w:sz w:val="20"/>
                <w:szCs w:val="20"/>
                <w:color w:val="auto"/>
              </w:rPr>
            </w:pPr>
            <w:r>
              <w:rPr>
                <w:rFonts w:ascii="Arial" w:cs="Arial" w:eastAsia="Arial" w:hAnsi="Arial"/>
                <w:sz w:val="14"/>
                <w:szCs w:val="14"/>
                <w:b w:val="1"/>
                <w:bCs w:val="1"/>
                <w:color w:val="auto"/>
              </w:rPr>
              <w:t>Information Technology (IT) environment</w:t>
            </w:r>
          </w:p>
        </w:tc>
        <w:tc>
          <w:tcPr>
            <w:tcW w:w="6920" w:type="dxa"/>
            <w:vAlign w:val="bottom"/>
          </w:tcPr>
          <w:p>
            <w:pPr>
              <w:spacing w:after="0"/>
              <w:rPr>
                <w:sz w:val="16"/>
                <w:szCs w:val="16"/>
                <w:color w:val="auto"/>
              </w:rPr>
            </w:pPr>
          </w:p>
        </w:tc>
      </w:tr>
    </w:tbl>
    <w:p>
      <w:pPr>
        <w:spacing w:after="0" w:line="139" w:lineRule="exact"/>
        <w:rPr>
          <w:sz w:val="20"/>
          <w:szCs w:val="20"/>
          <w:color w:val="auto"/>
        </w:rPr>
      </w:pPr>
    </w:p>
    <w:p>
      <w:pPr>
        <w:sectPr>
          <w:pgSz w:w="11900" w:h="16838" w:orient="portrait"/>
          <w:cols w:equalWidth="0" w:num="1">
            <w:col w:w="11260"/>
          </w:cols>
          <w:pgMar w:left="320" w:top="1440" w:right="319" w:bottom="1440" w:gutter="0" w:footer="0" w:header="0"/>
        </w:sectPr>
      </w:pPr>
    </w:p>
    <w:p>
      <w:pPr>
        <w:ind w:right="120"/>
        <w:spacing w:after="0" w:line="259" w:lineRule="auto"/>
        <w:rPr>
          <w:sz w:val="20"/>
          <w:szCs w:val="20"/>
          <w:color w:val="auto"/>
        </w:rPr>
      </w:pPr>
      <w:r>
        <w:rPr>
          <w:rFonts w:ascii="Arial" w:cs="Arial" w:eastAsia="Arial" w:hAnsi="Arial"/>
          <w:sz w:val="14"/>
          <w:szCs w:val="14"/>
          <w:color w:val="auto"/>
        </w:rPr>
        <w:t>The Group's information technology (IT) environment consists of an infrastructure of a large number of key systems for the processing of its operations, accounting records and preparation of its consolidated financial statements. In addition, the Group's Management has designed a series of automatic controls, interfaces between the systems and executed calculations of the applications; with the aim of ensuring the completeness and accuracy of accounting records and accurate financial reports, thus mitigating the potential risk of fraud or error.</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For the above reasons, we consider the information technology environment to be a key matter, given that the Group depends on the efficient and continuous operation of IT applications as well as their automatic controls, so there is a risk that breaches in the IT control environment may result in accounting records being materially misstated.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558165</wp:posOffset>
            </wp:positionV>
            <wp:extent cx="714692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 w:right="80"/>
        <w:spacing w:after="0" w:line="266" w:lineRule="auto"/>
        <w:rPr>
          <w:sz w:val="20"/>
          <w:szCs w:val="20"/>
          <w:color w:val="auto"/>
        </w:rPr>
      </w:pPr>
      <w:r>
        <w:rPr>
          <w:rFonts w:ascii="Arial" w:cs="Arial" w:eastAsia="Arial" w:hAnsi="Arial"/>
          <w:sz w:val="14"/>
          <w:szCs w:val="14"/>
          <w:color w:val="auto"/>
        </w:rPr>
        <w:t>With the support of our Information Technology (IT) professionals, our audit efforts focused on the key systems related to the processing of operations, accounting records and preparation of the Group's consolidated financial statements, for which we perform the following procedures:</w:t>
      </w:r>
    </w:p>
    <w:p>
      <w:pPr>
        <w:spacing w:after="0" w:line="131" w:lineRule="exact"/>
        <w:rPr>
          <w:sz w:val="20"/>
          <w:szCs w:val="20"/>
          <w:color w:val="auto"/>
        </w:rPr>
      </w:pPr>
    </w:p>
    <w:p>
      <w:pPr>
        <w:ind w:left="341" w:hanging="341"/>
        <w:spacing w:after="0"/>
        <w:tabs>
          <w:tab w:leader="none" w:pos="341" w:val="left"/>
        </w:tabs>
        <w:numPr>
          <w:ilvl w:val="0"/>
          <w:numId w:val="2"/>
        </w:numPr>
        <w:rPr>
          <w:rFonts w:ascii="Arial" w:cs="Arial" w:eastAsia="Arial" w:hAnsi="Arial"/>
          <w:sz w:val="14"/>
          <w:szCs w:val="14"/>
          <w:color w:val="auto"/>
        </w:rPr>
      </w:pPr>
      <w:r>
        <w:rPr>
          <w:rFonts w:ascii="Arial" w:cs="Arial" w:eastAsia="Arial" w:hAnsi="Arial"/>
          <w:sz w:val="14"/>
          <w:szCs w:val="14"/>
          <w:color w:val="auto"/>
        </w:rPr>
        <w:t>Evaluation of the Group's IT governance framework.</w:t>
      </w:r>
    </w:p>
    <w:p>
      <w:pPr>
        <w:spacing w:after="0" w:line="21" w:lineRule="exact"/>
        <w:rPr>
          <w:rFonts w:ascii="Arial" w:cs="Arial" w:eastAsia="Arial" w:hAnsi="Arial"/>
          <w:sz w:val="14"/>
          <w:szCs w:val="14"/>
          <w:color w:val="auto"/>
        </w:rPr>
      </w:pPr>
    </w:p>
    <w:p>
      <w:pPr>
        <w:ind w:left="341" w:right="460" w:hanging="341"/>
        <w:spacing w:after="0" w:line="251" w:lineRule="auto"/>
        <w:tabs>
          <w:tab w:leader="none" w:pos="341" w:val="left"/>
        </w:tabs>
        <w:numPr>
          <w:ilvl w:val="0"/>
          <w:numId w:val="2"/>
        </w:numPr>
        <w:rPr>
          <w:rFonts w:ascii="Arial" w:cs="Arial" w:eastAsia="Arial" w:hAnsi="Arial"/>
          <w:sz w:val="14"/>
          <w:szCs w:val="14"/>
          <w:color w:val="auto"/>
        </w:rPr>
      </w:pPr>
      <w:r>
        <w:rPr>
          <w:rFonts w:ascii="Arial" w:cs="Arial" w:eastAsia="Arial" w:hAnsi="Arial"/>
          <w:sz w:val="14"/>
          <w:szCs w:val="14"/>
          <w:color w:val="auto"/>
        </w:rPr>
        <w:t>Understanding of the control environment and identification of risks of IT processes.</w:t>
      </w:r>
    </w:p>
    <w:p>
      <w:pPr>
        <w:spacing w:after="0" w:line="1" w:lineRule="exact"/>
        <w:rPr>
          <w:rFonts w:ascii="Arial" w:cs="Arial" w:eastAsia="Arial" w:hAnsi="Arial"/>
          <w:sz w:val="14"/>
          <w:szCs w:val="14"/>
          <w:color w:val="auto"/>
        </w:rPr>
      </w:pPr>
    </w:p>
    <w:p>
      <w:pPr>
        <w:ind w:left="341" w:right="140" w:hanging="341"/>
        <w:spacing w:after="0" w:line="251" w:lineRule="auto"/>
        <w:tabs>
          <w:tab w:leader="none" w:pos="341" w:val="left"/>
        </w:tabs>
        <w:numPr>
          <w:ilvl w:val="0"/>
          <w:numId w:val="2"/>
        </w:numPr>
        <w:rPr>
          <w:rFonts w:ascii="Arial" w:cs="Arial" w:eastAsia="Arial" w:hAnsi="Arial"/>
          <w:sz w:val="14"/>
          <w:szCs w:val="14"/>
          <w:color w:val="auto"/>
        </w:rPr>
      </w:pPr>
      <w:r>
        <w:rPr>
          <w:rFonts w:ascii="Arial" w:cs="Arial" w:eastAsia="Arial" w:hAnsi="Arial"/>
          <w:sz w:val="14"/>
          <w:szCs w:val="14"/>
          <w:color w:val="auto"/>
        </w:rPr>
        <w:t>Testing key controls over application and data access management, program changes and application development and IT operations.</w:t>
      </w:r>
    </w:p>
    <w:p>
      <w:pPr>
        <w:spacing w:after="0" w:line="1" w:lineRule="exact"/>
        <w:rPr>
          <w:rFonts w:ascii="Arial" w:cs="Arial" w:eastAsia="Arial" w:hAnsi="Arial"/>
          <w:sz w:val="14"/>
          <w:szCs w:val="14"/>
          <w:color w:val="auto"/>
        </w:rPr>
      </w:pPr>
    </w:p>
    <w:p>
      <w:pPr>
        <w:ind w:left="341" w:right="480" w:hanging="341"/>
        <w:spacing w:after="0" w:line="251" w:lineRule="auto"/>
        <w:tabs>
          <w:tab w:leader="none" w:pos="341" w:val="left"/>
        </w:tabs>
        <w:numPr>
          <w:ilvl w:val="0"/>
          <w:numId w:val="2"/>
        </w:numPr>
        <w:rPr>
          <w:rFonts w:ascii="Arial" w:cs="Arial" w:eastAsia="Arial" w:hAnsi="Arial"/>
          <w:sz w:val="14"/>
          <w:szCs w:val="14"/>
          <w:color w:val="auto"/>
        </w:rPr>
      </w:pPr>
      <w:r>
        <w:rPr>
          <w:rFonts w:ascii="Arial" w:cs="Arial" w:eastAsia="Arial" w:hAnsi="Arial"/>
          <w:sz w:val="14"/>
          <w:szCs w:val="14"/>
          <w:color w:val="auto"/>
        </w:rPr>
        <w:t>Testing of the design and operational effectiveness of the key automatic controls identified in the various relevant processes of the Group.</w:t>
      </w:r>
    </w:p>
    <w:p>
      <w:pPr>
        <w:spacing w:after="0" w:line="1" w:lineRule="exact"/>
        <w:rPr>
          <w:rFonts w:ascii="Arial" w:cs="Arial" w:eastAsia="Arial" w:hAnsi="Arial"/>
          <w:sz w:val="14"/>
          <w:szCs w:val="14"/>
          <w:color w:val="auto"/>
        </w:rPr>
      </w:pPr>
    </w:p>
    <w:p>
      <w:pPr>
        <w:ind w:left="341" w:right="20" w:hanging="341"/>
        <w:spacing w:after="0" w:line="275" w:lineRule="auto"/>
        <w:tabs>
          <w:tab w:leader="none" w:pos="341" w:val="left"/>
        </w:tabs>
        <w:numPr>
          <w:ilvl w:val="0"/>
          <w:numId w:val="2"/>
        </w:numPr>
        <w:rPr>
          <w:rFonts w:ascii="Arial" w:cs="Arial" w:eastAsia="Arial" w:hAnsi="Arial"/>
          <w:sz w:val="14"/>
          <w:szCs w:val="14"/>
          <w:color w:val="auto"/>
        </w:rPr>
      </w:pPr>
      <w:r>
        <w:rPr>
          <w:rFonts w:ascii="Arial" w:cs="Arial" w:eastAsia="Arial" w:hAnsi="Arial"/>
          <w:sz w:val="14"/>
          <w:szCs w:val="14"/>
          <w:color w:val="auto"/>
        </w:rPr>
        <w:t>Testing of the design and operational effectiveness of applicable compensation controls.</w:t>
      </w:r>
    </w:p>
    <w:p>
      <w:pPr>
        <w:sectPr>
          <w:pgSz w:w="11900" w:h="16838" w:orient="portrait"/>
          <w:cols w:equalWidth="0" w:num="2">
            <w:col w:w="5620" w:space="239"/>
            <w:col w:w="5401"/>
          </w:cols>
          <w:pgMar w:left="320" w:top="1440" w:right="319" w:bottom="1440" w:gutter="0" w:footer="0" w:header="0"/>
          <w:type w:val="continuous"/>
        </w:sectPr>
      </w:pPr>
    </w:p>
    <w:bookmarkStart w:id="7" w:name="page8"/>
    <w:bookmarkEnd w:id="7"/>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35330" cy="750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Key audit matter</w:t>
            </w:r>
          </w:p>
        </w:tc>
        <w:tc>
          <w:tcPr>
            <w:tcW w:w="696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How our audit addressed the key audit matter</w:t>
            </w:r>
          </w:p>
        </w:tc>
      </w:tr>
      <w:tr>
        <w:trPr>
          <w:trHeight w:val="191"/>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Expected credit loss on the loan portfolio</w:t>
            </w:r>
          </w:p>
        </w:tc>
        <w:tc>
          <w:tcPr>
            <w:tcW w:w="6960" w:type="dxa"/>
            <w:vAlign w:val="bottom"/>
          </w:tcPr>
          <w:p>
            <w:pPr>
              <w:spacing w:after="0"/>
              <w:rPr>
                <w:sz w:val="16"/>
                <w:szCs w:val="16"/>
                <w:color w:val="auto"/>
              </w:rPr>
            </w:pPr>
          </w:p>
        </w:tc>
      </w:tr>
    </w:tbl>
    <w:p>
      <w:pPr>
        <w:spacing w:after="0" w:line="126"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20"/>
        <w:spacing w:after="0" w:line="262" w:lineRule="auto"/>
        <w:rPr>
          <w:sz w:val="20"/>
          <w:szCs w:val="20"/>
          <w:color w:val="auto"/>
        </w:rPr>
      </w:pPr>
      <w:r>
        <w:rPr>
          <w:rFonts w:ascii="Arial" w:cs="Arial" w:eastAsia="Arial" w:hAnsi="Arial"/>
          <w:sz w:val="14"/>
          <w:szCs w:val="14"/>
          <w:color w:val="auto"/>
        </w:rPr>
        <w:t>At December 31, 2025, the allowance for loan losses was S/8,042 million, as disclosed in note 7 to the consolidated financial statements. As more fully disclosed in Note 3(i) and 30.1 to the consolidated financial statements, the allowance for loan losses was calculated using an expected credit loss (ECL) model. The ECL model utilizes the probability of default (PD) as a key assumption.</w:t>
      </w:r>
    </w:p>
    <w:p>
      <w:pPr>
        <w:spacing w:after="0" w:line="135" w:lineRule="exact"/>
        <w:rPr>
          <w:sz w:val="20"/>
          <w:szCs w:val="20"/>
          <w:color w:val="auto"/>
        </w:rPr>
      </w:pPr>
    </w:p>
    <w:p>
      <w:pPr>
        <w:ind w:left="20" w:right="40"/>
        <w:spacing w:after="0" w:line="259" w:lineRule="auto"/>
        <w:rPr>
          <w:sz w:val="20"/>
          <w:szCs w:val="20"/>
          <w:color w:val="auto"/>
        </w:rPr>
      </w:pPr>
      <w:r>
        <w:rPr>
          <w:rFonts w:ascii="Arial" w:cs="Arial" w:eastAsia="Arial" w:hAnsi="Arial"/>
          <w:sz w:val="14"/>
          <w:szCs w:val="14"/>
          <w:color w:val="auto"/>
        </w:rPr>
        <w:t>Auditing the allowance for loan losses was complex and required the application of significant auditor effort in evaluating management’s calculation due to the inherent complexity related to the PD assumption, including the forward-looking forecasts across multiple economic scenarios and their associated probability weighting. The ECL is a significant estimate for which variations in model methodology, assumptions and judgments could have a material effect on the measurement of the allowance for loan losses.</w:t>
      </w:r>
    </w:p>
    <w:p>
      <w:pPr>
        <w:spacing w:after="0" w:line="20" w:lineRule="exact"/>
        <w:rPr>
          <w:sz w:val="20"/>
          <w:szCs w:val="20"/>
          <w:color w:val="auto"/>
        </w:rPr>
      </w:pPr>
      <w:r>
        <w:rPr>
          <w:sz w:val="20"/>
          <w:szCs w:val="20"/>
          <w:color w:val="auto"/>
        </w:rPr>
        <w:br w:type="column"/>
      </w:r>
    </w:p>
    <w:p>
      <w:pPr>
        <w:ind w:right="100"/>
        <w:spacing w:after="0" w:line="260" w:lineRule="auto"/>
        <w:rPr>
          <w:sz w:val="20"/>
          <w:szCs w:val="20"/>
          <w:color w:val="auto"/>
        </w:rPr>
      </w:pPr>
      <w:r>
        <w:rPr>
          <w:rFonts w:ascii="Arial" w:cs="Arial" w:eastAsia="Arial" w:hAnsi="Arial"/>
          <w:sz w:val="14"/>
          <w:szCs w:val="14"/>
          <w:color w:val="auto"/>
        </w:rPr>
        <w:t>We obtained an understanding, evaluated the design, and tested the operating effectiveness of management’s controls over the calculation of the allowance for loan losses. The controls we tested related, among others, to the significant assumptions described above, which included controls over the calculation of the PD, including the data inputs used and the governance and oversight controls over the review of the overall ECL model.</w:t>
      </w:r>
    </w:p>
    <w:p>
      <w:pPr>
        <w:spacing w:after="0" w:line="136"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Our audit procedures, in which we involved professionals with specialized skills and knowledge to assist in evaluating the audit evidence obtained, included, among others, assessing whether the methodology and assumptions used to estimate the ECL were consistent with the requirements of IFRS 9, Financial Instruments. We also performed an independent recalculation of the allowance for loan losses for a sample of loan portfolio, focusing on the PD assumption due to its relevance within the ECL measurement and assessed the reasonableness of certain forward-looking assumptions used in the calculation of the PD by analyzing publicly available information from third-party sources. We also assessed the adequacy of the related disclosures included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457200</wp:posOffset>
            </wp:positionV>
            <wp:extent cx="714692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2">
            <w:col w:w="5500" w:space="220"/>
            <w:col w:w="5540"/>
          </w:cols>
          <w:pgMar w:left="320" w:top="1440" w:right="319" w:bottom="1440" w:gutter="0" w:footer="0" w:header="0"/>
          <w:type w:val="continuous"/>
        </w:sectPr>
      </w:pPr>
    </w:p>
    <w:bookmarkStart w:id="8" w:name="page9"/>
    <w:bookmarkEnd w:id="8"/>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35330" cy="750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w:t>
      </w:r>
    </w:p>
    <w:p>
      <w:pPr>
        <w:spacing w:after="0" w:line="190"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14"/>
          <w:szCs w:val="14"/>
          <w:b w:val="1"/>
          <w:bCs w:val="1"/>
          <w:color w:val="333333"/>
        </w:rPr>
        <w:t>Key audit matter</w:t>
      </w:r>
      <w:r>
        <w:rPr>
          <w:sz w:val="20"/>
          <w:szCs w:val="20"/>
          <w:color w:val="auto"/>
        </w:rPr>
        <w:tab/>
      </w:r>
      <w:r>
        <w:rPr>
          <w:rFonts w:ascii="Arial" w:cs="Arial" w:eastAsia="Arial" w:hAnsi="Arial"/>
          <w:sz w:val="14"/>
          <w:szCs w:val="14"/>
          <w:b w:val="1"/>
          <w:bCs w:val="1"/>
          <w:color w:val="333333"/>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692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Valuation of the liability for life insurance contracts under the general measurement model</w:t>
      </w:r>
    </w:p>
    <w:p>
      <w:pPr>
        <w:sectPr>
          <w:pgSz w:w="11900" w:h="16838" w:orient="portrait"/>
          <w:cols w:equalWidth="0" w:num="1">
            <w:col w:w="11160"/>
          </w:cols>
          <w:pgMar w:left="320" w:top="1440" w:right="419" w:bottom="1440" w:gutter="0" w:footer="0" w:header="0"/>
        </w:sectPr>
      </w:pPr>
    </w:p>
    <w:p>
      <w:pPr>
        <w:spacing w:after="0" w:line="16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333333"/>
        </w:rPr>
        <w:t>At December 31, 2025, the liability for life insurance contracts under the general measurement model was S/10,507 million, as disclosed in note 8 to the consolidated financial statements. Notes 3(e) and 30.9 also provide disclosures in respect of the foregoing. The determination of the liability for life insurance contracts under the general measurement model is calculated as the sum of cash flow projections related to each portfolio of insurance contracts considering their probability of occurrence and includes cash flow projections that are within the limit of each contract in the portfolio. Cash flow projections are computed based on current mortality tables and current discount interest rates as key assumptions.</w:t>
      </w:r>
    </w:p>
    <w:p>
      <w:pPr>
        <w:spacing w:after="0" w:line="137" w:lineRule="exact"/>
        <w:rPr>
          <w:sz w:val="20"/>
          <w:szCs w:val="20"/>
          <w:color w:val="auto"/>
        </w:rPr>
      </w:pPr>
    </w:p>
    <w:p>
      <w:pPr>
        <w:spacing w:after="0" w:line="260" w:lineRule="auto"/>
        <w:rPr>
          <w:sz w:val="20"/>
          <w:szCs w:val="20"/>
          <w:color w:val="auto"/>
        </w:rPr>
      </w:pPr>
      <w:r>
        <w:rPr>
          <w:rFonts w:ascii="Arial" w:cs="Arial" w:eastAsia="Arial" w:hAnsi="Arial"/>
          <w:sz w:val="14"/>
          <w:szCs w:val="14"/>
          <w:color w:val="333333"/>
        </w:rPr>
        <w:t>Auditing the liability for life insurance contracts under the general measurement model was complex and required the application of significant auditor judgment due to the complexity of the actuarial models, the selection and use of judgmental assumptions and the interrelationship of these variables in measuring the liability. Changes in these assumptions, particularly the discount interest rate, could have a material effect on the liability for life insurance contracts under the general measurement model.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333333"/>
        </w:rPr>
        <w:t>We obtained an understanding, evaluated the design, and tested the operating effectiveness of management’s controls, related to the liability for life insurance contracts under the general measurement model. The controls we tested related to, among others, the governance and oversight controls over the review of the actuarial models, the related assumptions and data inputs used.</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4"/>
          <w:szCs w:val="14"/>
          <w:color w:val="333333"/>
        </w:rPr>
        <w:t>Our audit procedures, in which we involved our actuarial specialists to assist in evaluating the audit evidence obtained, included, among others, the evaluation of the methodology, actuarial models and assumptions used by the Group to measure life insurance contract liabilities in accordance with IFRS 17, Insurance Contracts. We also tested the completeness and accuracy of the underlying data used in the measurement of the liability for life insurance contracts. With the support of our actuarial specialists, we performed an independent recalculation of the liability for life insurance contracts under the general measurement model and evaluated the discount interest rate used for a sample of contracts. We also assessed the adequacy of the related disclosures included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564515</wp:posOffset>
            </wp:positionV>
            <wp:extent cx="714692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2">
            <w:col w:w="5500" w:space="220"/>
            <w:col w:w="5440"/>
          </w:cols>
          <w:pgMar w:left="320" w:top="1440" w:right="419" w:bottom="1440" w:gutter="0" w:footer="0" w:header="0"/>
          <w:type w:val="continuous"/>
        </w:sectPr>
      </w:pPr>
    </w:p>
    <w:bookmarkStart w:id="9" w:name="page10"/>
    <w:bookmarkEnd w:id="9"/>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35330" cy="7505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333333"/>
              </w:rPr>
              <w:t>Key audit matter</w:t>
            </w:r>
          </w:p>
        </w:tc>
        <w:tc>
          <w:tcPr>
            <w:tcW w:w="61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333333"/>
              </w:rPr>
              <w:t>How our audit addressed the key audit matter</w:t>
            </w:r>
          </w:p>
        </w:tc>
      </w:tr>
      <w:tr>
        <w:trPr>
          <w:trHeight w:val="191"/>
        </w:trPr>
        <w:tc>
          <w:tcPr>
            <w:tcW w:w="5100" w:type="dxa"/>
            <w:vAlign w:val="bottom"/>
          </w:tcPr>
          <w:p>
            <w:pPr>
              <w:spacing w:after="0"/>
              <w:rPr>
                <w:sz w:val="20"/>
                <w:szCs w:val="20"/>
                <w:color w:val="auto"/>
              </w:rPr>
            </w:pPr>
            <w:r>
              <w:rPr>
                <w:rFonts w:ascii="Arial" w:cs="Arial" w:eastAsia="Arial" w:hAnsi="Arial"/>
                <w:sz w:val="14"/>
                <w:szCs w:val="14"/>
                <w:b w:val="1"/>
                <w:bCs w:val="1"/>
                <w:color w:val="auto"/>
              </w:rPr>
              <w:t>Recognition of an asset related to a dispute with the tax authority</w:t>
            </w:r>
          </w:p>
        </w:tc>
        <w:tc>
          <w:tcPr>
            <w:tcW w:w="6160" w:type="dxa"/>
            <w:vAlign w:val="bottom"/>
          </w:tcPr>
          <w:p>
            <w:pPr>
              <w:spacing w:after="0"/>
              <w:rPr>
                <w:sz w:val="16"/>
                <w:szCs w:val="16"/>
                <w:color w:val="auto"/>
              </w:rPr>
            </w:pPr>
          </w:p>
        </w:tc>
      </w:tr>
    </w:tbl>
    <w:p>
      <w:pPr>
        <w:spacing w:after="0" w:line="126"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20" w:right="20"/>
        <w:spacing w:after="0" w:line="257" w:lineRule="auto"/>
        <w:rPr>
          <w:sz w:val="20"/>
          <w:szCs w:val="20"/>
          <w:color w:val="auto"/>
        </w:rPr>
      </w:pPr>
      <w:r>
        <w:rPr>
          <w:rFonts w:ascii="Arial" w:cs="Arial" w:eastAsia="Arial" w:hAnsi="Arial"/>
          <w:sz w:val="14"/>
          <w:szCs w:val="14"/>
          <w:color w:val="333333"/>
        </w:rPr>
        <w:t>At December 31, 2025, the Group recognized an asset of S/ 1,577 million derived from a payment made in connection with a dispute with the Peruvian tax authority regarding income tax withholding on payments to a non-domiciled entity in 2018 and 2019, as disclosed in notes 12(a) and 31(ii) to the consolidated financial statements. The related dispute gives rise to an uncertain tax position due to the uncertainty regarding the applicability of Peruvian income tax laws to transactions with non-domiciled entities in Peru. The Group used significant judgement to determine, based on the technical merits, whether it was more likely than not that its tax position would prevail when determining the amount recognized.</w:t>
      </w:r>
    </w:p>
    <w:p>
      <w:pPr>
        <w:spacing w:after="0" w:line="137" w:lineRule="exact"/>
        <w:rPr>
          <w:sz w:val="20"/>
          <w:szCs w:val="20"/>
          <w:color w:val="auto"/>
        </w:rPr>
      </w:pPr>
    </w:p>
    <w:p>
      <w:pPr>
        <w:ind w:left="20"/>
        <w:spacing w:after="0" w:line="262" w:lineRule="auto"/>
        <w:rPr>
          <w:sz w:val="20"/>
          <w:szCs w:val="20"/>
          <w:color w:val="auto"/>
        </w:rPr>
      </w:pPr>
      <w:r>
        <w:rPr>
          <w:rFonts w:ascii="Arial" w:cs="Arial" w:eastAsia="Arial" w:hAnsi="Arial"/>
          <w:sz w:val="14"/>
          <w:szCs w:val="14"/>
          <w:color w:val="333333"/>
        </w:rPr>
        <w:t>Auditing the estimation of the outcome and measurement of the uncertain tax position from the payment made to the tax authority and the related recoverability of the asset, before the uncertain tax treatment is resolved, requires a high degree of auditor judgment and significant audit effort due to the complexity and judgment used by the Group in the assessment.</w:t>
      </w:r>
    </w:p>
    <w:p>
      <w:pPr>
        <w:spacing w:after="0" w:line="20" w:lineRule="exact"/>
        <w:rPr>
          <w:sz w:val="20"/>
          <w:szCs w:val="20"/>
          <w:color w:val="auto"/>
        </w:rPr>
      </w:pPr>
      <w:r>
        <w:rPr>
          <w:sz w:val="20"/>
          <w:szCs w:val="20"/>
          <w:color w:val="auto"/>
        </w:rPr>
        <w:br w:type="column"/>
      </w:r>
    </w:p>
    <w:p>
      <w:pPr>
        <w:ind w:right="320"/>
        <w:spacing w:after="0" w:line="266" w:lineRule="auto"/>
        <w:rPr>
          <w:sz w:val="20"/>
          <w:szCs w:val="20"/>
          <w:color w:val="auto"/>
        </w:rPr>
      </w:pPr>
      <w:r>
        <w:rPr>
          <w:rFonts w:ascii="Arial" w:cs="Arial" w:eastAsia="Arial" w:hAnsi="Arial"/>
          <w:sz w:val="14"/>
          <w:szCs w:val="14"/>
          <w:color w:val="333333"/>
        </w:rPr>
        <w:t>We obtained an understanding, evaluated the design, and tested the operating effectiveness of management’s controls over the process for recognizing an asset related to a dispute with the Peruvian tax authority, as well as the process for evaluating the uncertain tax position.</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333333"/>
        </w:rPr>
        <w:t>Our audit procedures included, among others, evaluating the assumptions used by the Group to assess its uncertain tax positions based on relevant Peruvian income tax laws, including the inspection of the Group’s external counsel’s analysis of these matters and evaluated the completeness and accuracy of the data used to determine the amount recognized and tested the accuracy of such calculations. In addition, we involved our tax subject matter professionals to assess the technical merits of the Group’s tax position and evaluate the application of relevant tax law in assessing the recoverability of payment made. We also assessed the adequacy of the related disclosures in the consolidated financial statements.</w:t>
      </w:r>
    </w:p>
    <w:p>
      <w:pPr>
        <w:spacing w:after="0" w:line="315" w:lineRule="exact"/>
        <w:rPr>
          <w:sz w:val="20"/>
          <w:szCs w:val="20"/>
          <w:color w:val="auto"/>
        </w:rPr>
      </w:pPr>
    </w:p>
    <w:p>
      <w:pPr>
        <w:sectPr>
          <w:pgSz w:w="11900" w:h="16838" w:orient="portrait"/>
          <w:cols w:equalWidth="0" w:num="2">
            <w:col w:w="5500" w:space="220"/>
            <w:col w:w="5540"/>
          </w:cols>
          <w:pgMar w:left="320" w:top="1440" w:right="3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Other information included in the Group's 2025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consists of the information included in the Annual Report, other than the consolidated financial statements and our auditor’s report thereon.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Management is responsible for the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Our opinion on the consolidated financial statements does not cover the other information and we do not express any form of assurance conclusion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483870</wp:posOffset>
            </wp:positionV>
            <wp:extent cx="714692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0" w:name="page11"/>
    <w:bookmarkEnd w:id="10"/>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35330" cy="7505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w:t>
      </w:r>
    </w:p>
    <w:p>
      <w:pPr>
        <w:spacing w:after="0" w:line="18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connection with our audit of the consolidated financial statements, our responsibility is to read the other information and, in doing so, consider whether the other information is materially inconsistent with the consolidated financial statements or our knowledge obtained in the audit or otherwise appears to be materially misstated. If, based on the work we have performed, we conclude that there is a material misstatement of this other information, we are required to report that fact. We have nothing to report in this regard.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Responsibilities of management and those charged with Group’s governance for the consolidated financial statements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IFRS Accounting Standards, and for such internal control as management determines is necessary to enable the preparation of consolidated financial statements that are free from material misstatement, whether due to fraud or error.</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preparing the consolidated financial statements, management is responsible for assessing the Group's ability to continue as a going concern, disclosing, as applicable, matters related to going concern and using the going concern basis of accounting unless management either intends to liquidate the Group or to cease operations, or has no realistic alternative but to do so.</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Those charged with Group’s governance are responsible for overseeing the Group's financial reporting process.</w:t>
      </w:r>
    </w:p>
    <w:p>
      <w:pPr>
        <w:spacing w:after="0" w:line="17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ISAs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463550</wp:posOffset>
            </wp:positionV>
            <wp:extent cx="714692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35330" cy="7505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ind w:left="3"/>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w:t>
      </w:r>
    </w:p>
    <w:p>
      <w:pPr>
        <w:spacing w:after="0" w:line="186" w:lineRule="exact"/>
        <w:rPr>
          <w:sz w:val="20"/>
          <w:szCs w:val="20"/>
          <w:color w:val="auto"/>
        </w:rPr>
      </w:pPr>
    </w:p>
    <w:p>
      <w:pPr>
        <w:ind w:left="3" w:right="640"/>
        <w:spacing w:after="0" w:line="274" w:lineRule="auto"/>
        <w:rPr>
          <w:sz w:val="20"/>
          <w:szCs w:val="20"/>
          <w:color w:val="auto"/>
        </w:rPr>
      </w:pPr>
      <w:r>
        <w:rPr>
          <w:rFonts w:ascii="Arial" w:cs="Arial" w:eastAsia="Arial" w:hAnsi="Arial"/>
          <w:sz w:val="16"/>
          <w:szCs w:val="16"/>
          <w:color w:val="auto"/>
        </w:rPr>
        <w:t>As part of an audit in accordance with ISAs approved for application in Peru, we exercise professional judgment and maintain professional skepticism throughout the audit. We also:</w:t>
      </w:r>
    </w:p>
    <w:p>
      <w:pPr>
        <w:spacing w:after="0" w:line="123" w:lineRule="exact"/>
        <w:rPr>
          <w:sz w:val="20"/>
          <w:szCs w:val="20"/>
          <w:color w:val="auto"/>
        </w:rPr>
      </w:pPr>
    </w:p>
    <w:p>
      <w:pPr>
        <w:ind w:left="443" w:right="120" w:hanging="443"/>
        <w:spacing w:after="0" w:line="241" w:lineRule="auto"/>
        <w:tabs>
          <w:tab w:leader="none" w:pos="443" w:val="left"/>
        </w:tabs>
        <w:numPr>
          <w:ilvl w:val="0"/>
          <w:numId w:val="3"/>
        </w:numPr>
        <w:rPr>
          <w:rFonts w:ascii="Arial" w:cs="Arial" w:eastAsia="Arial" w:hAnsi="Arial"/>
          <w:sz w:val="16"/>
          <w:szCs w:val="16"/>
          <w:color w:val="auto"/>
        </w:rPr>
      </w:pPr>
      <w:r>
        <w:rPr>
          <w:rFonts w:ascii="Arial" w:cs="Arial" w:eastAsia="Arial" w:hAnsi="Arial"/>
          <w:sz w:val="16"/>
          <w:szCs w:val="16"/>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ind w:left="443" w:hanging="443"/>
        <w:spacing w:after="0" w:line="236" w:lineRule="auto"/>
        <w:tabs>
          <w:tab w:leader="none" w:pos="443" w:val="left"/>
        </w:tabs>
        <w:numPr>
          <w:ilvl w:val="0"/>
          <w:numId w:val="3"/>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Group's internal control.</w:t>
      </w:r>
    </w:p>
    <w:p>
      <w:pPr>
        <w:ind w:left="443" w:right="880" w:hanging="443"/>
        <w:spacing w:after="0" w:line="236" w:lineRule="auto"/>
        <w:tabs>
          <w:tab w:leader="none" w:pos="443" w:val="left"/>
        </w:tabs>
        <w:numPr>
          <w:ilvl w:val="0"/>
          <w:numId w:val="3"/>
        </w:numPr>
        <w:rPr>
          <w:rFonts w:ascii="Arial" w:cs="Arial" w:eastAsia="Arial" w:hAnsi="Arial"/>
          <w:sz w:val="16"/>
          <w:szCs w:val="16"/>
          <w:color w:val="auto"/>
        </w:rPr>
      </w:pPr>
      <w:r>
        <w:rPr>
          <w:rFonts w:ascii="Arial" w:cs="Arial" w:eastAsia="Arial" w:hAnsi="Arial"/>
          <w:sz w:val="16"/>
          <w:szCs w:val="16"/>
          <w:color w:val="auto"/>
        </w:rPr>
        <w:t>Evaluate the appropriateness of accounting policies used and the reasonableness of accounting estimates and related disclosures made by management.</w:t>
      </w:r>
    </w:p>
    <w:p>
      <w:pPr>
        <w:ind w:left="443" w:right="60" w:hanging="443"/>
        <w:spacing w:after="0" w:line="236" w:lineRule="auto"/>
        <w:tabs>
          <w:tab w:leader="none" w:pos="443"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Conclude on the appropriateness of management’s use of the going concern basis of accounting and, based on the audit evidence obtained, whether a material uncertainty exists related to events or conditions that may cast significant doubt on the Group’s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w:t>
      </w:r>
    </w:p>
    <w:p>
      <w:pPr>
        <w:ind w:left="443" w:right="920" w:hanging="443"/>
        <w:spacing w:after="0" w:line="236" w:lineRule="auto"/>
        <w:tabs>
          <w:tab w:leader="none" w:pos="443" w:val="left"/>
        </w:tabs>
        <w:numPr>
          <w:ilvl w:val="0"/>
          <w:numId w:val="3"/>
        </w:numPr>
        <w:rPr>
          <w:rFonts w:ascii="Arial" w:cs="Arial" w:eastAsia="Arial" w:hAnsi="Arial"/>
          <w:sz w:val="16"/>
          <w:szCs w:val="16"/>
          <w:color w:val="auto"/>
        </w:rPr>
      </w:pPr>
      <w:r>
        <w:rPr>
          <w:rFonts w:ascii="Arial" w:cs="Arial" w:eastAsia="Arial" w:hAnsi="Arial"/>
          <w:sz w:val="16"/>
          <w:szCs w:val="16"/>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jc w:val="both"/>
        <w:ind w:left="443" w:hanging="443"/>
        <w:spacing w:after="0" w:line="244" w:lineRule="auto"/>
        <w:tabs>
          <w:tab w:leader="none" w:pos="443" w:val="left"/>
        </w:tabs>
        <w:numPr>
          <w:ilvl w:val="0"/>
          <w:numId w:val="3"/>
        </w:numPr>
        <w:rPr>
          <w:rFonts w:ascii="Arial" w:cs="Arial" w:eastAsia="Arial" w:hAnsi="Arial"/>
          <w:sz w:val="16"/>
          <w:szCs w:val="16"/>
          <w:color w:val="auto"/>
        </w:rPr>
      </w:pPr>
      <w:r>
        <w:rPr>
          <w:rFonts w:ascii="Arial" w:cs="Arial" w:eastAsia="Arial" w:hAnsi="Arial"/>
          <w:sz w:val="16"/>
          <w:szCs w:val="16"/>
          <w:color w:val="auto"/>
        </w:rPr>
        <w:t>Plan and perform the group audit to obtain sufficient appropriate audit evidence regarding the financial information of the entities or business units within the group as a basis for forming an opinion on the consolidated financial statements. We are responsible for the direction, supervision and review of the audit work performed for the purposes of the group audit. We remain solely responsible for our audit opinion.</w:t>
      </w:r>
    </w:p>
    <w:p>
      <w:pPr>
        <w:spacing w:after="0" w:line="147" w:lineRule="exact"/>
        <w:rPr>
          <w:sz w:val="20"/>
          <w:szCs w:val="20"/>
          <w:color w:val="auto"/>
        </w:rPr>
      </w:pPr>
    </w:p>
    <w:p>
      <w:pPr>
        <w:ind w:left="3"/>
        <w:spacing w:after="0" w:line="274" w:lineRule="auto"/>
        <w:rPr>
          <w:sz w:val="20"/>
          <w:szCs w:val="20"/>
          <w:color w:val="auto"/>
        </w:rPr>
      </w:pPr>
      <w:r>
        <w:rPr>
          <w:rFonts w:ascii="Arial" w:cs="Arial" w:eastAsia="Arial" w:hAnsi="Arial"/>
          <w:sz w:val="16"/>
          <w:szCs w:val="16"/>
          <w:color w:val="auto"/>
        </w:rPr>
        <w:t>We communicate with those charged with Group's governance regarding, among other matters, the planned scope and timing of the audit and significant audit findings, including any significant deficiencies in internal control that we identify during our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448310</wp:posOffset>
            </wp:positionV>
            <wp:extent cx="714692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1440" w:right="339" w:bottom="1440" w:gutter="0" w:footer="0" w:header="0"/>
        </w:sectPr>
      </w:pPr>
    </w:p>
    <w:bookmarkStart w:id="12" w:name="page13"/>
    <w:bookmarkEnd w:id="12"/>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35330" cy="750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also provide those charged with Group's governance with a statement that we have complied with relevant ethical requirements regarding independence, and to communicate with them all relationships and other matters that may reasonably be thought to bear on our independence, and where applicable, actions taken to eliminate threats or safeguards applied.</w:t>
      </w:r>
    </w:p>
    <w:p>
      <w:pPr>
        <w:spacing w:after="0" w:line="13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From the matters communicated with those charged with Group's governance,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Lima, Peru</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Endorsed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1072515" cy="773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2515" cy="77343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123825</wp:posOffset>
            </wp:positionV>
            <wp:extent cx="2489835" cy="64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983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Victor Tanaka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Partner-in-Charge</w:t>
      </w:r>
    </w:p>
    <w:p>
      <w:pPr>
        <w:spacing w:after="0"/>
        <w:rPr>
          <w:sz w:val="20"/>
          <w:szCs w:val="20"/>
          <w:color w:val="auto"/>
        </w:rPr>
      </w:pPr>
      <w:r>
        <w:rPr>
          <w:rFonts w:ascii="Arial" w:cs="Arial" w:eastAsia="Arial" w:hAnsi="Arial"/>
          <w:sz w:val="16"/>
          <w:szCs w:val="16"/>
          <w:color w:val="auto"/>
        </w:rPr>
        <w:t>C.P.C.C. Registration No. 25613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473710</wp:posOffset>
            </wp:positionV>
            <wp:extent cx="714692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4320" w:type="dxa"/>
            <w:vAlign w:val="bottom"/>
            <w:gridSpan w:val="5"/>
          </w:tcPr>
          <w:p>
            <w:pPr>
              <w:spacing w:after="0"/>
              <w:rPr>
                <w:sz w:val="20"/>
                <w:szCs w:val="20"/>
                <w:color w:val="auto"/>
              </w:rPr>
            </w:pPr>
            <w:r>
              <w:rPr>
                <w:rFonts w:ascii="Arial" w:cs="Arial" w:eastAsia="Arial" w:hAnsi="Arial"/>
                <w:sz w:val="16"/>
                <w:szCs w:val="16"/>
                <w:color w:val="auto"/>
              </w:rPr>
              <w:t>CONSOLIDATED STATEMENT OF FINANCIAL POSITION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60" w:type="dxa"/>
            <w:vAlign w:val="bottom"/>
            <w:gridSpan w:val="2"/>
          </w:tcPr>
          <w:p>
            <w:pPr>
              <w:spacing w:after="0"/>
              <w:rPr>
                <w:sz w:val="20"/>
                <w:szCs w:val="20"/>
                <w:color w:val="auto"/>
              </w:rPr>
            </w:pPr>
            <w:r>
              <w:rPr>
                <w:rFonts w:ascii="Arial" w:cs="Arial" w:eastAsia="Arial" w:hAnsi="Arial"/>
                <w:sz w:val="16"/>
                <w:szCs w:val="16"/>
                <w:color w:val="auto"/>
              </w:rPr>
              <w:t>AS OF DECEMBER 31, 2025 AND 2024</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76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6"/>
                <w:szCs w:val="16"/>
                <w:b w:val="1"/>
                <w:bCs w:val="1"/>
                <w:color w:val="auto"/>
              </w:rPr>
              <w:t>Note</w:t>
            </w: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7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Cash and due from banks:</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Non-interest-bearing</w:t>
            </w:r>
          </w:p>
        </w:tc>
        <w:tc>
          <w:tcPr>
            <w:tcW w:w="500" w:type="dxa"/>
            <w:vAlign w:val="bottom"/>
          </w:tcPr>
          <w:p>
            <w:pPr>
              <w:spacing w:after="0"/>
              <w:rPr>
                <w:sz w:val="15"/>
                <w:szCs w:val="15"/>
                <w:color w:val="auto"/>
              </w:rPr>
            </w:pP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7,649,640</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7,535,259</w:t>
            </w:r>
          </w:p>
        </w:tc>
        <w:tc>
          <w:tcPr>
            <w:tcW w:w="0" w:type="dxa"/>
            <w:vAlign w:val="bottom"/>
          </w:tcPr>
          <w:p>
            <w:pPr>
              <w:spacing w:after="0"/>
              <w:rPr>
                <w:sz w:val="1"/>
                <w:szCs w:val="1"/>
                <w:color w:val="auto"/>
              </w:rPr>
            </w:pPr>
          </w:p>
        </w:tc>
      </w:tr>
      <w:tr>
        <w:trPr>
          <w:trHeight w:val="210"/>
        </w:trPr>
        <w:tc>
          <w:tcPr>
            <w:tcW w:w="2760" w:type="dxa"/>
            <w:vAlign w:val="bottom"/>
          </w:tcPr>
          <w:p>
            <w:pPr>
              <w:ind w:left="40"/>
              <w:spacing w:after="0"/>
              <w:rPr>
                <w:sz w:val="20"/>
                <w:szCs w:val="20"/>
                <w:color w:val="auto"/>
              </w:rPr>
            </w:pPr>
            <w:r>
              <w:rPr>
                <w:rFonts w:ascii="Arial" w:cs="Arial" w:eastAsia="Arial" w:hAnsi="Arial"/>
                <w:sz w:val="16"/>
                <w:szCs w:val="16"/>
                <w:color w:val="auto"/>
              </w:rPr>
              <w:t>Interest-bearing</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auto"/>
                <w:w w:val="89"/>
              </w:rPr>
              <w:t>4</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41,394,817</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40,119,937</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49,044,457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47,655,196</w:t>
            </w: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760" w:type="dxa"/>
            <w:vAlign w:val="bottom"/>
          </w:tcPr>
          <w:p>
            <w:pPr>
              <w:ind w:left="40"/>
              <w:spacing w:after="0"/>
              <w:rPr>
                <w:sz w:val="20"/>
                <w:szCs w:val="20"/>
                <w:color w:val="auto"/>
              </w:rPr>
            </w:pPr>
            <w:r>
              <w:rPr>
                <w:rFonts w:ascii="Arial" w:cs="Arial" w:eastAsia="Arial" w:hAnsi="Arial"/>
                <w:sz w:val="16"/>
                <w:szCs w:val="16"/>
                <w:color w:val="auto"/>
              </w:rPr>
              <w:t>Cash collateral, reverse repurchase</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60" w:type="dxa"/>
            <w:vAlign w:val="bottom"/>
          </w:tcPr>
          <w:p>
            <w:pPr>
              <w:ind w:left="40"/>
              <w:spacing w:after="0"/>
              <w:rPr>
                <w:sz w:val="20"/>
                <w:szCs w:val="20"/>
                <w:color w:val="auto"/>
              </w:rPr>
            </w:pPr>
            <w:r>
              <w:rPr>
                <w:rFonts w:ascii="Arial" w:cs="Arial" w:eastAsia="Arial" w:hAnsi="Arial"/>
                <w:sz w:val="16"/>
                <w:szCs w:val="16"/>
                <w:color w:val="auto"/>
              </w:rPr>
              <w:t>agreements and securities borrowing</w:t>
            </w:r>
          </w:p>
        </w:tc>
        <w:tc>
          <w:tcPr>
            <w:tcW w:w="500" w:type="dxa"/>
            <w:vAlign w:val="bottom"/>
          </w:tcPr>
          <w:p>
            <w:pPr>
              <w:jc w:val="center"/>
              <w:spacing w:after="0"/>
              <w:rPr>
                <w:sz w:val="20"/>
                <w:szCs w:val="20"/>
                <w:color w:val="auto"/>
              </w:rPr>
            </w:pPr>
            <w:r>
              <w:rPr>
                <w:rFonts w:ascii="Arial" w:cs="Arial" w:eastAsia="Arial" w:hAnsi="Arial"/>
                <w:sz w:val="16"/>
                <w:szCs w:val="16"/>
                <w:color w:val="auto"/>
                <w:w w:val="98"/>
              </w:rPr>
              <w:t>5(a)</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2,177,200</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1,033,177</w:t>
            </w:r>
          </w:p>
        </w:tc>
        <w:tc>
          <w:tcPr>
            <w:tcW w:w="0" w:type="dxa"/>
            <w:vAlign w:val="bottom"/>
          </w:tcPr>
          <w:p>
            <w:pPr>
              <w:spacing w:after="0"/>
              <w:rPr>
                <w:sz w:val="1"/>
                <w:szCs w:val="1"/>
                <w:color w:val="auto"/>
              </w:rPr>
            </w:pPr>
          </w:p>
        </w:tc>
      </w:tr>
      <w:tr>
        <w:trPr>
          <w:trHeight w:val="329"/>
        </w:trPr>
        <w:tc>
          <w:tcPr>
            <w:tcW w:w="276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60" w:type="dxa"/>
            <w:vAlign w:val="bottom"/>
          </w:tcPr>
          <w:p>
            <w:pPr>
              <w:ind w:left="40"/>
              <w:spacing w:after="0"/>
              <w:rPr>
                <w:sz w:val="20"/>
                <w:szCs w:val="20"/>
                <w:color w:val="auto"/>
              </w:rPr>
            </w:pPr>
            <w:r>
              <w:rPr>
                <w:rFonts w:ascii="Arial" w:cs="Arial" w:eastAsia="Arial" w:hAnsi="Arial"/>
                <w:sz w:val="16"/>
                <w:szCs w:val="16"/>
                <w:color w:val="auto"/>
              </w:rPr>
              <w:t>At fair value through profit or loss</w:t>
            </w:r>
          </w:p>
        </w:tc>
        <w:tc>
          <w:tcPr>
            <w:tcW w:w="500" w:type="dxa"/>
            <w:vAlign w:val="bottom"/>
          </w:tcPr>
          <w:p>
            <w:pPr>
              <w:jc w:val="center"/>
              <w:spacing w:after="0"/>
              <w:rPr>
                <w:sz w:val="20"/>
                <w:szCs w:val="20"/>
                <w:color w:val="auto"/>
              </w:rPr>
            </w:pPr>
            <w:r>
              <w:rPr>
                <w:rFonts w:ascii="Arial" w:cs="Arial" w:eastAsia="Arial" w:hAnsi="Arial"/>
                <w:sz w:val="16"/>
                <w:szCs w:val="16"/>
                <w:color w:val="auto"/>
                <w:w w:val="98"/>
              </w:rPr>
              <w:t>6(a)</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4,957,236</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4,715,343</w:t>
            </w:r>
          </w:p>
        </w:tc>
        <w:tc>
          <w:tcPr>
            <w:tcW w:w="0" w:type="dxa"/>
            <w:vAlign w:val="bottom"/>
          </w:tcPr>
          <w:p>
            <w:pPr>
              <w:spacing w:after="0"/>
              <w:rPr>
                <w:sz w:val="1"/>
                <w:szCs w:val="1"/>
                <w:color w:val="auto"/>
              </w:rPr>
            </w:pPr>
          </w:p>
        </w:tc>
      </w:tr>
      <w:tr>
        <w:trPr>
          <w:trHeight w:val="329"/>
        </w:trPr>
        <w:tc>
          <w:tcPr>
            <w:tcW w:w="2760" w:type="dxa"/>
            <w:vAlign w:val="bottom"/>
          </w:tcPr>
          <w:p>
            <w:pPr>
              <w:ind w:left="40"/>
              <w:spacing w:after="0"/>
              <w:rPr>
                <w:sz w:val="20"/>
                <w:szCs w:val="20"/>
                <w:color w:val="auto"/>
              </w:rPr>
            </w:pPr>
            <w:r>
              <w:rPr>
                <w:rFonts w:ascii="Arial" w:cs="Arial" w:eastAsia="Arial" w:hAnsi="Arial"/>
                <w:sz w:val="16"/>
                <w:szCs w:val="16"/>
                <w:color w:val="auto"/>
              </w:rPr>
              <w:t>At fair value through other</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comprehensive income</w:t>
            </w:r>
          </w:p>
        </w:tc>
        <w:tc>
          <w:tcPr>
            <w:tcW w:w="500" w:type="dxa"/>
            <w:vAlign w:val="bottom"/>
          </w:tcPr>
          <w:p>
            <w:pPr>
              <w:spacing w:after="0"/>
              <w:rPr>
                <w:sz w:val="15"/>
                <w:szCs w:val="15"/>
                <w:color w:val="auto"/>
              </w:rPr>
            </w:pP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33,043,160</w:t>
            </w:r>
          </w:p>
        </w:tc>
        <w:tc>
          <w:tcPr>
            <w:tcW w:w="100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34,208,187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At fair value through other</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comprehensive income</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40"/>
              <w:spacing w:after="0"/>
              <w:rPr>
                <w:sz w:val="20"/>
                <w:szCs w:val="20"/>
                <w:color w:val="auto"/>
              </w:rPr>
            </w:pPr>
            <w:r>
              <w:rPr>
                <w:rFonts w:ascii="Arial" w:cs="Arial" w:eastAsia="Arial" w:hAnsi="Arial"/>
                <w:sz w:val="16"/>
                <w:szCs w:val="16"/>
                <w:color w:val="auto"/>
              </w:rPr>
              <w:t>pledged as collateral</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auto"/>
                <w:w w:val="98"/>
              </w:rPr>
              <w:t>6(b)</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5,990,889</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5,934,451</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39,034,049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40,142,638</w:t>
            </w: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760" w:type="dxa"/>
            <w:vAlign w:val="bottom"/>
          </w:tcPr>
          <w:p>
            <w:pPr>
              <w:ind w:left="40"/>
              <w:spacing w:after="0"/>
              <w:rPr>
                <w:sz w:val="20"/>
                <w:szCs w:val="20"/>
                <w:color w:val="auto"/>
              </w:rPr>
            </w:pPr>
            <w:r>
              <w:rPr>
                <w:rFonts w:ascii="Arial" w:cs="Arial" w:eastAsia="Arial" w:hAnsi="Arial"/>
                <w:sz w:val="16"/>
                <w:szCs w:val="16"/>
                <w:color w:val="auto"/>
              </w:rPr>
              <w:t>Amortized cost</w:t>
            </w:r>
          </w:p>
        </w:tc>
        <w:tc>
          <w:tcPr>
            <w:tcW w:w="50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8,490,126</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7,904,517</w:t>
            </w:r>
          </w:p>
        </w:tc>
        <w:tc>
          <w:tcPr>
            <w:tcW w:w="0" w:type="dxa"/>
            <w:vAlign w:val="bottom"/>
          </w:tcPr>
          <w:p>
            <w:pPr>
              <w:spacing w:after="0"/>
              <w:rPr>
                <w:sz w:val="1"/>
                <w:szCs w:val="1"/>
                <w:color w:val="auto"/>
              </w:rPr>
            </w:pPr>
          </w:p>
        </w:tc>
      </w:tr>
      <w:tr>
        <w:trPr>
          <w:trHeight w:val="210"/>
        </w:trPr>
        <w:tc>
          <w:tcPr>
            <w:tcW w:w="2760" w:type="dxa"/>
            <w:vAlign w:val="bottom"/>
          </w:tcPr>
          <w:p>
            <w:pPr>
              <w:ind w:left="40"/>
              <w:spacing w:after="0"/>
              <w:rPr>
                <w:sz w:val="20"/>
                <w:szCs w:val="20"/>
                <w:color w:val="auto"/>
              </w:rPr>
            </w:pPr>
            <w:r>
              <w:rPr>
                <w:rFonts w:ascii="Arial" w:cs="Arial" w:eastAsia="Arial" w:hAnsi="Arial"/>
                <w:sz w:val="16"/>
                <w:szCs w:val="16"/>
                <w:color w:val="auto"/>
              </w:rPr>
              <w:t>Amortized cost pledged as collateral</w:t>
            </w:r>
          </w:p>
        </w:tc>
        <w:tc>
          <w:tcPr>
            <w:tcW w:w="500" w:type="dxa"/>
            <w:vAlign w:val="bottom"/>
            <w:vMerge w:val="restart"/>
          </w:tcPr>
          <w:p>
            <w:pPr>
              <w:jc w:val="center"/>
              <w:spacing w:after="0"/>
              <w:rPr>
                <w:sz w:val="20"/>
                <w:szCs w:val="20"/>
                <w:color w:val="auto"/>
              </w:rPr>
            </w:pPr>
            <w:r>
              <w:rPr>
                <w:rFonts w:ascii="Arial" w:cs="Arial" w:eastAsia="Arial" w:hAnsi="Arial"/>
                <w:sz w:val="16"/>
                <w:szCs w:val="16"/>
                <w:color w:val="auto"/>
              </w:rPr>
              <w:t>6(c)</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323,531</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1,063,360</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8,813,657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8,967,877</w:t>
            </w:r>
          </w:p>
        </w:tc>
        <w:tc>
          <w:tcPr>
            <w:tcW w:w="0" w:type="dxa"/>
            <w:vAlign w:val="bottom"/>
          </w:tcPr>
          <w:p>
            <w:pPr>
              <w:spacing w:after="0"/>
              <w:rPr>
                <w:sz w:val="1"/>
                <w:szCs w:val="1"/>
                <w:color w:val="auto"/>
              </w:rPr>
            </w:pPr>
          </w:p>
        </w:tc>
      </w:tr>
      <w:tr>
        <w:trPr>
          <w:trHeight w:val="313"/>
        </w:trPr>
        <w:tc>
          <w:tcPr>
            <w:tcW w:w="2760" w:type="dxa"/>
            <w:vAlign w:val="bottom"/>
          </w:tcPr>
          <w:p>
            <w:pPr>
              <w:ind w:left="40"/>
              <w:spacing w:after="0"/>
              <w:rPr>
                <w:sz w:val="20"/>
                <w:szCs w:val="20"/>
                <w:color w:val="auto"/>
              </w:rPr>
            </w:pPr>
            <w:r>
              <w:rPr>
                <w:rFonts w:ascii="Arial" w:cs="Arial" w:eastAsia="Arial" w:hAnsi="Arial"/>
                <w:sz w:val="16"/>
                <w:szCs w:val="16"/>
                <w:color w:val="auto"/>
              </w:rPr>
              <w:t>Loans, net:</w:t>
            </w: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Loans, net of unearned income</w:t>
            </w:r>
          </w:p>
        </w:tc>
        <w:tc>
          <w:tcPr>
            <w:tcW w:w="500" w:type="dxa"/>
            <w:vAlign w:val="bottom"/>
          </w:tcPr>
          <w:p>
            <w:pPr>
              <w:spacing w:after="0"/>
              <w:rPr>
                <w:sz w:val="15"/>
                <w:szCs w:val="15"/>
                <w:color w:val="auto"/>
              </w:rPr>
            </w:pP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149,984,954</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145,732,273</w:t>
            </w:r>
          </w:p>
        </w:tc>
        <w:tc>
          <w:tcPr>
            <w:tcW w:w="0" w:type="dxa"/>
            <w:vAlign w:val="bottom"/>
          </w:tcPr>
          <w:p>
            <w:pPr>
              <w:spacing w:after="0"/>
              <w:rPr>
                <w:sz w:val="1"/>
                <w:szCs w:val="1"/>
                <w:color w:val="auto"/>
              </w:rPr>
            </w:pPr>
          </w:p>
        </w:tc>
      </w:tr>
      <w:tr>
        <w:trPr>
          <w:trHeight w:val="210"/>
        </w:trPr>
        <w:tc>
          <w:tcPr>
            <w:tcW w:w="2760" w:type="dxa"/>
            <w:vAlign w:val="bottom"/>
          </w:tcPr>
          <w:p>
            <w:pPr>
              <w:ind w:left="40"/>
              <w:spacing w:after="0"/>
              <w:rPr>
                <w:sz w:val="20"/>
                <w:szCs w:val="20"/>
                <w:color w:val="auto"/>
              </w:rPr>
            </w:pPr>
            <w:r>
              <w:rPr>
                <w:rFonts w:ascii="Arial" w:cs="Arial" w:eastAsia="Arial" w:hAnsi="Arial"/>
                <w:sz w:val="16"/>
                <w:szCs w:val="16"/>
                <w:color w:val="auto"/>
              </w:rPr>
              <w:t>Allowance for loan losses</w:t>
            </w:r>
          </w:p>
        </w:tc>
        <w:tc>
          <w:tcPr>
            <w:tcW w:w="5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(7,669,950)</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(7,994,977)</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142,315,004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137,737,296</w:t>
            </w:r>
          </w:p>
        </w:tc>
        <w:tc>
          <w:tcPr>
            <w:tcW w:w="0" w:type="dxa"/>
            <w:vAlign w:val="bottom"/>
          </w:tcPr>
          <w:p>
            <w:pPr>
              <w:spacing w:after="0"/>
              <w:rPr>
                <w:sz w:val="1"/>
                <w:szCs w:val="1"/>
                <w:color w:val="auto"/>
              </w:rPr>
            </w:pPr>
          </w:p>
        </w:tc>
      </w:tr>
      <w:tr>
        <w:trPr>
          <w:trHeight w:val="313"/>
        </w:trPr>
        <w:tc>
          <w:tcPr>
            <w:tcW w:w="2760" w:type="dxa"/>
            <w:vAlign w:val="bottom"/>
          </w:tcPr>
          <w:p>
            <w:pPr>
              <w:ind w:left="40"/>
              <w:spacing w:after="0"/>
              <w:rPr>
                <w:sz w:val="20"/>
                <w:szCs w:val="20"/>
                <w:color w:val="auto"/>
              </w:rPr>
            </w:pPr>
            <w:r>
              <w:rPr>
                <w:rFonts w:ascii="Arial" w:cs="Arial" w:eastAsia="Arial" w:hAnsi="Arial"/>
                <w:sz w:val="16"/>
                <w:szCs w:val="16"/>
                <w:color w:val="auto"/>
              </w:rPr>
              <w:t>Financial assets designated at fair</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value through</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profit or loss</w:t>
            </w:r>
          </w:p>
        </w:tc>
        <w:tc>
          <w:tcPr>
            <w:tcW w:w="500" w:type="dxa"/>
            <w:vAlign w:val="bottom"/>
          </w:tcPr>
          <w:p>
            <w:pPr>
              <w:jc w:val="center"/>
              <w:spacing w:after="0" w:line="181" w:lineRule="exact"/>
              <w:rPr>
                <w:sz w:val="20"/>
                <w:szCs w:val="20"/>
                <w:color w:val="auto"/>
              </w:rPr>
            </w:pPr>
            <w:r>
              <w:rPr>
                <w:rFonts w:ascii="Arial" w:cs="Arial" w:eastAsia="Arial" w:hAnsi="Arial"/>
                <w:sz w:val="16"/>
                <w:szCs w:val="16"/>
                <w:color w:val="auto"/>
                <w:w w:val="99"/>
              </w:rPr>
              <w:t>3(f)</w:t>
            </w: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992,429</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932,734</w:t>
            </w: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Reinsurance contract assets</w:t>
            </w:r>
          </w:p>
        </w:tc>
        <w:tc>
          <w:tcPr>
            <w:tcW w:w="500" w:type="dxa"/>
            <w:vAlign w:val="bottom"/>
          </w:tcPr>
          <w:p>
            <w:pPr>
              <w:jc w:val="center"/>
              <w:spacing w:after="0" w:line="181" w:lineRule="exact"/>
              <w:rPr>
                <w:sz w:val="20"/>
                <w:szCs w:val="20"/>
                <w:color w:val="auto"/>
              </w:rPr>
            </w:pPr>
            <w:r>
              <w:rPr>
                <w:rFonts w:ascii="Arial" w:cs="Arial" w:eastAsia="Arial" w:hAnsi="Arial"/>
                <w:sz w:val="16"/>
                <w:szCs w:val="16"/>
                <w:color w:val="auto"/>
                <w:w w:val="98"/>
              </w:rPr>
              <w:t>8(a)</w:t>
            </w: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708,560</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841,170</w:t>
            </w: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Property, furniture and equipment,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net</w:t>
            </w:r>
          </w:p>
        </w:tc>
        <w:tc>
          <w:tcPr>
            <w:tcW w:w="500" w:type="dxa"/>
            <w:vAlign w:val="bottom"/>
          </w:tcPr>
          <w:p>
            <w:pPr>
              <w:jc w:val="center"/>
              <w:spacing w:after="0" w:line="181" w:lineRule="exact"/>
              <w:rPr>
                <w:sz w:val="20"/>
                <w:szCs w:val="20"/>
                <w:color w:val="auto"/>
              </w:rPr>
            </w:pPr>
            <w:r>
              <w:rPr>
                <w:rFonts w:ascii="Arial" w:cs="Arial" w:eastAsia="Arial" w:hAnsi="Arial"/>
                <w:sz w:val="16"/>
                <w:szCs w:val="16"/>
                <w:color w:val="auto"/>
                <w:w w:val="89"/>
              </w:rPr>
              <w:t>9</w:t>
            </w: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2,069,017</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1,438,609</w:t>
            </w: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Due from customers on banker’s</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acceptances</w:t>
            </w:r>
          </w:p>
        </w:tc>
        <w:tc>
          <w:tcPr>
            <w:tcW w:w="500" w:type="dxa"/>
            <w:vAlign w:val="bottom"/>
          </w:tcPr>
          <w:p>
            <w:pPr>
              <w:jc w:val="center"/>
              <w:spacing w:after="0" w:line="181" w:lineRule="exact"/>
              <w:rPr>
                <w:sz w:val="20"/>
                <w:szCs w:val="20"/>
                <w:color w:val="auto"/>
              </w:rPr>
            </w:pPr>
            <w:r>
              <w:rPr>
                <w:rFonts w:ascii="Arial" w:cs="Arial" w:eastAsia="Arial" w:hAnsi="Arial"/>
                <w:sz w:val="16"/>
                <w:szCs w:val="16"/>
                <w:color w:val="auto"/>
                <w:w w:val="98"/>
              </w:rPr>
              <w:t>7(b)</w:t>
            </w: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345,906</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528,184</w:t>
            </w: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Intangible assets, goodwill and</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others, net</w:t>
            </w:r>
          </w:p>
        </w:tc>
        <w:tc>
          <w:tcPr>
            <w:tcW w:w="500" w:type="dxa"/>
            <w:vAlign w:val="bottom"/>
          </w:tcPr>
          <w:p>
            <w:pPr>
              <w:jc w:val="center"/>
              <w:spacing w:after="0" w:line="181" w:lineRule="exact"/>
              <w:rPr>
                <w:sz w:val="20"/>
                <w:szCs w:val="20"/>
                <w:color w:val="auto"/>
              </w:rPr>
            </w:pPr>
            <w:r>
              <w:rPr>
                <w:rFonts w:ascii="Arial" w:cs="Arial" w:eastAsia="Arial" w:hAnsi="Arial"/>
                <w:sz w:val="16"/>
                <w:szCs w:val="16"/>
                <w:color w:val="auto"/>
              </w:rPr>
              <w:t>10</w:t>
            </w: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4,764,394</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3,289,157</w:t>
            </w: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Right-of-use assets, net</w:t>
            </w:r>
          </w:p>
        </w:tc>
        <w:tc>
          <w:tcPr>
            <w:tcW w:w="500" w:type="dxa"/>
            <w:vAlign w:val="bottom"/>
          </w:tcPr>
          <w:p>
            <w:pPr>
              <w:jc w:val="center"/>
              <w:spacing w:after="0" w:line="181" w:lineRule="exact"/>
              <w:rPr>
                <w:sz w:val="20"/>
                <w:szCs w:val="20"/>
                <w:color w:val="auto"/>
              </w:rPr>
            </w:pPr>
            <w:r>
              <w:rPr>
                <w:rFonts w:ascii="Arial" w:cs="Arial" w:eastAsia="Arial" w:hAnsi="Arial"/>
                <w:sz w:val="16"/>
                <w:szCs w:val="16"/>
                <w:color w:val="auto"/>
                <w:w w:val="96"/>
              </w:rPr>
              <w:t>11(a)</w:t>
            </w: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603,441</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402,538</w:t>
            </w:r>
          </w:p>
        </w:tc>
        <w:tc>
          <w:tcPr>
            <w:tcW w:w="0" w:type="dxa"/>
            <w:vAlign w:val="bottom"/>
          </w:tcPr>
          <w:p>
            <w:pPr>
              <w:spacing w:after="0"/>
              <w:rPr>
                <w:sz w:val="1"/>
                <w:szCs w:val="1"/>
                <w:color w:val="auto"/>
              </w:rPr>
            </w:pPr>
          </w:p>
        </w:tc>
      </w:tr>
      <w:tr>
        <w:trPr>
          <w:trHeight w:val="181"/>
        </w:trPr>
        <w:tc>
          <w:tcPr>
            <w:tcW w:w="2760" w:type="dxa"/>
            <w:vAlign w:val="bottom"/>
          </w:tcPr>
          <w:p>
            <w:pPr>
              <w:ind w:left="40"/>
              <w:spacing w:after="0" w:line="181" w:lineRule="exact"/>
              <w:rPr>
                <w:sz w:val="20"/>
                <w:szCs w:val="20"/>
                <w:color w:val="auto"/>
              </w:rPr>
            </w:pPr>
            <w:r>
              <w:rPr>
                <w:rFonts w:ascii="Arial" w:cs="Arial" w:eastAsia="Arial" w:hAnsi="Arial"/>
                <w:sz w:val="16"/>
                <w:szCs w:val="16"/>
                <w:color w:val="auto"/>
              </w:rPr>
              <w:t>Deferred tax assets, net</w:t>
            </w:r>
          </w:p>
        </w:tc>
        <w:tc>
          <w:tcPr>
            <w:tcW w:w="500" w:type="dxa"/>
            <w:vAlign w:val="bottom"/>
          </w:tcPr>
          <w:p>
            <w:pPr>
              <w:jc w:val="center"/>
              <w:spacing w:after="0" w:line="181" w:lineRule="exact"/>
              <w:rPr>
                <w:sz w:val="20"/>
                <w:szCs w:val="20"/>
                <w:color w:val="auto"/>
              </w:rPr>
            </w:pPr>
            <w:r>
              <w:rPr>
                <w:rFonts w:ascii="Arial" w:cs="Arial" w:eastAsia="Arial" w:hAnsi="Arial"/>
                <w:sz w:val="16"/>
                <w:szCs w:val="16"/>
                <w:color w:val="auto"/>
                <w:w w:val="98"/>
              </w:rPr>
              <w:t>17(c)</w:t>
            </w: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1,391,636</w:t>
            </w:r>
          </w:p>
        </w:tc>
        <w:tc>
          <w:tcPr>
            <w:tcW w:w="10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1,170,866</w:t>
            </w:r>
          </w:p>
        </w:tc>
        <w:tc>
          <w:tcPr>
            <w:tcW w:w="0" w:type="dxa"/>
            <w:vAlign w:val="bottom"/>
          </w:tcPr>
          <w:p>
            <w:pPr>
              <w:spacing w:after="0"/>
              <w:rPr>
                <w:sz w:val="1"/>
                <w:szCs w:val="1"/>
                <w:color w:val="auto"/>
              </w:rPr>
            </w:pPr>
          </w:p>
        </w:tc>
      </w:tr>
      <w:tr>
        <w:trPr>
          <w:trHeight w:val="202"/>
        </w:trPr>
        <w:tc>
          <w:tcPr>
            <w:tcW w:w="27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500" w:type="dxa"/>
            <w:vAlign w:val="bottom"/>
          </w:tcPr>
          <w:p>
            <w:pPr>
              <w:jc w:val="center"/>
              <w:spacing w:after="0"/>
              <w:rPr>
                <w:sz w:val="20"/>
                <w:szCs w:val="20"/>
                <w:color w:val="auto"/>
              </w:rPr>
            </w:pPr>
            <w:r>
              <w:rPr>
                <w:rFonts w:ascii="Arial" w:cs="Arial" w:eastAsia="Arial" w:hAnsi="Arial"/>
                <w:sz w:val="16"/>
                <w:szCs w:val="16"/>
                <w:color w:val="auto"/>
              </w:rPr>
              <w:t>12</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10,145,547</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7,234,155</w:t>
            </w:r>
          </w:p>
        </w:tc>
        <w:tc>
          <w:tcPr>
            <w:tcW w:w="0" w:type="dxa"/>
            <w:vAlign w:val="bottom"/>
          </w:tcPr>
          <w:p>
            <w:pPr>
              <w:spacing w:after="0"/>
              <w:rPr>
                <w:sz w:val="1"/>
                <w:szCs w:val="1"/>
                <w:color w:val="auto"/>
              </w:rPr>
            </w:pPr>
          </w:p>
        </w:tc>
      </w:tr>
      <w:tr>
        <w:trPr>
          <w:trHeight w:val="185"/>
        </w:trPr>
        <w:tc>
          <w:tcPr>
            <w:tcW w:w="276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Total assets</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267,362,533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256,088,940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62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6"/>
                <w:szCs w:val="16"/>
                <w:b w:val="1"/>
                <w:bCs w:val="1"/>
                <w:color w:val="auto"/>
              </w:rPr>
              <w:t>Note</w:t>
            </w:r>
          </w:p>
        </w:tc>
        <w:tc>
          <w:tcPr>
            <w:tcW w:w="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6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6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Deposits and obligations:</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Non-interest-bearing</w:t>
            </w:r>
          </w:p>
        </w:tc>
        <w:tc>
          <w:tcPr>
            <w:tcW w:w="6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52,217,286</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47,160,191</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6"/>
                <w:szCs w:val="16"/>
                <w:color w:val="auto"/>
              </w:rPr>
              <w:t>Interest-bearing</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13(a)</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118,184,347</w:t>
            </w:r>
          </w:p>
        </w:tc>
        <w:tc>
          <w:tcPr>
            <w:tcW w:w="4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114,681,875</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170,401,633</w:t>
            </w:r>
          </w:p>
        </w:tc>
        <w:tc>
          <w:tcPr>
            <w:tcW w:w="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161,842,066</w:t>
            </w:r>
          </w:p>
        </w:tc>
        <w:tc>
          <w:tcPr>
            <w:tcW w:w="0" w:type="dxa"/>
            <w:vAlign w:val="bottom"/>
          </w:tcPr>
          <w:p>
            <w:pPr>
              <w:spacing w:after="0"/>
              <w:rPr>
                <w:sz w:val="1"/>
                <w:szCs w:val="1"/>
                <w:color w:val="auto"/>
              </w:rPr>
            </w:pPr>
          </w:p>
        </w:tc>
      </w:tr>
      <w:tr>
        <w:trPr>
          <w:trHeight w:val="313"/>
        </w:trPr>
        <w:tc>
          <w:tcPr>
            <w:tcW w:w="2620" w:type="dxa"/>
            <w:vAlign w:val="bottom"/>
          </w:tcPr>
          <w:p>
            <w:pPr>
              <w:spacing w:after="0"/>
              <w:rPr>
                <w:sz w:val="20"/>
                <w:szCs w:val="20"/>
                <w:color w:val="auto"/>
              </w:rPr>
            </w:pPr>
            <w:r>
              <w:rPr>
                <w:rFonts w:ascii="Arial" w:cs="Arial" w:eastAsia="Arial" w:hAnsi="Arial"/>
                <w:sz w:val="16"/>
                <w:szCs w:val="16"/>
                <w:color w:val="auto"/>
              </w:rPr>
              <w:t>Payables from repurchase</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agreements and securities lending</w:t>
            </w:r>
          </w:p>
        </w:tc>
        <w:tc>
          <w:tcPr>
            <w:tcW w:w="640" w:type="dxa"/>
            <w:vAlign w:val="bottom"/>
          </w:tcPr>
          <w:p>
            <w:pPr>
              <w:jc w:val="center"/>
              <w:spacing w:after="0" w:line="181" w:lineRule="exact"/>
              <w:rPr>
                <w:sz w:val="20"/>
                <w:szCs w:val="20"/>
                <w:color w:val="auto"/>
              </w:rPr>
            </w:pPr>
            <w:r>
              <w:rPr>
                <w:rFonts w:ascii="Arial" w:cs="Arial" w:eastAsia="Arial" w:hAnsi="Arial"/>
                <w:sz w:val="16"/>
                <w:szCs w:val="16"/>
                <w:color w:val="auto"/>
              </w:rPr>
              <w:t>5(b)</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8,243,787</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9,060,710</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Due to banks and correspondents</w:t>
            </w:r>
          </w:p>
        </w:tc>
        <w:tc>
          <w:tcPr>
            <w:tcW w:w="640" w:type="dxa"/>
            <w:vAlign w:val="bottom"/>
          </w:tcPr>
          <w:p>
            <w:pPr>
              <w:jc w:val="center"/>
              <w:spacing w:after="0" w:line="181" w:lineRule="exact"/>
              <w:rPr>
                <w:sz w:val="20"/>
                <w:szCs w:val="20"/>
                <w:color w:val="auto"/>
              </w:rPr>
            </w:pPr>
            <w:r>
              <w:rPr>
                <w:rFonts w:ascii="Arial" w:cs="Arial" w:eastAsia="Arial" w:hAnsi="Arial"/>
                <w:sz w:val="16"/>
                <w:szCs w:val="16"/>
                <w:color w:val="auto"/>
              </w:rPr>
              <w:t>14(a)</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10,675,238</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10,754,385</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Due from customers on banker’s</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acceptances</w:t>
            </w:r>
          </w:p>
        </w:tc>
        <w:tc>
          <w:tcPr>
            <w:tcW w:w="640" w:type="dxa"/>
            <w:vAlign w:val="bottom"/>
          </w:tcPr>
          <w:p>
            <w:pPr>
              <w:jc w:val="center"/>
              <w:spacing w:after="0" w:line="181" w:lineRule="exact"/>
              <w:rPr>
                <w:sz w:val="20"/>
                <w:szCs w:val="20"/>
                <w:color w:val="auto"/>
              </w:rPr>
            </w:pPr>
            <w:r>
              <w:rPr>
                <w:rFonts w:ascii="Arial" w:cs="Arial" w:eastAsia="Arial" w:hAnsi="Arial"/>
                <w:sz w:val="16"/>
                <w:szCs w:val="16"/>
                <w:color w:val="auto"/>
              </w:rPr>
              <w:t>3(n)</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345,906</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528,184</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Lease liabilities</w:t>
            </w:r>
          </w:p>
        </w:tc>
        <w:tc>
          <w:tcPr>
            <w:tcW w:w="640" w:type="dxa"/>
            <w:vAlign w:val="bottom"/>
          </w:tcPr>
          <w:p>
            <w:pPr>
              <w:jc w:val="center"/>
              <w:spacing w:after="0" w:line="181" w:lineRule="exact"/>
              <w:rPr>
                <w:sz w:val="20"/>
                <w:szCs w:val="20"/>
                <w:color w:val="auto"/>
              </w:rPr>
            </w:pPr>
            <w:r>
              <w:rPr>
                <w:rFonts w:ascii="Arial" w:cs="Arial" w:eastAsia="Arial" w:hAnsi="Arial"/>
                <w:sz w:val="16"/>
                <w:szCs w:val="16"/>
                <w:color w:val="auto"/>
              </w:rPr>
              <w:t>11(b)</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612,259</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404,817</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Financial liabilities at fair value</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through profit or loss</w:t>
            </w:r>
          </w:p>
        </w:tc>
        <w:tc>
          <w:tcPr>
            <w:tcW w:w="640" w:type="dxa"/>
            <w:vAlign w:val="bottom"/>
          </w:tcPr>
          <w:p>
            <w:pPr>
              <w:jc w:val="center"/>
              <w:spacing w:after="0" w:line="181" w:lineRule="exact"/>
              <w:rPr>
                <w:sz w:val="20"/>
                <w:szCs w:val="20"/>
                <w:color w:val="auto"/>
              </w:rPr>
            </w:pPr>
            <w:r>
              <w:rPr>
                <w:rFonts w:ascii="Arial" w:cs="Arial" w:eastAsia="Arial" w:hAnsi="Arial"/>
                <w:sz w:val="16"/>
                <w:szCs w:val="16"/>
                <w:color w:val="auto"/>
                <w:w w:val="94"/>
              </w:rPr>
              <w:t>3(y)</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1,055,893</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151,485</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Insurance contract liabilities</w:t>
            </w:r>
          </w:p>
        </w:tc>
        <w:tc>
          <w:tcPr>
            <w:tcW w:w="640" w:type="dxa"/>
            <w:vAlign w:val="bottom"/>
          </w:tcPr>
          <w:p>
            <w:pPr>
              <w:jc w:val="center"/>
              <w:spacing w:after="0" w:line="181" w:lineRule="exact"/>
              <w:rPr>
                <w:sz w:val="20"/>
                <w:szCs w:val="20"/>
                <w:color w:val="auto"/>
              </w:rPr>
            </w:pPr>
            <w:r>
              <w:rPr>
                <w:rFonts w:ascii="Arial" w:cs="Arial" w:eastAsia="Arial" w:hAnsi="Arial"/>
                <w:sz w:val="16"/>
                <w:szCs w:val="16"/>
                <w:color w:val="auto"/>
              </w:rPr>
              <w:t>8(b)</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14,264,155</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13,422,285</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Bonds and notes issued</w:t>
            </w:r>
          </w:p>
        </w:tc>
        <w:tc>
          <w:tcPr>
            <w:tcW w:w="640" w:type="dxa"/>
            <w:vAlign w:val="bottom"/>
          </w:tcPr>
          <w:p>
            <w:pPr>
              <w:jc w:val="center"/>
              <w:spacing w:after="0" w:line="181" w:lineRule="exact"/>
              <w:rPr>
                <w:sz w:val="20"/>
                <w:szCs w:val="20"/>
                <w:color w:val="auto"/>
              </w:rPr>
            </w:pPr>
            <w:r>
              <w:rPr>
                <w:rFonts w:ascii="Arial" w:cs="Arial" w:eastAsia="Arial" w:hAnsi="Arial"/>
                <w:sz w:val="16"/>
                <w:szCs w:val="16"/>
                <w:color w:val="auto"/>
              </w:rPr>
              <w:t>15</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14,025,535</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17,268,443</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Deferred tax liabilities, net</w:t>
            </w:r>
          </w:p>
        </w:tc>
        <w:tc>
          <w:tcPr>
            <w:tcW w:w="640" w:type="dxa"/>
            <w:vAlign w:val="bottom"/>
          </w:tcPr>
          <w:p>
            <w:pPr>
              <w:jc w:val="center"/>
              <w:spacing w:after="0" w:line="181" w:lineRule="exact"/>
              <w:rPr>
                <w:sz w:val="20"/>
                <w:szCs w:val="20"/>
                <w:color w:val="auto"/>
              </w:rPr>
            </w:pPr>
            <w:r>
              <w:rPr>
                <w:rFonts w:ascii="Arial" w:cs="Arial" w:eastAsia="Arial" w:hAnsi="Arial"/>
                <w:sz w:val="16"/>
                <w:szCs w:val="16"/>
                <w:color w:val="auto"/>
              </w:rPr>
              <w:t>17(c)</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376,939</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59,025</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20"/>
                <w:szCs w:val="20"/>
                <w:color w:val="auto"/>
              </w:rPr>
            </w:pPr>
            <w:r>
              <w:rPr>
                <w:rFonts w:ascii="Arial" w:cs="Arial" w:eastAsia="Arial" w:hAnsi="Arial"/>
                <w:sz w:val="16"/>
                <w:szCs w:val="16"/>
                <w:color w:val="auto"/>
              </w:rPr>
              <w:t>Other liabilities</w:t>
            </w:r>
          </w:p>
        </w:tc>
        <w:tc>
          <w:tcPr>
            <w:tcW w:w="640" w:type="dxa"/>
            <w:vAlign w:val="bottom"/>
          </w:tcPr>
          <w:p>
            <w:pPr>
              <w:jc w:val="center"/>
              <w:spacing w:after="0"/>
              <w:rPr>
                <w:sz w:val="20"/>
                <w:szCs w:val="20"/>
                <w:color w:val="auto"/>
              </w:rPr>
            </w:pPr>
            <w:r>
              <w:rPr>
                <w:rFonts w:ascii="Arial" w:cs="Arial" w:eastAsia="Arial" w:hAnsi="Arial"/>
                <w:sz w:val="16"/>
                <w:szCs w:val="16"/>
                <w:color w:val="auto"/>
              </w:rPr>
              <w:t>12</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8,265,079</w:t>
            </w:r>
          </w:p>
        </w:tc>
        <w:tc>
          <w:tcPr>
            <w:tcW w:w="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7,620,306</w:t>
            </w:r>
          </w:p>
        </w:tc>
        <w:tc>
          <w:tcPr>
            <w:tcW w:w="0" w:type="dxa"/>
            <w:vAlign w:val="bottom"/>
          </w:tcPr>
          <w:p>
            <w:pPr>
              <w:spacing w:after="0"/>
              <w:rPr>
                <w:sz w:val="1"/>
                <w:szCs w:val="1"/>
                <w:color w:val="auto"/>
              </w:rPr>
            </w:pPr>
          </w:p>
        </w:tc>
      </w:tr>
      <w:tr>
        <w:trPr>
          <w:trHeight w:val="177"/>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Total liabilities</w:t>
            </w:r>
          </w:p>
        </w:tc>
        <w:tc>
          <w:tcPr>
            <w:tcW w:w="640" w:type="dxa"/>
            <w:vAlign w:val="bottom"/>
          </w:tcPr>
          <w:p>
            <w:pPr>
              <w:spacing w:after="0"/>
              <w:rPr>
                <w:sz w:val="15"/>
                <w:szCs w:val="15"/>
                <w:color w:val="auto"/>
              </w:rPr>
            </w:pPr>
          </w:p>
        </w:tc>
        <w:tc>
          <w:tcPr>
            <w:tcW w:w="102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60"/>
              <w:spacing w:after="0" w:line="173" w:lineRule="exact"/>
              <w:rPr>
                <w:sz w:val="20"/>
                <w:szCs w:val="20"/>
                <w:color w:val="auto"/>
              </w:rPr>
            </w:pPr>
            <w:r>
              <w:rPr>
                <w:rFonts w:ascii="Arial" w:cs="Arial" w:eastAsia="Arial" w:hAnsi="Arial"/>
                <w:sz w:val="16"/>
                <w:szCs w:val="16"/>
                <w:color w:val="auto"/>
              </w:rPr>
              <w:t>228,266,424</w:t>
            </w:r>
          </w:p>
        </w:tc>
        <w:tc>
          <w:tcPr>
            <w:tcW w:w="4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60"/>
              <w:spacing w:after="0" w:line="173" w:lineRule="exact"/>
              <w:rPr>
                <w:sz w:val="20"/>
                <w:szCs w:val="20"/>
                <w:color w:val="auto"/>
              </w:rPr>
            </w:pPr>
            <w:r>
              <w:rPr>
                <w:rFonts w:ascii="Arial" w:cs="Arial" w:eastAsia="Arial" w:hAnsi="Arial"/>
                <w:sz w:val="16"/>
                <w:szCs w:val="16"/>
                <w:color w:val="auto"/>
              </w:rPr>
              <w:t>221,111,706</w:t>
            </w:r>
          </w:p>
        </w:tc>
        <w:tc>
          <w:tcPr>
            <w:tcW w:w="0" w:type="dxa"/>
            <w:vAlign w:val="bottom"/>
          </w:tcPr>
          <w:p>
            <w:pPr>
              <w:spacing w:after="0"/>
              <w:rPr>
                <w:sz w:val="1"/>
                <w:szCs w:val="1"/>
                <w:color w:val="auto"/>
              </w:rPr>
            </w:pPr>
          </w:p>
        </w:tc>
      </w:tr>
      <w:tr>
        <w:trPr>
          <w:trHeight w:val="740"/>
        </w:trPr>
        <w:tc>
          <w:tcPr>
            <w:tcW w:w="262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640" w:type="dxa"/>
            <w:vAlign w:val="bottom"/>
          </w:tcPr>
          <w:p>
            <w:pPr>
              <w:jc w:val="center"/>
              <w:spacing w:after="0"/>
              <w:rPr>
                <w:sz w:val="20"/>
                <w:szCs w:val="20"/>
                <w:color w:val="auto"/>
              </w:rPr>
            </w:pPr>
            <w:r>
              <w:rPr>
                <w:rFonts w:ascii="Arial" w:cs="Arial" w:eastAsia="Arial" w:hAnsi="Arial"/>
                <w:sz w:val="16"/>
                <w:szCs w:val="16"/>
                <w:color w:val="auto"/>
              </w:rPr>
              <w:t>16</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620" w:type="dxa"/>
            <w:vAlign w:val="bottom"/>
          </w:tcPr>
          <w:p>
            <w:pPr>
              <w:spacing w:after="0"/>
              <w:rPr>
                <w:sz w:val="20"/>
                <w:szCs w:val="20"/>
                <w:color w:val="auto"/>
              </w:rPr>
            </w:pPr>
            <w:r>
              <w:rPr>
                <w:rFonts w:ascii="Arial" w:cs="Arial" w:eastAsia="Arial" w:hAnsi="Arial"/>
                <w:sz w:val="16"/>
                <w:szCs w:val="16"/>
                <w:color w:val="auto"/>
              </w:rPr>
              <w:t>Equity attributable to Credicorp's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20" w:type="dxa"/>
            <w:vAlign w:val="bottom"/>
          </w:tcPr>
          <w:p>
            <w:pPr>
              <w:spacing w:after="0"/>
              <w:rPr>
                <w:sz w:val="20"/>
                <w:szCs w:val="20"/>
                <w:color w:val="auto"/>
              </w:rPr>
            </w:pPr>
            <w:r>
              <w:rPr>
                <w:rFonts w:ascii="Arial" w:cs="Arial" w:eastAsia="Arial" w:hAnsi="Arial"/>
                <w:sz w:val="16"/>
                <w:szCs w:val="16"/>
                <w:color w:val="auto"/>
              </w:rPr>
              <w:t>equity holders:</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620" w:type="dxa"/>
            <w:vAlign w:val="bottom"/>
          </w:tcPr>
          <w:p>
            <w:pPr>
              <w:spacing w:after="0"/>
              <w:rPr>
                <w:sz w:val="20"/>
                <w:szCs w:val="20"/>
                <w:color w:val="auto"/>
              </w:rPr>
            </w:pPr>
            <w:r>
              <w:rPr>
                <w:rFonts w:ascii="Arial" w:cs="Arial" w:eastAsia="Arial" w:hAnsi="Arial"/>
                <w:sz w:val="16"/>
                <w:szCs w:val="16"/>
                <w:color w:val="auto"/>
              </w:rPr>
              <w:t>Capital stock</w:t>
            </w:r>
          </w:p>
        </w:tc>
        <w:tc>
          <w:tcPr>
            <w:tcW w:w="6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1,318,993</w:t>
            </w:r>
          </w:p>
        </w:tc>
        <w:tc>
          <w:tcPr>
            <w:tcW w:w="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1,318,993</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Treasury stock</w:t>
            </w:r>
          </w:p>
        </w:tc>
        <w:tc>
          <w:tcPr>
            <w:tcW w:w="640" w:type="dxa"/>
            <w:vAlign w:val="bottom"/>
          </w:tcPr>
          <w:p>
            <w:pPr>
              <w:spacing w:after="0"/>
              <w:rPr>
                <w:sz w:val="15"/>
                <w:szCs w:val="15"/>
                <w:color w:val="auto"/>
              </w:rPr>
            </w:pPr>
          </w:p>
        </w:tc>
        <w:tc>
          <w:tcPr>
            <w:tcW w:w="10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(209,845)</w:t>
            </w:r>
          </w:p>
        </w:tc>
        <w:tc>
          <w:tcPr>
            <w:tcW w:w="40" w:type="dxa"/>
            <w:vAlign w:val="bottom"/>
          </w:tcPr>
          <w:p>
            <w:pPr>
              <w:spacing w:after="0"/>
              <w:rPr>
                <w:sz w:val="15"/>
                <w:szCs w:val="15"/>
                <w:color w:val="auto"/>
              </w:rPr>
            </w:pPr>
          </w:p>
        </w:tc>
        <w:tc>
          <w:tcPr>
            <w:tcW w:w="10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(208,879)</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Capital surplus</w:t>
            </w:r>
          </w:p>
        </w:tc>
        <w:tc>
          <w:tcPr>
            <w:tcW w:w="6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148,729</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176,307</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Reserves</w:t>
            </w:r>
          </w:p>
        </w:tc>
        <w:tc>
          <w:tcPr>
            <w:tcW w:w="6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29,648,582</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27,202,665</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color w:val="auto"/>
              </w:rPr>
              <w:t>Other reserves</w:t>
            </w:r>
          </w:p>
        </w:tc>
        <w:tc>
          <w:tcPr>
            <w:tcW w:w="6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544,767</w:t>
            </w:r>
          </w:p>
        </w:tc>
        <w:tc>
          <w:tcPr>
            <w:tcW w:w="40" w:type="dxa"/>
            <w:vAlign w:val="bottom"/>
          </w:tcPr>
          <w:p>
            <w:pPr>
              <w:spacing w:after="0"/>
              <w:rPr>
                <w:sz w:val="15"/>
                <w:szCs w:val="15"/>
                <w:color w:val="auto"/>
              </w:rPr>
            </w:pP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214,627</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6"/>
                <w:szCs w:val="16"/>
                <w:color w:val="auto"/>
              </w:rPr>
              <w:t>Retained earnings</w:t>
            </w:r>
          </w:p>
        </w:tc>
        <w:tc>
          <w:tcPr>
            <w:tcW w:w="64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6,915,724</w:t>
            </w:r>
          </w:p>
        </w:tc>
        <w:tc>
          <w:tcPr>
            <w:tcW w:w="4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5,642,738</w:t>
            </w:r>
          </w:p>
        </w:tc>
        <w:tc>
          <w:tcPr>
            <w:tcW w:w="0" w:type="dxa"/>
            <w:vAlign w:val="bottom"/>
          </w:tcPr>
          <w:p>
            <w:pPr>
              <w:spacing w:after="0"/>
              <w:rPr>
                <w:sz w:val="1"/>
                <w:szCs w:val="1"/>
                <w:color w:val="auto"/>
              </w:rPr>
            </w:pPr>
          </w:p>
        </w:tc>
      </w:tr>
      <w:tr>
        <w:trPr>
          <w:trHeight w:val="168"/>
        </w:trPr>
        <w:tc>
          <w:tcPr>
            <w:tcW w:w="262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640" w:type="dxa"/>
            <w:vAlign w:val="bottom"/>
          </w:tcPr>
          <w:p>
            <w:pPr>
              <w:spacing w:after="0"/>
              <w:rPr>
                <w:sz w:val="14"/>
                <w:szCs w:val="14"/>
                <w:color w:val="auto"/>
              </w:rPr>
            </w:pPr>
          </w:p>
        </w:tc>
        <w:tc>
          <w:tcPr>
            <w:tcW w:w="1020" w:type="dxa"/>
            <w:vAlign w:val="bottom"/>
            <w:gridSpan w:val="2"/>
          </w:tcPr>
          <w:p>
            <w:pPr>
              <w:jc w:val="right"/>
              <w:ind w:right="60"/>
              <w:spacing w:after="0" w:line="168" w:lineRule="exact"/>
              <w:rPr>
                <w:sz w:val="20"/>
                <w:szCs w:val="20"/>
                <w:color w:val="auto"/>
              </w:rPr>
            </w:pPr>
            <w:r>
              <w:rPr>
                <w:rFonts w:ascii="Arial" w:cs="Arial" w:eastAsia="Arial" w:hAnsi="Arial"/>
                <w:sz w:val="16"/>
                <w:szCs w:val="16"/>
                <w:color w:val="auto"/>
              </w:rPr>
              <w:t>38,366,950</w:t>
            </w:r>
          </w:p>
        </w:tc>
        <w:tc>
          <w:tcPr>
            <w:tcW w:w="40" w:type="dxa"/>
            <w:vAlign w:val="bottom"/>
          </w:tcPr>
          <w:p>
            <w:pPr>
              <w:spacing w:after="0"/>
              <w:rPr>
                <w:sz w:val="14"/>
                <w:szCs w:val="14"/>
                <w:color w:val="auto"/>
              </w:rPr>
            </w:pPr>
          </w:p>
        </w:tc>
        <w:tc>
          <w:tcPr>
            <w:tcW w:w="1020" w:type="dxa"/>
            <w:vAlign w:val="bottom"/>
            <w:gridSpan w:val="2"/>
          </w:tcPr>
          <w:p>
            <w:pPr>
              <w:jc w:val="right"/>
              <w:ind w:right="60"/>
              <w:spacing w:after="0" w:line="168" w:lineRule="exact"/>
              <w:rPr>
                <w:sz w:val="20"/>
                <w:szCs w:val="20"/>
                <w:color w:val="auto"/>
              </w:rPr>
            </w:pPr>
            <w:r>
              <w:rPr>
                <w:rFonts w:ascii="Arial" w:cs="Arial" w:eastAsia="Arial" w:hAnsi="Arial"/>
                <w:sz w:val="16"/>
                <w:szCs w:val="16"/>
                <w:color w:val="auto"/>
              </w:rPr>
              <w:t>34,346,451</w:t>
            </w: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Borders>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729,159</w:t>
            </w:r>
          </w:p>
        </w:tc>
        <w:tc>
          <w:tcPr>
            <w:tcW w:w="40" w:type="dxa"/>
            <w:vAlign w:val="bottom"/>
          </w:tcPr>
          <w:p>
            <w:pPr>
              <w:spacing w:after="0"/>
              <w:rPr>
                <w:sz w:val="16"/>
                <w:szCs w:val="16"/>
                <w:color w:val="auto"/>
              </w:rPr>
            </w:pPr>
          </w:p>
        </w:tc>
        <w:tc>
          <w:tcPr>
            <w:tcW w:w="1020" w:type="dxa"/>
            <w:vAlign w:val="bottom"/>
            <w:tcBorders>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630,783</w:t>
            </w: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6"/>
                <w:szCs w:val="16"/>
                <w:b w:val="1"/>
                <w:bCs w:val="1"/>
                <w:color w:val="auto"/>
              </w:rPr>
              <w:t>Total equity</w:t>
            </w:r>
          </w:p>
        </w:tc>
        <w:tc>
          <w:tcPr>
            <w:tcW w:w="64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39,096,109</w:t>
            </w:r>
          </w:p>
        </w:tc>
        <w:tc>
          <w:tcPr>
            <w:tcW w:w="4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34,977,234</w:t>
            </w:r>
          </w:p>
        </w:tc>
        <w:tc>
          <w:tcPr>
            <w:tcW w:w="0" w:type="dxa"/>
            <w:vAlign w:val="bottom"/>
          </w:tcPr>
          <w:p>
            <w:pPr>
              <w:spacing w:after="0"/>
              <w:rPr>
                <w:sz w:val="1"/>
                <w:szCs w:val="1"/>
                <w:color w:val="auto"/>
              </w:rPr>
            </w:pPr>
          </w:p>
        </w:tc>
      </w:tr>
      <w:tr>
        <w:trPr>
          <w:trHeight w:val="547"/>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Total liabilities and equity</w:t>
            </w:r>
          </w:p>
        </w:tc>
        <w:tc>
          <w:tcPr>
            <w:tcW w:w="6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6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60"/>
              <w:spacing w:after="0" w:line="173" w:lineRule="exact"/>
              <w:rPr>
                <w:sz w:val="20"/>
                <w:szCs w:val="20"/>
                <w:color w:val="auto"/>
              </w:rPr>
            </w:pPr>
            <w:r>
              <w:rPr>
                <w:rFonts w:ascii="Arial" w:cs="Arial" w:eastAsia="Arial" w:hAnsi="Arial"/>
                <w:sz w:val="16"/>
                <w:szCs w:val="16"/>
                <w:color w:val="auto"/>
              </w:rPr>
              <w:t>267,362,533</w:t>
            </w:r>
          </w:p>
        </w:tc>
        <w:tc>
          <w:tcPr>
            <w:tcW w:w="4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60"/>
              <w:spacing w:after="0" w:line="173" w:lineRule="exact"/>
              <w:rPr>
                <w:sz w:val="20"/>
                <w:szCs w:val="20"/>
                <w:color w:val="auto"/>
              </w:rPr>
            </w:pPr>
            <w:r>
              <w:rPr>
                <w:rFonts w:ascii="Arial" w:cs="Arial" w:eastAsia="Arial" w:hAnsi="Arial"/>
                <w:sz w:val="16"/>
                <w:szCs w:val="16"/>
                <w:color w:val="auto"/>
              </w:rPr>
              <w:t>256,088,940</w:t>
            </w:r>
          </w:p>
        </w:tc>
        <w:tc>
          <w:tcPr>
            <w:tcW w:w="0" w:type="dxa"/>
            <w:vAlign w:val="bottom"/>
          </w:tcPr>
          <w:p>
            <w:pPr>
              <w:spacing w:after="0"/>
              <w:rPr>
                <w:sz w:val="1"/>
                <w:szCs w:val="1"/>
                <w:color w:val="auto"/>
              </w:rPr>
            </w:pPr>
          </w:p>
        </w:tc>
      </w:tr>
    </w:tbl>
    <w:p>
      <w:pPr>
        <w:spacing w:after="0" w:line="489" w:lineRule="exact"/>
        <w:rPr>
          <w:sz w:val="20"/>
          <w:szCs w:val="20"/>
          <w:color w:val="auto"/>
        </w:rPr>
      </w:pPr>
    </w:p>
    <w:p>
      <w:pPr>
        <w:sectPr>
          <w:pgSz w:w="11900" w:h="16838" w:orient="portrait"/>
          <w:cols w:equalWidth="0" w:num="2">
            <w:col w:w="5380" w:space="520"/>
            <w:col w:w="5340"/>
          </w:cols>
          <w:pgMar w:left="320" w:top="316" w:right="339" w:bottom="1440" w:gutter="0" w:footer="0" w:header="0"/>
        </w:sect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600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21"/>
        </w:trPr>
        <w:tc>
          <w:tcPr>
            <w:tcW w:w="6000" w:type="dxa"/>
            <w:vAlign w:val="bottom"/>
          </w:tcPr>
          <w:p>
            <w:pPr>
              <w:spacing w:after="0"/>
              <w:rPr>
                <w:sz w:val="20"/>
                <w:szCs w:val="20"/>
                <w:color w:val="auto"/>
              </w:rPr>
            </w:pPr>
            <w:r>
              <w:rPr>
                <w:rFonts w:ascii="Arial" w:cs="Arial" w:eastAsia="Arial" w:hAnsi="Arial"/>
                <w:sz w:val="16"/>
                <w:szCs w:val="16"/>
                <w:color w:val="auto"/>
              </w:rPr>
              <w:t>CONSOLIDATED STATEMENT OF INCOME</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6"/>
                <w:szCs w:val="16"/>
                <w:color w:val="auto"/>
              </w:rPr>
              <w:t>FOR THE YEARS ENDED DECEMBER 31, 2025, 2024 AND 2023</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58"/>
        </w:trPr>
        <w:tc>
          <w:tcPr>
            <w:tcW w:w="60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6"/>
                <w:szCs w:val="16"/>
                <w:b w:val="1"/>
                <w:bCs w:val="1"/>
                <w:color w:val="auto"/>
              </w:rPr>
              <w:t>Note</w:t>
            </w:r>
          </w:p>
        </w:tc>
        <w:tc>
          <w:tcPr>
            <w:tcW w:w="1220" w:type="dxa"/>
            <w:vAlign w:val="bottom"/>
          </w:tcPr>
          <w:p>
            <w:pPr>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r>
      <w:tr>
        <w:trPr>
          <w:trHeight w:val="214"/>
        </w:trPr>
        <w:tc>
          <w:tcPr>
            <w:tcW w:w="6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r>
      <w:tr>
        <w:trPr>
          <w:trHeight w:val="305"/>
        </w:trPr>
        <w:tc>
          <w:tcPr>
            <w:tcW w:w="6000" w:type="dxa"/>
            <w:vAlign w:val="bottom"/>
          </w:tcPr>
          <w:p>
            <w:pPr>
              <w:ind w:left="40"/>
              <w:spacing w:after="0"/>
              <w:rPr>
                <w:sz w:val="20"/>
                <w:szCs w:val="20"/>
                <w:color w:val="auto"/>
              </w:rPr>
            </w:pPr>
            <w:r>
              <w:rPr>
                <w:rFonts w:ascii="Arial" w:cs="Arial" w:eastAsia="Arial" w:hAnsi="Arial"/>
                <w:sz w:val="16"/>
                <w:szCs w:val="16"/>
                <w:color w:val="auto"/>
              </w:rPr>
              <w:t>Interest and similar income</w:t>
            </w:r>
          </w:p>
        </w:tc>
        <w:tc>
          <w:tcPr>
            <w:tcW w:w="1020" w:type="dxa"/>
            <w:vAlign w:val="bottom"/>
          </w:tcPr>
          <w:p>
            <w:pPr>
              <w:jc w:val="center"/>
              <w:spacing w:after="0"/>
              <w:rPr>
                <w:sz w:val="20"/>
                <w:szCs w:val="20"/>
                <w:color w:val="auto"/>
              </w:rPr>
            </w:pPr>
            <w:r>
              <w:rPr>
                <w:rFonts w:ascii="Arial" w:cs="Arial" w:eastAsia="Arial" w:hAnsi="Arial"/>
                <w:sz w:val="16"/>
                <w:szCs w:val="16"/>
                <w:color w:val="auto"/>
              </w:rPr>
              <w:t>19</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19,930,169</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19,869,256</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18,798,495</w:t>
            </w:r>
          </w:p>
        </w:tc>
      </w:tr>
      <w:tr>
        <w:trPr>
          <w:trHeight w:val="210"/>
        </w:trPr>
        <w:tc>
          <w:tcPr>
            <w:tcW w:w="6000" w:type="dxa"/>
            <w:vAlign w:val="bottom"/>
          </w:tcPr>
          <w:p>
            <w:pPr>
              <w:ind w:left="40"/>
              <w:spacing w:after="0"/>
              <w:rPr>
                <w:sz w:val="20"/>
                <w:szCs w:val="20"/>
                <w:color w:val="auto"/>
              </w:rPr>
            </w:pPr>
            <w:r>
              <w:rPr>
                <w:rFonts w:ascii="Arial" w:cs="Arial" w:eastAsia="Arial" w:hAnsi="Arial"/>
                <w:sz w:val="16"/>
                <w:szCs w:val="16"/>
                <w:color w:val="auto"/>
              </w:rPr>
              <w:t>Interest and similar expenses</w:t>
            </w:r>
          </w:p>
        </w:tc>
        <w:tc>
          <w:tcPr>
            <w:tcW w:w="1020" w:type="dxa"/>
            <w:vAlign w:val="bottom"/>
          </w:tcPr>
          <w:p>
            <w:pPr>
              <w:jc w:val="center"/>
              <w:spacing w:after="0"/>
              <w:rPr>
                <w:sz w:val="20"/>
                <w:szCs w:val="20"/>
                <w:color w:val="auto"/>
              </w:rPr>
            </w:pPr>
            <w:r>
              <w:rPr>
                <w:rFonts w:ascii="Arial" w:cs="Arial" w:eastAsia="Arial" w:hAnsi="Arial"/>
                <w:sz w:val="16"/>
                <w:szCs w:val="16"/>
                <w:color w:val="auto"/>
              </w:rPr>
              <w:t>19</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(5,213,690)</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(5,754,125)</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(5,860,523)</w:t>
            </w:r>
          </w:p>
        </w:tc>
      </w:tr>
      <w:tr>
        <w:trPr>
          <w:trHeight w:val="206"/>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Net interest, similar income and expenses</w:t>
            </w:r>
          </w:p>
        </w:tc>
        <w:tc>
          <w:tcPr>
            <w:tcW w:w="102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14,716,479</w:t>
            </w: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14,115,131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12,937,972</w:t>
            </w:r>
          </w:p>
        </w:tc>
      </w:tr>
      <w:tr>
        <w:trPr>
          <w:trHeight w:val="313"/>
        </w:trPr>
        <w:tc>
          <w:tcPr>
            <w:tcW w:w="6000" w:type="dxa"/>
            <w:vAlign w:val="bottom"/>
          </w:tcPr>
          <w:p>
            <w:pPr>
              <w:ind w:left="40"/>
              <w:spacing w:after="0"/>
              <w:rPr>
                <w:sz w:val="20"/>
                <w:szCs w:val="20"/>
                <w:color w:val="auto"/>
              </w:rPr>
            </w:pPr>
            <w:r>
              <w:rPr>
                <w:rFonts w:ascii="Arial" w:cs="Arial" w:eastAsia="Arial" w:hAnsi="Arial"/>
                <w:sz w:val="16"/>
                <w:szCs w:val="16"/>
                <w:color w:val="auto"/>
              </w:rPr>
              <w:t>Provision for credit losses on loan portfolio</w:t>
            </w:r>
          </w:p>
        </w:tc>
        <w:tc>
          <w:tcPr>
            <w:tcW w:w="1020" w:type="dxa"/>
            <w:vAlign w:val="bottom"/>
          </w:tcPr>
          <w:p>
            <w:pPr>
              <w:jc w:val="center"/>
              <w:spacing w:after="0"/>
              <w:rPr>
                <w:sz w:val="20"/>
                <w:szCs w:val="20"/>
                <w:color w:val="auto"/>
              </w:rPr>
            </w:pPr>
            <w:r>
              <w:rPr>
                <w:rFonts w:ascii="Arial" w:cs="Arial" w:eastAsia="Arial" w:hAnsi="Arial"/>
                <w:sz w:val="16"/>
                <w:szCs w:val="16"/>
                <w:color w:val="auto"/>
              </w:rPr>
              <w:t>7(c)</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(2,873,454)</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(3,943,301)</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(3,957,143)</w:t>
            </w:r>
          </w:p>
        </w:tc>
      </w:tr>
      <w:tr>
        <w:trPr>
          <w:trHeight w:val="202"/>
        </w:trPr>
        <w:tc>
          <w:tcPr>
            <w:tcW w:w="6000" w:type="dxa"/>
            <w:vAlign w:val="bottom"/>
          </w:tcPr>
          <w:p>
            <w:pPr>
              <w:ind w:left="40"/>
              <w:spacing w:after="0"/>
              <w:rPr>
                <w:sz w:val="20"/>
                <w:szCs w:val="20"/>
                <w:color w:val="auto"/>
              </w:rPr>
            </w:pPr>
            <w:r>
              <w:rPr>
                <w:rFonts w:ascii="Arial" w:cs="Arial" w:eastAsia="Arial" w:hAnsi="Arial"/>
                <w:sz w:val="16"/>
                <w:szCs w:val="16"/>
                <w:color w:val="auto"/>
              </w:rPr>
              <w:t>Recoveries of written-off loans</w:t>
            </w:r>
          </w:p>
        </w:tc>
        <w:tc>
          <w:tcPr>
            <w:tcW w:w="10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467,198</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423,854</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334,798</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Provision for credit losses on loan portfolio, net of recoveries</w:t>
            </w:r>
          </w:p>
        </w:tc>
        <w:tc>
          <w:tcPr>
            <w:tcW w:w="102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(2,406,256)</w:t>
            </w:r>
          </w:p>
        </w:tc>
        <w:tc>
          <w:tcPr>
            <w:tcW w:w="10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(3,519,447)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(3,622,345)</w:t>
            </w:r>
          </w:p>
        </w:tc>
      </w:tr>
      <w:tr>
        <w:trPr>
          <w:trHeight w:val="337"/>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Net interest, similar income and expenses, after provision for credit losses</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on loan portfolio</w:t>
            </w:r>
          </w:p>
        </w:tc>
        <w:tc>
          <w:tcPr>
            <w:tcW w:w="10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12,310,223</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10,595,684</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9,315,627</w:t>
            </w:r>
          </w:p>
        </w:tc>
      </w:tr>
      <w:tr>
        <w:trPr>
          <w:trHeight w:val="337"/>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10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Commissions and fees</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rPr>
              <w:t>20</w:t>
            </w: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4,199,719</w:t>
            </w:r>
          </w:p>
        </w:tc>
        <w:tc>
          <w:tcPr>
            <w:tcW w:w="144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4,052,103</w:t>
            </w:r>
          </w:p>
        </w:tc>
        <w:tc>
          <w:tcPr>
            <w:tcW w:w="1460" w:type="dxa"/>
            <w:vAlign w:val="bottom"/>
            <w:gridSpan w:val="4"/>
          </w:tcPr>
          <w:p>
            <w:pPr>
              <w:jc w:val="right"/>
              <w:ind w:right="120"/>
              <w:spacing w:after="0" w:line="181" w:lineRule="exact"/>
              <w:rPr>
                <w:sz w:val="20"/>
                <w:szCs w:val="20"/>
                <w:color w:val="auto"/>
              </w:rPr>
            </w:pPr>
            <w:r>
              <w:rPr>
                <w:rFonts w:ascii="Arial" w:cs="Arial" w:eastAsia="Arial" w:hAnsi="Arial"/>
                <w:sz w:val="16"/>
                <w:szCs w:val="16"/>
                <w:color w:val="auto"/>
              </w:rPr>
              <w:t>3,804,459</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Net gain on foreign exchange transactions</w:t>
            </w:r>
          </w:p>
        </w:tc>
        <w:tc>
          <w:tcPr>
            <w:tcW w:w="1020" w:type="dxa"/>
            <w:vAlign w:val="bottom"/>
          </w:tcPr>
          <w:p>
            <w:pPr>
              <w:spacing w:after="0"/>
              <w:rPr>
                <w:sz w:val="15"/>
                <w:szCs w:val="15"/>
                <w:color w:val="auto"/>
              </w:rPr>
            </w:pP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1,542,318</w:t>
            </w:r>
          </w:p>
        </w:tc>
        <w:tc>
          <w:tcPr>
            <w:tcW w:w="144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1,359,805</w:t>
            </w:r>
          </w:p>
        </w:tc>
        <w:tc>
          <w:tcPr>
            <w:tcW w:w="1460" w:type="dxa"/>
            <w:vAlign w:val="bottom"/>
            <w:gridSpan w:val="4"/>
          </w:tcPr>
          <w:p>
            <w:pPr>
              <w:jc w:val="right"/>
              <w:ind w:right="120"/>
              <w:spacing w:after="0" w:line="181" w:lineRule="exact"/>
              <w:rPr>
                <w:sz w:val="20"/>
                <w:szCs w:val="20"/>
                <w:color w:val="auto"/>
              </w:rPr>
            </w:pPr>
            <w:r>
              <w:rPr>
                <w:rFonts w:ascii="Arial" w:cs="Arial" w:eastAsia="Arial" w:hAnsi="Arial"/>
                <w:sz w:val="16"/>
                <w:szCs w:val="16"/>
                <w:color w:val="auto"/>
              </w:rPr>
              <w:t>886,126</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Net gain on securities</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rPr>
              <w:t>21</w:t>
            </w: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400,686</w:t>
            </w:r>
          </w:p>
        </w:tc>
        <w:tc>
          <w:tcPr>
            <w:tcW w:w="144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362,295</w:t>
            </w:r>
          </w:p>
        </w:tc>
        <w:tc>
          <w:tcPr>
            <w:tcW w:w="1460" w:type="dxa"/>
            <w:vAlign w:val="bottom"/>
            <w:gridSpan w:val="4"/>
          </w:tcPr>
          <w:p>
            <w:pPr>
              <w:jc w:val="right"/>
              <w:ind w:right="120"/>
              <w:spacing w:after="0" w:line="181" w:lineRule="exact"/>
              <w:rPr>
                <w:sz w:val="20"/>
                <w:szCs w:val="20"/>
                <w:color w:val="auto"/>
              </w:rPr>
            </w:pPr>
            <w:r>
              <w:rPr>
                <w:rFonts w:ascii="Arial" w:cs="Arial" w:eastAsia="Arial" w:hAnsi="Arial"/>
                <w:sz w:val="16"/>
                <w:szCs w:val="16"/>
                <w:color w:val="auto"/>
              </w:rPr>
              <w:t>425,144</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Net gain on derivatives held for trading</w:t>
            </w:r>
          </w:p>
        </w:tc>
        <w:tc>
          <w:tcPr>
            <w:tcW w:w="1020" w:type="dxa"/>
            <w:vAlign w:val="bottom"/>
          </w:tcPr>
          <w:p>
            <w:pPr>
              <w:spacing w:after="0"/>
              <w:rPr>
                <w:sz w:val="15"/>
                <w:szCs w:val="15"/>
                <w:color w:val="auto"/>
              </w:rPr>
            </w:pP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51,917</w:t>
            </w:r>
          </w:p>
        </w:tc>
        <w:tc>
          <w:tcPr>
            <w:tcW w:w="144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156,195</w:t>
            </w:r>
          </w:p>
        </w:tc>
        <w:tc>
          <w:tcPr>
            <w:tcW w:w="1460" w:type="dxa"/>
            <w:vAlign w:val="bottom"/>
            <w:gridSpan w:val="4"/>
          </w:tcPr>
          <w:p>
            <w:pPr>
              <w:jc w:val="right"/>
              <w:ind w:right="120"/>
              <w:spacing w:after="0" w:line="181" w:lineRule="exact"/>
              <w:rPr>
                <w:sz w:val="20"/>
                <w:szCs w:val="20"/>
                <w:color w:val="auto"/>
              </w:rPr>
            </w:pPr>
            <w:r>
              <w:rPr>
                <w:rFonts w:ascii="Arial" w:cs="Arial" w:eastAsia="Arial" w:hAnsi="Arial"/>
                <w:sz w:val="16"/>
                <w:szCs w:val="16"/>
                <w:color w:val="auto"/>
              </w:rPr>
              <w:t>53,665</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Net exchange difference result</w:t>
            </w:r>
          </w:p>
        </w:tc>
        <w:tc>
          <w:tcPr>
            <w:tcW w:w="1020" w:type="dxa"/>
            <w:vAlign w:val="bottom"/>
          </w:tcPr>
          <w:p>
            <w:pPr>
              <w:spacing w:after="0"/>
              <w:rPr>
                <w:sz w:val="15"/>
                <w:szCs w:val="15"/>
                <w:color w:val="auto"/>
              </w:rPr>
            </w:pP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41,991</w:t>
            </w:r>
          </w:p>
        </w:tc>
        <w:tc>
          <w:tcPr>
            <w:tcW w:w="144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(41,058)</w:t>
            </w:r>
          </w:p>
        </w:tc>
        <w:tc>
          <w:tcPr>
            <w:tcW w:w="1460" w:type="dxa"/>
            <w:vAlign w:val="bottom"/>
            <w:gridSpan w:val="4"/>
          </w:tcPr>
          <w:p>
            <w:pPr>
              <w:jc w:val="right"/>
              <w:ind w:right="120"/>
              <w:spacing w:after="0" w:line="181" w:lineRule="exact"/>
              <w:rPr>
                <w:sz w:val="20"/>
                <w:szCs w:val="20"/>
                <w:color w:val="auto"/>
              </w:rPr>
            </w:pPr>
            <w:r>
              <w:rPr>
                <w:rFonts w:ascii="Arial" w:cs="Arial" w:eastAsia="Arial" w:hAnsi="Arial"/>
                <w:sz w:val="16"/>
                <w:szCs w:val="16"/>
                <w:color w:val="auto"/>
              </w:rPr>
              <w:t>45,778</w:t>
            </w:r>
          </w:p>
        </w:tc>
      </w:tr>
      <w:tr>
        <w:trPr>
          <w:trHeight w:val="202"/>
        </w:trPr>
        <w:tc>
          <w:tcPr>
            <w:tcW w:w="6000" w:type="dxa"/>
            <w:vAlign w:val="bottom"/>
          </w:tcPr>
          <w:p>
            <w:pPr>
              <w:ind w:left="40"/>
              <w:spacing w:after="0"/>
              <w:rPr>
                <w:sz w:val="20"/>
                <w:szCs w:val="20"/>
                <w:color w:val="auto"/>
              </w:rPr>
            </w:pPr>
            <w:r>
              <w:rPr>
                <w:rFonts w:ascii="Arial" w:cs="Arial" w:eastAsia="Arial" w:hAnsi="Arial"/>
                <w:sz w:val="16"/>
                <w:szCs w:val="16"/>
                <w:color w:val="auto"/>
              </w:rPr>
              <w:t>Others</w:t>
            </w:r>
          </w:p>
        </w:tc>
        <w:tc>
          <w:tcPr>
            <w:tcW w:w="1020" w:type="dxa"/>
            <w:vAlign w:val="bottom"/>
          </w:tcPr>
          <w:p>
            <w:pPr>
              <w:jc w:val="center"/>
              <w:spacing w:after="0"/>
              <w:rPr>
                <w:sz w:val="20"/>
                <w:szCs w:val="20"/>
                <w:color w:val="auto"/>
              </w:rPr>
            </w:pPr>
            <w:r>
              <w:rPr>
                <w:rFonts w:ascii="Arial" w:cs="Arial" w:eastAsia="Arial" w:hAnsi="Arial"/>
                <w:sz w:val="16"/>
                <w:szCs w:val="16"/>
                <w:color w:val="auto"/>
              </w:rPr>
              <w:t>25</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584,648</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514,779</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440,653</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Total other income</w:t>
            </w:r>
          </w:p>
        </w:tc>
        <w:tc>
          <w:tcPr>
            <w:tcW w:w="102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120"/>
              <w:spacing w:after="0" w:line="181" w:lineRule="exact"/>
              <w:rPr>
                <w:sz w:val="20"/>
                <w:szCs w:val="20"/>
                <w:color w:val="auto"/>
              </w:rPr>
            </w:pPr>
            <w:r>
              <w:rPr>
                <w:rFonts w:ascii="Arial" w:cs="Arial" w:eastAsia="Arial" w:hAnsi="Arial"/>
                <w:sz w:val="16"/>
                <w:szCs w:val="16"/>
                <w:color w:val="auto"/>
              </w:rPr>
              <w:t>6,821,279</w:t>
            </w:r>
          </w:p>
        </w:tc>
        <w:tc>
          <w:tcPr>
            <w:tcW w:w="10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100"/>
              <w:spacing w:after="0" w:line="181" w:lineRule="exact"/>
              <w:rPr>
                <w:sz w:val="20"/>
                <w:szCs w:val="20"/>
                <w:color w:val="auto"/>
              </w:rPr>
            </w:pPr>
            <w:r>
              <w:rPr>
                <w:rFonts w:ascii="Arial" w:cs="Arial" w:eastAsia="Arial" w:hAnsi="Arial"/>
                <w:sz w:val="16"/>
                <w:szCs w:val="16"/>
                <w:color w:val="auto"/>
              </w:rPr>
              <w:t>6,404,119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120"/>
              <w:spacing w:after="0" w:line="181" w:lineRule="exact"/>
              <w:rPr>
                <w:sz w:val="20"/>
                <w:szCs w:val="20"/>
                <w:color w:val="auto"/>
              </w:rPr>
            </w:pPr>
            <w:r>
              <w:rPr>
                <w:rFonts w:ascii="Arial" w:cs="Arial" w:eastAsia="Arial" w:hAnsi="Arial"/>
                <w:sz w:val="16"/>
                <w:szCs w:val="16"/>
                <w:color w:val="auto"/>
              </w:rPr>
              <w:t>5,655,825</w:t>
            </w:r>
          </w:p>
        </w:tc>
      </w:tr>
      <w:tr>
        <w:trPr>
          <w:trHeight w:val="337"/>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Insurance and reinsurance result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Insurance service result</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rPr>
              <w:t>22</w:t>
            </w: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1,848,025</w:t>
            </w:r>
          </w:p>
        </w:tc>
        <w:tc>
          <w:tcPr>
            <w:tcW w:w="144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1,693,617</w:t>
            </w:r>
          </w:p>
        </w:tc>
        <w:tc>
          <w:tcPr>
            <w:tcW w:w="1460" w:type="dxa"/>
            <w:vAlign w:val="bottom"/>
            <w:gridSpan w:val="4"/>
          </w:tcPr>
          <w:p>
            <w:pPr>
              <w:jc w:val="right"/>
              <w:ind w:right="120"/>
              <w:spacing w:after="0" w:line="181" w:lineRule="exact"/>
              <w:rPr>
                <w:sz w:val="20"/>
                <w:szCs w:val="20"/>
                <w:color w:val="auto"/>
              </w:rPr>
            </w:pPr>
            <w:r>
              <w:rPr>
                <w:rFonts w:ascii="Arial" w:cs="Arial" w:eastAsia="Arial" w:hAnsi="Arial"/>
                <w:sz w:val="16"/>
                <w:szCs w:val="16"/>
                <w:color w:val="auto"/>
              </w:rPr>
              <w:t>1,602,421</w:t>
            </w:r>
          </w:p>
        </w:tc>
      </w:tr>
      <w:tr>
        <w:trPr>
          <w:trHeight w:val="210"/>
        </w:trPr>
        <w:tc>
          <w:tcPr>
            <w:tcW w:w="6000" w:type="dxa"/>
            <w:vAlign w:val="bottom"/>
          </w:tcPr>
          <w:p>
            <w:pPr>
              <w:ind w:left="40"/>
              <w:spacing w:after="0"/>
              <w:rPr>
                <w:sz w:val="20"/>
                <w:szCs w:val="20"/>
                <w:color w:val="auto"/>
              </w:rPr>
            </w:pPr>
            <w:r>
              <w:rPr>
                <w:rFonts w:ascii="Arial" w:cs="Arial" w:eastAsia="Arial" w:hAnsi="Arial"/>
                <w:sz w:val="16"/>
                <w:szCs w:val="16"/>
                <w:color w:val="auto"/>
              </w:rPr>
              <w:t>Reinsurance result</w:t>
            </w:r>
          </w:p>
        </w:tc>
        <w:tc>
          <w:tcPr>
            <w:tcW w:w="1020" w:type="dxa"/>
            <w:vAlign w:val="bottom"/>
          </w:tcPr>
          <w:p>
            <w:pPr>
              <w:jc w:val="center"/>
              <w:spacing w:after="0"/>
              <w:rPr>
                <w:sz w:val="20"/>
                <w:szCs w:val="20"/>
                <w:color w:val="auto"/>
              </w:rPr>
            </w:pPr>
            <w:r>
              <w:rPr>
                <w:rFonts w:ascii="Arial" w:cs="Arial" w:eastAsia="Arial" w:hAnsi="Arial"/>
                <w:sz w:val="16"/>
                <w:szCs w:val="16"/>
                <w:color w:val="auto"/>
              </w:rPr>
              <w:t>22</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(458,825)</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(494,597)</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(391,321)</w:t>
            </w:r>
          </w:p>
        </w:tc>
      </w:tr>
      <w:tr>
        <w:trPr>
          <w:trHeight w:val="206"/>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Total insurance and reinsurance result</w:t>
            </w:r>
          </w:p>
        </w:tc>
        <w:tc>
          <w:tcPr>
            <w:tcW w:w="102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1,389,200</w:t>
            </w: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1,199,020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1,211,100</w:t>
            </w:r>
          </w:p>
        </w:tc>
      </w:tr>
      <w:tr>
        <w:trPr>
          <w:trHeight w:val="313"/>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Medical services results</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Sales of medical services and medicines</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w w:val="98"/>
              </w:rPr>
              <w:t>3(d)</w:t>
            </w: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1,387,341</w:t>
            </w:r>
          </w:p>
        </w:tc>
        <w:tc>
          <w:tcPr>
            <w:tcW w:w="100" w:type="dxa"/>
            <w:vAlign w:val="bottom"/>
          </w:tcPr>
          <w:p>
            <w:pPr>
              <w:spacing w:after="0"/>
              <w:rPr>
                <w:sz w:val="15"/>
                <w:szCs w:val="15"/>
                <w:color w:val="auto"/>
              </w:rPr>
            </w:pPr>
          </w:p>
        </w:tc>
        <w:tc>
          <w:tcPr>
            <w:tcW w:w="13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r>
      <w:tr>
        <w:trPr>
          <w:trHeight w:val="202"/>
        </w:trPr>
        <w:tc>
          <w:tcPr>
            <w:tcW w:w="6000" w:type="dxa"/>
            <w:vAlign w:val="bottom"/>
          </w:tcPr>
          <w:p>
            <w:pPr>
              <w:ind w:left="40"/>
              <w:spacing w:after="0"/>
              <w:rPr>
                <w:sz w:val="20"/>
                <w:szCs w:val="20"/>
                <w:color w:val="auto"/>
              </w:rPr>
            </w:pPr>
            <w:r>
              <w:rPr>
                <w:rFonts w:ascii="Arial" w:cs="Arial" w:eastAsia="Arial" w:hAnsi="Arial"/>
                <w:sz w:val="16"/>
                <w:szCs w:val="16"/>
                <w:color w:val="auto"/>
              </w:rPr>
              <w:t>Cost of sales of medical services and medicines</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3(d)</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(972,707)</w:t>
            </w:r>
          </w:p>
        </w:tc>
        <w:tc>
          <w:tcPr>
            <w:tcW w:w="100" w:type="dxa"/>
            <w:vAlign w:val="bottom"/>
          </w:tcPr>
          <w:p>
            <w:pPr>
              <w:spacing w:after="0"/>
              <w:rPr>
                <w:sz w:val="17"/>
                <w:szCs w:val="17"/>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Total medical services results</w:t>
            </w:r>
          </w:p>
        </w:tc>
        <w:tc>
          <w:tcPr>
            <w:tcW w:w="102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120"/>
              <w:spacing w:after="0" w:line="181" w:lineRule="exact"/>
              <w:rPr>
                <w:sz w:val="20"/>
                <w:szCs w:val="20"/>
                <w:color w:val="auto"/>
              </w:rPr>
            </w:pPr>
            <w:r>
              <w:rPr>
                <w:rFonts w:ascii="Arial" w:cs="Arial" w:eastAsia="Arial" w:hAnsi="Arial"/>
                <w:sz w:val="16"/>
                <w:szCs w:val="16"/>
                <w:color w:val="auto"/>
              </w:rPr>
              <w:t>414,634</w:t>
            </w:r>
          </w:p>
        </w:tc>
        <w:tc>
          <w:tcPr>
            <w:tcW w:w="10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r>
      <w:tr>
        <w:trPr>
          <w:trHeight w:val="337"/>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Other expenses</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Salaries and employee benefits</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rPr>
              <w:t>23</w:t>
            </w:r>
          </w:p>
        </w:tc>
        <w:tc>
          <w:tcPr>
            <w:tcW w:w="13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(5,435,471)</w:t>
            </w:r>
          </w:p>
        </w:tc>
        <w:tc>
          <w:tcPr>
            <w:tcW w:w="144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(4,676,436)</w:t>
            </w:r>
          </w:p>
        </w:tc>
        <w:tc>
          <w:tcPr>
            <w:tcW w:w="14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(4,265,453)</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Administrative expenses</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rPr>
              <w:t>24</w:t>
            </w:r>
          </w:p>
        </w:tc>
        <w:tc>
          <w:tcPr>
            <w:tcW w:w="13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(4,090,784)</w:t>
            </w:r>
          </w:p>
        </w:tc>
        <w:tc>
          <w:tcPr>
            <w:tcW w:w="144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(4,183,775)</w:t>
            </w:r>
          </w:p>
        </w:tc>
        <w:tc>
          <w:tcPr>
            <w:tcW w:w="14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(3,803,203)</w:t>
            </w:r>
          </w:p>
        </w:tc>
      </w:tr>
      <w:tr>
        <w:trPr>
          <w:trHeight w:val="181"/>
        </w:trPr>
        <w:tc>
          <w:tcPr>
            <w:tcW w:w="6000" w:type="dxa"/>
            <w:vAlign w:val="bottom"/>
          </w:tcPr>
          <w:p>
            <w:pPr>
              <w:spacing w:after="0"/>
              <w:rPr>
                <w:sz w:val="15"/>
                <w:szCs w:val="15"/>
                <w:color w:val="auto"/>
              </w:rPr>
            </w:pPr>
          </w:p>
        </w:tc>
        <w:tc>
          <w:tcPr>
            <w:tcW w:w="1020" w:type="dxa"/>
            <w:vAlign w:val="bottom"/>
          </w:tcPr>
          <w:p>
            <w:pPr>
              <w:ind w:left="200"/>
              <w:spacing w:after="0" w:line="181" w:lineRule="exact"/>
              <w:rPr>
                <w:sz w:val="20"/>
                <w:szCs w:val="20"/>
                <w:color w:val="auto"/>
              </w:rPr>
            </w:pPr>
            <w:r>
              <w:rPr>
                <w:rFonts w:ascii="Arial" w:cs="Arial" w:eastAsia="Arial" w:hAnsi="Arial"/>
                <w:sz w:val="16"/>
                <w:szCs w:val="16"/>
                <w:color w:val="auto"/>
              </w:rPr>
              <w:t>9(a) and</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Depreciation and amortization</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w w:val="96"/>
              </w:rPr>
              <w:t>10(a)</w:t>
            </w:r>
          </w:p>
        </w:tc>
        <w:tc>
          <w:tcPr>
            <w:tcW w:w="13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(746,243)</w:t>
            </w:r>
          </w:p>
        </w:tc>
        <w:tc>
          <w:tcPr>
            <w:tcW w:w="144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(570,830)</w:t>
            </w:r>
          </w:p>
        </w:tc>
        <w:tc>
          <w:tcPr>
            <w:tcW w:w="14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(511,174)</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Impairment loss on goodwill</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w w:val="96"/>
              </w:rPr>
              <w:t>10(b)</w:t>
            </w: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(27,346)</w:t>
            </w:r>
          </w:p>
        </w:tc>
        <w:tc>
          <w:tcPr>
            <w:tcW w:w="14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(71,959)</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color w:val="auto"/>
              </w:rPr>
              <w:t>Depreciation of right-of-use assets</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w w:val="96"/>
              </w:rPr>
              <w:t>11(a)</w:t>
            </w:r>
          </w:p>
        </w:tc>
        <w:tc>
          <w:tcPr>
            <w:tcW w:w="13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(146,899)</w:t>
            </w:r>
          </w:p>
        </w:tc>
        <w:tc>
          <w:tcPr>
            <w:tcW w:w="144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(142,640)</w:t>
            </w:r>
          </w:p>
        </w:tc>
        <w:tc>
          <w:tcPr>
            <w:tcW w:w="14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(147,833)</w:t>
            </w:r>
          </w:p>
        </w:tc>
      </w:tr>
      <w:tr>
        <w:trPr>
          <w:trHeight w:val="202"/>
        </w:trPr>
        <w:tc>
          <w:tcPr>
            <w:tcW w:w="6000" w:type="dxa"/>
            <w:vAlign w:val="bottom"/>
          </w:tcPr>
          <w:p>
            <w:pPr>
              <w:ind w:left="40"/>
              <w:spacing w:after="0"/>
              <w:rPr>
                <w:sz w:val="20"/>
                <w:szCs w:val="20"/>
                <w:color w:val="auto"/>
              </w:rPr>
            </w:pPr>
            <w:r>
              <w:rPr>
                <w:rFonts w:ascii="Arial" w:cs="Arial" w:eastAsia="Arial" w:hAnsi="Arial"/>
                <w:sz w:val="16"/>
                <w:szCs w:val="16"/>
                <w:color w:val="auto"/>
              </w:rPr>
              <w:t>Others</w:t>
            </w:r>
          </w:p>
        </w:tc>
        <w:tc>
          <w:tcPr>
            <w:tcW w:w="1020" w:type="dxa"/>
            <w:vAlign w:val="bottom"/>
          </w:tcPr>
          <w:p>
            <w:pPr>
              <w:jc w:val="center"/>
              <w:spacing w:after="0"/>
              <w:rPr>
                <w:sz w:val="20"/>
                <w:szCs w:val="20"/>
                <w:color w:val="auto"/>
              </w:rPr>
            </w:pPr>
            <w:r>
              <w:rPr>
                <w:rFonts w:ascii="Arial" w:cs="Arial" w:eastAsia="Arial" w:hAnsi="Arial"/>
                <w:sz w:val="16"/>
                <w:szCs w:val="16"/>
                <w:color w:val="auto"/>
              </w:rPr>
              <w:t>25</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(568,386)</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(773,269)</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(534,601)</w:t>
            </w:r>
          </w:p>
        </w:tc>
      </w:tr>
      <w:tr>
        <w:trPr>
          <w:trHeight w:val="181"/>
        </w:trPr>
        <w:tc>
          <w:tcPr>
            <w:tcW w:w="600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Total other expenses</w:t>
            </w:r>
          </w:p>
        </w:tc>
        <w:tc>
          <w:tcPr>
            <w:tcW w:w="102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(10,987,783)</w:t>
            </w:r>
          </w:p>
        </w:tc>
        <w:tc>
          <w:tcPr>
            <w:tcW w:w="10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(10,374,296)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(9,334,223)</w:t>
            </w:r>
          </w:p>
        </w:tc>
      </w:tr>
      <w:tr>
        <w:trPr>
          <w:trHeight w:val="539"/>
        </w:trPr>
        <w:tc>
          <w:tcPr>
            <w:tcW w:w="6000" w:type="dxa"/>
            <w:vAlign w:val="bottom"/>
          </w:tcPr>
          <w:p>
            <w:pPr>
              <w:ind w:left="5440"/>
              <w:spacing w:after="0"/>
              <w:rPr>
                <w:sz w:val="20"/>
                <w:szCs w:val="20"/>
                <w:color w:val="auto"/>
              </w:rPr>
            </w:pPr>
            <w:r>
              <w:rPr>
                <w:rFonts w:ascii="Arial" w:cs="Arial" w:eastAsia="Arial" w:hAnsi="Arial"/>
                <w:sz w:val="16"/>
                <w:szCs w:val="16"/>
                <w:color w:val="auto"/>
              </w:rPr>
              <w:t>- 10 -</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
        </w:trPr>
        <w:tc>
          <w:tcPr>
            <w:tcW w:w="60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16" w:right="31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CONSOLIDATED STATEMENT OF INCOME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2024 AND 2023 (CONTINUED)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6"/>
                <w:szCs w:val="16"/>
                <w:b w:val="1"/>
                <w:bCs w:val="1"/>
                <w:color w:val="auto"/>
              </w:rPr>
              <w:t>Note</w:t>
            </w:r>
          </w:p>
        </w:tc>
        <w:tc>
          <w:tcPr>
            <w:tcW w:w="1220" w:type="dxa"/>
            <w:vAlign w:val="bottom"/>
          </w:tcPr>
          <w:p>
            <w:pPr>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r>
      <w:tr>
        <w:trPr>
          <w:trHeight w:val="214"/>
        </w:trPr>
        <w:tc>
          <w:tcPr>
            <w:tcW w:w="5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r>
      <w:tr>
        <w:trPr>
          <w:trHeight w:val="305"/>
        </w:trPr>
        <w:tc>
          <w:tcPr>
            <w:tcW w:w="5960" w:type="dxa"/>
            <w:vAlign w:val="bottom"/>
          </w:tcPr>
          <w:p>
            <w:pPr>
              <w:spacing w:after="0"/>
              <w:rPr>
                <w:sz w:val="20"/>
                <w:szCs w:val="20"/>
                <w:color w:val="auto"/>
              </w:rPr>
            </w:pPr>
            <w:r>
              <w:rPr>
                <w:rFonts w:ascii="Arial" w:cs="Arial" w:eastAsia="Arial" w:hAnsi="Arial"/>
                <w:sz w:val="16"/>
                <w:szCs w:val="16"/>
                <w:b w:val="1"/>
                <w:bCs w:val="1"/>
                <w:color w:val="auto"/>
              </w:rPr>
              <w:t>Net result before income tax</w:t>
            </w:r>
          </w:p>
        </w:tc>
        <w:tc>
          <w:tcPr>
            <w:tcW w:w="102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9,947,553</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7,824,527</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6,848,329</w:t>
            </w:r>
          </w:p>
        </w:tc>
      </w:tr>
      <w:tr>
        <w:trPr>
          <w:trHeight w:val="202"/>
        </w:trPr>
        <w:tc>
          <w:tcPr>
            <w:tcW w:w="5960" w:type="dxa"/>
            <w:vAlign w:val="bottom"/>
          </w:tcPr>
          <w:p>
            <w:pPr>
              <w:spacing w:after="0"/>
              <w:rPr>
                <w:sz w:val="20"/>
                <w:szCs w:val="20"/>
                <w:color w:val="auto"/>
              </w:rPr>
            </w:pPr>
            <w:r>
              <w:rPr>
                <w:rFonts w:ascii="Arial" w:cs="Arial" w:eastAsia="Arial" w:hAnsi="Arial"/>
                <w:sz w:val="16"/>
                <w:szCs w:val="16"/>
                <w:color w:val="auto"/>
              </w:rPr>
              <w:t>Income tax</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17(b)</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(2,864,899)</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(2,201,275)</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(1,888,451)</w:t>
            </w:r>
          </w:p>
        </w:tc>
      </w:tr>
      <w:tr>
        <w:trPr>
          <w:trHeight w:val="185"/>
        </w:trPr>
        <w:tc>
          <w:tcPr>
            <w:tcW w:w="5960" w:type="dxa"/>
            <w:vAlign w:val="bottom"/>
          </w:tcPr>
          <w:p>
            <w:pPr>
              <w:spacing w:after="0" w:line="181" w:lineRule="exact"/>
              <w:rPr>
                <w:sz w:val="20"/>
                <w:szCs w:val="20"/>
                <w:color w:val="auto"/>
              </w:rPr>
            </w:pPr>
            <w:r>
              <w:rPr>
                <w:rFonts w:ascii="Arial" w:cs="Arial" w:eastAsia="Arial" w:hAnsi="Arial"/>
                <w:sz w:val="16"/>
                <w:szCs w:val="16"/>
                <w:b w:val="1"/>
                <w:bCs w:val="1"/>
                <w:color w:val="auto"/>
              </w:rPr>
              <w:t>Net result after income tax</w:t>
            </w:r>
          </w:p>
        </w:tc>
        <w:tc>
          <w:tcPr>
            <w:tcW w:w="1020" w:type="dxa"/>
            <w:vAlign w:val="bottom"/>
          </w:tcPr>
          <w:p>
            <w:pPr>
              <w:spacing w:after="0"/>
              <w:rPr>
                <w:sz w:val="16"/>
                <w:szCs w:val="16"/>
                <w:color w:val="auto"/>
              </w:rPr>
            </w:pPr>
          </w:p>
        </w:tc>
        <w:tc>
          <w:tcPr>
            <w:tcW w:w="1340" w:type="dxa"/>
            <w:vAlign w:val="bottom"/>
            <w:tcBorders>
              <w:top w:val="single" w:sz="8" w:color="auto"/>
              <w:bottom w:val="single" w:sz="8" w:color="auto"/>
            </w:tcBorders>
            <w:gridSpan w:val="2"/>
          </w:tcPr>
          <w:p>
            <w:pPr>
              <w:jc w:val="right"/>
              <w:ind w:right="120"/>
              <w:spacing w:after="0" w:line="181" w:lineRule="exact"/>
              <w:rPr>
                <w:sz w:val="20"/>
                <w:szCs w:val="20"/>
                <w:color w:val="auto"/>
              </w:rPr>
            </w:pPr>
            <w:r>
              <w:rPr>
                <w:rFonts w:ascii="Arial" w:cs="Arial" w:eastAsia="Arial" w:hAnsi="Arial"/>
                <w:sz w:val="16"/>
                <w:szCs w:val="16"/>
                <w:color w:val="auto"/>
              </w:rPr>
              <w:t>7,082,654</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gridSpan w:val="2"/>
          </w:tcPr>
          <w:p>
            <w:pPr>
              <w:jc w:val="right"/>
              <w:ind w:right="100"/>
              <w:spacing w:after="0" w:line="181" w:lineRule="exact"/>
              <w:rPr>
                <w:sz w:val="20"/>
                <w:szCs w:val="20"/>
                <w:color w:val="auto"/>
              </w:rPr>
            </w:pPr>
            <w:r>
              <w:rPr>
                <w:rFonts w:ascii="Arial" w:cs="Arial" w:eastAsia="Arial" w:hAnsi="Arial"/>
                <w:sz w:val="16"/>
                <w:szCs w:val="16"/>
                <w:color w:val="auto"/>
              </w:rPr>
              <w:t>5,623,252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auto"/>
              <w:bottom w:val="single" w:sz="8" w:color="auto"/>
            </w:tcBorders>
            <w:gridSpan w:val="2"/>
          </w:tcPr>
          <w:p>
            <w:pPr>
              <w:jc w:val="right"/>
              <w:ind w:right="120"/>
              <w:spacing w:after="0" w:line="181" w:lineRule="exact"/>
              <w:rPr>
                <w:sz w:val="20"/>
                <w:szCs w:val="20"/>
                <w:color w:val="auto"/>
              </w:rPr>
            </w:pPr>
            <w:r>
              <w:rPr>
                <w:rFonts w:ascii="Arial" w:cs="Arial" w:eastAsia="Arial" w:hAnsi="Arial"/>
                <w:sz w:val="16"/>
                <w:szCs w:val="16"/>
                <w:color w:val="auto"/>
              </w:rPr>
              <w:t>4,959,878</w:t>
            </w:r>
          </w:p>
        </w:tc>
      </w:tr>
      <w:tr>
        <w:trPr>
          <w:trHeight w:val="345"/>
        </w:trPr>
        <w:tc>
          <w:tcPr>
            <w:tcW w:w="596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5960" w:type="dxa"/>
            <w:vAlign w:val="bottom"/>
          </w:tcPr>
          <w:p>
            <w:pPr>
              <w:spacing w:after="0" w:line="181" w:lineRule="exact"/>
              <w:rPr>
                <w:sz w:val="20"/>
                <w:szCs w:val="20"/>
                <w:color w:val="auto"/>
              </w:rPr>
            </w:pPr>
            <w:r>
              <w:rPr>
                <w:rFonts w:ascii="Arial" w:cs="Arial" w:eastAsia="Arial" w:hAnsi="Arial"/>
                <w:sz w:val="16"/>
                <w:szCs w:val="16"/>
                <w:color w:val="auto"/>
              </w:rPr>
              <w:t>Credicorp’s equity holders</w:t>
            </w:r>
          </w:p>
        </w:tc>
        <w:tc>
          <w:tcPr>
            <w:tcW w:w="1020" w:type="dxa"/>
            <w:vAlign w:val="bottom"/>
          </w:tcPr>
          <w:p>
            <w:pPr>
              <w:spacing w:after="0"/>
              <w:rPr>
                <w:sz w:val="15"/>
                <w:szCs w:val="15"/>
                <w:color w:val="auto"/>
              </w:rPr>
            </w:pPr>
          </w:p>
        </w:tc>
        <w:tc>
          <w:tcPr>
            <w:tcW w:w="13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6,925,377</w:t>
            </w:r>
          </w:p>
        </w:tc>
        <w:tc>
          <w:tcPr>
            <w:tcW w:w="144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5,501,254</w:t>
            </w:r>
          </w:p>
        </w:tc>
        <w:tc>
          <w:tcPr>
            <w:tcW w:w="1460" w:type="dxa"/>
            <w:vAlign w:val="bottom"/>
            <w:gridSpan w:val="4"/>
          </w:tcPr>
          <w:p>
            <w:pPr>
              <w:jc w:val="right"/>
              <w:ind w:right="120"/>
              <w:spacing w:after="0" w:line="181" w:lineRule="exact"/>
              <w:rPr>
                <w:sz w:val="20"/>
                <w:szCs w:val="20"/>
                <w:color w:val="auto"/>
              </w:rPr>
            </w:pPr>
            <w:r>
              <w:rPr>
                <w:rFonts w:ascii="Arial" w:cs="Arial" w:eastAsia="Arial" w:hAnsi="Arial"/>
                <w:sz w:val="16"/>
                <w:szCs w:val="16"/>
                <w:color w:val="auto"/>
              </w:rPr>
              <w:t>4,865,540</w:t>
            </w:r>
          </w:p>
        </w:tc>
      </w:tr>
      <w:tr>
        <w:trPr>
          <w:trHeight w:val="210"/>
        </w:trPr>
        <w:tc>
          <w:tcPr>
            <w:tcW w:w="596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0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157,277</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121,998</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94,338</w:t>
            </w:r>
          </w:p>
        </w:tc>
      </w:tr>
      <w:tr>
        <w:trPr>
          <w:trHeight w:val="177"/>
        </w:trPr>
        <w:tc>
          <w:tcPr>
            <w:tcW w:w="5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120"/>
              <w:spacing w:after="0" w:line="173" w:lineRule="exact"/>
              <w:rPr>
                <w:sz w:val="20"/>
                <w:szCs w:val="20"/>
                <w:color w:val="auto"/>
              </w:rPr>
            </w:pPr>
            <w:r>
              <w:rPr>
                <w:rFonts w:ascii="Arial" w:cs="Arial" w:eastAsia="Arial" w:hAnsi="Arial"/>
                <w:sz w:val="16"/>
                <w:szCs w:val="16"/>
                <w:color w:val="auto"/>
              </w:rPr>
              <w:t>7,082,654</w:t>
            </w:r>
          </w:p>
        </w:tc>
        <w:tc>
          <w:tcPr>
            <w:tcW w:w="10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100"/>
              <w:spacing w:after="0" w:line="173" w:lineRule="exact"/>
              <w:rPr>
                <w:sz w:val="20"/>
                <w:szCs w:val="20"/>
                <w:color w:val="auto"/>
              </w:rPr>
            </w:pPr>
            <w:r>
              <w:rPr>
                <w:rFonts w:ascii="Arial" w:cs="Arial" w:eastAsia="Arial" w:hAnsi="Arial"/>
                <w:sz w:val="16"/>
                <w:szCs w:val="16"/>
                <w:color w:val="auto"/>
              </w:rPr>
              <w:t>5,623,252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120"/>
              <w:spacing w:after="0" w:line="173" w:lineRule="exact"/>
              <w:rPr>
                <w:sz w:val="20"/>
                <w:szCs w:val="20"/>
                <w:color w:val="auto"/>
              </w:rPr>
            </w:pPr>
            <w:r>
              <w:rPr>
                <w:rFonts w:ascii="Arial" w:cs="Arial" w:eastAsia="Arial" w:hAnsi="Arial"/>
                <w:sz w:val="16"/>
                <w:szCs w:val="16"/>
                <w:color w:val="auto"/>
              </w:rPr>
              <w:t>4,959,878</w:t>
            </w:r>
          </w:p>
        </w:tc>
      </w:tr>
      <w:tr>
        <w:trPr>
          <w:trHeight w:val="345"/>
        </w:trPr>
        <w:tc>
          <w:tcPr>
            <w:tcW w:w="5960" w:type="dxa"/>
            <w:vAlign w:val="bottom"/>
          </w:tcPr>
          <w:p>
            <w:pPr>
              <w:spacing w:after="0"/>
              <w:rPr>
                <w:sz w:val="20"/>
                <w:szCs w:val="20"/>
                <w:color w:val="auto"/>
              </w:rPr>
            </w:pPr>
            <w:r>
              <w:rPr>
                <w:rFonts w:ascii="Arial" w:cs="Arial" w:eastAsia="Arial" w:hAnsi="Arial"/>
                <w:sz w:val="16"/>
                <w:szCs w:val="16"/>
                <w:b w:val="1"/>
                <w:bCs w:val="1"/>
                <w:color w:val="auto"/>
              </w:rPr>
              <w:t>Net basic and dilutive earnings per share attributable to Credicorp's equity</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6"/>
                <w:szCs w:val="16"/>
                <w:b w:val="1"/>
                <w:bCs w:val="1"/>
                <w:color w:val="auto"/>
              </w:rPr>
              <w:t>holders (in Soles):</w:t>
            </w: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21"/>
        </w:trPr>
        <w:tc>
          <w:tcPr>
            <w:tcW w:w="5960" w:type="dxa"/>
            <w:vAlign w:val="bottom"/>
          </w:tcPr>
          <w:p>
            <w:pPr>
              <w:spacing w:after="0"/>
              <w:rPr>
                <w:sz w:val="20"/>
                <w:szCs w:val="20"/>
                <w:color w:val="auto"/>
              </w:rPr>
            </w:pPr>
            <w:r>
              <w:rPr>
                <w:rFonts w:ascii="Arial" w:cs="Arial" w:eastAsia="Arial" w:hAnsi="Arial"/>
                <w:sz w:val="16"/>
                <w:szCs w:val="16"/>
                <w:color w:val="auto"/>
              </w:rPr>
              <w:t>Basic</w:t>
            </w:r>
          </w:p>
        </w:tc>
        <w:tc>
          <w:tcPr>
            <w:tcW w:w="1020" w:type="dxa"/>
            <w:vAlign w:val="bottom"/>
          </w:tcPr>
          <w:p>
            <w:pPr>
              <w:jc w:val="center"/>
              <w:spacing w:after="0"/>
              <w:rPr>
                <w:sz w:val="20"/>
                <w:szCs w:val="20"/>
                <w:color w:val="auto"/>
              </w:rPr>
            </w:pPr>
            <w:r>
              <w:rPr>
                <w:rFonts w:ascii="Arial" w:cs="Arial" w:eastAsia="Arial" w:hAnsi="Arial"/>
                <w:sz w:val="16"/>
                <w:szCs w:val="16"/>
                <w:color w:val="auto"/>
              </w:rPr>
              <w:t>26</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87.25</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69.24</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61.22</w:t>
            </w:r>
          </w:p>
        </w:tc>
      </w:tr>
      <w:tr>
        <w:trPr>
          <w:trHeight w:val="214"/>
        </w:trPr>
        <w:tc>
          <w:tcPr>
            <w:tcW w:w="5960" w:type="dxa"/>
            <w:vAlign w:val="bottom"/>
          </w:tcPr>
          <w:p>
            <w:pPr>
              <w:spacing w:after="0"/>
              <w:rPr>
                <w:sz w:val="20"/>
                <w:szCs w:val="20"/>
                <w:color w:val="auto"/>
              </w:rPr>
            </w:pPr>
            <w:r>
              <w:rPr>
                <w:rFonts w:ascii="Arial" w:cs="Arial" w:eastAsia="Arial" w:hAnsi="Arial"/>
                <w:sz w:val="16"/>
                <w:szCs w:val="16"/>
                <w:color w:val="auto"/>
              </w:rPr>
              <w:t>Diluted</w:t>
            </w:r>
          </w:p>
        </w:tc>
        <w:tc>
          <w:tcPr>
            <w:tcW w:w="1020" w:type="dxa"/>
            <w:vAlign w:val="bottom"/>
          </w:tcPr>
          <w:p>
            <w:pPr>
              <w:jc w:val="center"/>
              <w:spacing w:after="0"/>
              <w:rPr>
                <w:sz w:val="20"/>
                <w:szCs w:val="20"/>
                <w:color w:val="auto"/>
              </w:rPr>
            </w:pPr>
            <w:r>
              <w:rPr>
                <w:rFonts w:ascii="Arial" w:cs="Arial" w:eastAsia="Arial" w:hAnsi="Arial"/>
                <w:sz w:val="16"/>
                <w:szCs w:val="16"/>
                <w:color w:val="auto"/>
              </w:rPr>
              <w:t>26</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87.08</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69.09</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61.08</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2"/>
        </w:trPr>
        <w:tc>
          <w:tcPr>
            <w:tcW w:w="616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6160" w:type="dxa"/>
            <w:vAlign w:val="bottom"/>
          </w:tcPr>
          <w:p>
            <w:pPr>
              <w:spacing w:after="0"/>
              <w:rPr>
                <w:sz w:val="20"/>
                <w:szCs w:val="20"/>
                <w:color w:val="auto"/>
              </w:rPr>
            </w:pPr>
            <w:r>
              <w:rPr>
                <w:rFonts w:ascii="Arial" w:cs="Arial" w:eastAsia="Arial" w:hAnsi="Arial"/>
                <w:sz w:val="16"/>
                <w:szCs w:val="16"/>
                <w:color w:val="auto"/>
              </w:rPr>
              <w:t>CONSOLIDATED STATEMENT OF COMPREHENSIVE INCOME</w:t>
            </w: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6"/>
                <w:szCs w:val="16"/>
                <w:color w:val="auto"/>
              </w:rPr>
              <w:t>FOR THE YEARS ENDED DECEMBER 31, 2025, 2024 AND 2023</w:t>
            </w: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6160" w:type="dxa"/>
            <w:vAlign w:val="bottom"/>
          </w:tcPr>
          <w:p>
            <w:pPr>
              <w:spacing w:after="0"/>
              <w:rPr>
                <w:sz w:val="20"/>
                <w:szCs w:val="20"/>
                <w:color w:val="auto"/>
              </w:rPr>
            </w:pPr>
            <w:r>
              <w:rPr>
                <w:rFonts w:ascii="Arial" w:cs="Arial" w:eastAsia="Arial" w:hAnsi="Arial"/>
                <w:sz w:val="16"/>
                <w:szCs w:val="16"/>
                <w:b w:val="1"/>
                <w:bCs w:val="1"/>
                <w:color w:val="auto"/>
              </w:rPr>
              <w:t>Net result after income tax</w:t>
            </w:r>
          </w:p>
        </w:tc>
        <w:tc>
          <w:tcPr>
            <w:tcW w:w="86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7,082,654</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5,623,252</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4,959,878</w:t>
            </w:r>
          </w:p>
        </w:tc>
        <w:tc>
          <w:tcPr>
            <w:tcW w:w="0" w:type="dxa"/>
            <w:vAlign w:val="bottom"/>
          </w:tcPr>
          <w:p>
            <w:pPr>
              <w:spacing w:after="0"/>
              <w:rPr>
                <w:sz w:val="1"/>
                <w:szCs w:val="1"/>
                <w:color w:val="auto"/>
              </w:rPr>
            </w:pPr>
          </w:p>
        </w:tc>
      </w:tr>
      <w:tr>
        <w:trPr>
          <w:trHeight w:val="181"/>
        </w:trPr>
        <w:tc>
          <w:tcPr>
            <w:tcW w:w="6160" w:type="dxa"/>
            <w:vAlign w:val="bottom"/>
          </w:tcPr>
          <w:p>
            <w:pPr>
              <w:spacing w:after="0" w:line="181" w:lineRule="exact"/>
              <w:rPr>
                <w:sz w:val="20"/>
                <w:szCs w:val="20"/>
                <w:color w:val="auto"/>
              </w:rPr>
            </w:pPr>
            <w:r>
              <w:rPr>
                <w:rFonts w:ascii="Arial" w:cs="Arial" w:eastAsia="Arial" w:hAnsi="Arial"/>
                <w:sz w:val="16"/>
                <w:szCs w:val="16"/>
                <w:b w:val="1"/>
                <w:bCs w:val="1"/>
                <w:color w:val="auto"/>
              </w:rPr>
              <w:t>Other comprehensive income:</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6"/>
                <w:szCs w:val="16"/>
                <w:b w:val="1"/>
                <w:bCs w:val="1"/>
                <w:color w:val="auto"/>
              </w:rPr>
              <w:t>To be reclassified to profit or loss in subsequent periods, net of income tax:</w:t>
            </w: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6160" w:type="dxa"/>
            <w:vAlign w:val="bottom"/>
          </w:tcPr>
          <w:p>
            <w:pPr>
              <w:spacing w:after="0"/>
              <w:rPr>
                <w:sz w:val="20"/>
                <w:szCs w:val="20"/>
                <w:color w:val="auto"/>
              </w:rPr>
            </w:pPr>
            <w:r>
              <w:rPr>
                <w:rFonts w:ascii="Arial" w:cs="Arial" w:eastAsia="Arial" w:hAnsi="Arial"/>
                <w:sz w:val="16"/>
                <w:szCs w:val="16"/>
                <w:color w:val="auto"/>
              </w:rPr>
              <w:t>Net gain on investments at fair value through other comprehensive income</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1,259,728</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205,765</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1,334,943</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6"/>
                <w:szCs w:val="16"/>
                <w:color w:val="auto"/>
              </w:rPr>
              <w:t>Income tax</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24,152</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5,118</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(58,489)</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1,283,880</w:t>
            </w: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210,883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1,276,454</w:t>
            </w:r>
          </w:p>
        </w:tc>
        <w:tc>
          <w:tcPr>
            <w:tcW w:w="0" w:type="dxa"/>
            <w:vAlign w:val="bottom"/>
          </w:tcPr>
          <w:p>
            <w:pPr>
              <w:spacing w:after="0"/>
              <w:rPr>
                <w:sz w:val="1"/>
                <w:szCs w:val="1"/>
                <w:color w:val="auto"/>
              </w:rPr>
            </w:pPr>
          </w:p>
        </w:tc>
      </w:tr>
      <w:tr>
        <w:trPr>
          <w:trHeight w:val="313"/>
        </w:trPr>
        <w:tc>
          <w:tcPr>
            <w:tcW w:w="6160" w:type="dxa"/>
            <w:vAlign w:val="bottom"/>
          </w:tcPr>
          <w:p>
            <w:pPr>
              <w:spacing w:after="0"/>
              <w:rPr>
                <w:sz w:val="20"/>
                <w:szCs w:val="20"/>
                <w:color w:val="auto"/>
              </w:rPr>
            </w:pPr>
            <w:r>
              <w:rPr>
                <w:rFonts w:ascii="Arial" w:cs="Arial" w:eastAsia="Arial" w:hAnsi="Arial"/>
                <w:sz w:val="16"/>
                <w:szCs w:val="16"/>
                <w:color w:val="auto"/>
              </w:rPr>
              <w:t>Net movement of cash flow hedge reserves</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3,464</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13,925</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(17,443)</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6"/>
                <w:szCs w:val="16"/>
                <w:color w:val="auto"/>
              </w:rPr>
              <w:t>Income tax</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(1,575)</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(4,030)</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5,104</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9,895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(12,339)</w:t>
            </w:r>
          </w:p>
        </w:tc>
        <w:tc>
          <w:tcPr>
            <w:tcW w:w="0" w:type="dxa"/>
            <w:vAlign w:val="bottom"/>
          </w:tcPr>
          <w:p>
            <w:pPr>
              <w:spacing w:after="0"/>
              <w:rPr>
                <w:sz w:val="1"/>
                <w:szCs w:val="1"/>
                <w:color w:val="auto"/>
              </w:rPr>
            </w:pPr>
          </w:p>
        </w:tc>
      </w:tr>
      <w:tr>
        <w:trPr>
          <w:trHeight w:val="341"/>
        </w:trPr>
        <w:tc>
          <w:tcPr>
            <w:tcW w:w="6160" w:type="dxa"/>
            <w:vAlign w:val="bottom"/>
          </w:tcPr>
          <w:p>
            <w:pPr>
              <w:spacing w:after="0"/>
              <w:rPr>
                <w:sz w:val="20"/>
                <w:szCs w:val="20"/>
                <w:color w:val="auto"/>
              </w:rPr>
            </w:pPr>
            <w:r>
              <w:rPr>
                <w:rFonts w:ascii="Arial" w:cs="Arial" w:eastAsia="Arial" w:hAnsi="Arial"/>
                <w:sz w:val="16"/>
                <w:szCs w:val="16"/>
                <w:color w:val="auto"/>
              </w:rPr>
              <w:t>Insurance reserves</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(523,992)</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(70,176)</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(762,811)</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(523,992)</w:t>
            </w: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(70,176)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(762,811)</w:t>
            </w:r>
          </w:p>
        </w:tc>
        <w:tc>
          <w:tcPr>
            <w:tcW w:w="0" w:type="dxa"/>
            <w:vAlign w:val="bottom"/>
          </w:tcPr>
          <w:p>
            <w:pPr>
              <w:spacing w:after="0"/>
              <w:rPr>
                <w:sz w:val="1"/>
                <w:szCs w:val="1"/>
                <w:color w:val="auto"/>
              </w:rPr>
            </w:pPr>
          </w:p>
        </w:tc>
      </w:tr>
      <w:tr>
        <w:trPr>
          <w:trHeight w:val="313"/>
        </w:trPr>
        <w:tc>
          <w:tcPr>
            <w:tcW w:w="6160" w:type="dxa"/>
            <w:vAlign w:val="bottom"/>
          </w:tcPr>
          <w:p>
            <w:pPr>
              <w:spacing w:after="0"/>
              <w:rPr>
                <w:sz w:val="20"/>
                <w:szCs w:val="20"/>
                <w:color w:val="auto"/>
              </w:rPr>
            </w:pPr>
            <w:r>
              <w:rPr>
                <w:rFonts w:ascii="Arial" w:cs="Arial" w:eastAsia="Arial" w:hAnsi="Arial"/>
                <w:sz w:val="16"/>
                <w:szCs w:val="16"/>
                <w:color w:val="auto"/>
              </w:rPr>
              <w:t>Exchange differences on translation of foreign operations</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(406,955)</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(114,142)</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73,464</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6"/>
                <w:szCs w:val="16"/>
                <w:color w:val="auto"/>
              </w:rPr>
              <w:t>Net movement in hedges of net investments in foreign businesses</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18,950</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(406,955)</w:t>
            </w: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(114,142)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92,414</w:t>
            </w:r>
          </w:p>
        </w:tc>
        <w:tc>
          <w:tcPr>
            <w:tcW w:w="0" w:type="dxa"/>
            <w:vAlign w:val="bottom"/>
          </w:tcPr>
          <w:p>
            <w:pPr>
              <w:spacing w:after="0"/>
              <w:rPr>
                <w:sz w:val="1"/>
                <w:szCs w:val="1"/>
                <w:color w:val="auto"/>
              </w:rPr>
            </w:pPr>
          </w:p>
        </w:tc>
      </w:tr>
      <w:tr>
        <w:trPr>
          <w:trHeight w:val="160"/>
        </w:trPr>
        <w:tc>
          <w:tcPr>
            <w:tcW w:w="6160" w:type="dxa"/>
            <w:vAlign w:val="bottom"/>
            <w:vMerge w:val="restart"/>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120"/>
              <w:spacing w:after="0" w:line="173" w:lineRule="exact"/>
              <w:rPr>
                <w:sz w:val="20"/>
                <w:szCs w:val="20"/>
                <w:color w:val="auto"/>
              </w:rPr>
            </w:pPr>
            <w:r>
              <w:rPr>
                <w:rFonts w:ascii="Arial" w:cs="Arial" w:eastAsia="Arial" w:hAnsi="Arial"/>
                <w:sz w:val="16"/>
                <w:szCs w:val="16"/>
                <w:color w:val="auto"/>
              </w:rPr>
              <w:t>354,822</w:t>
            </w:r>
          </w:p>
        </w:tc>
        <w:tc>
          <w:tcPr>
            <w:tcW w:w="100" w:type="dxa"/>
            <w:vAlign w:val="bottom"/>
            <w:vMerge w:val="continue"/>
          </w:tcPr>
          <w:p>
            <w:pPr>
              <w:spacing w:after="0"/>
              <w:rPr>
                <w:sz w:val="15"/>
                <w:szCs w:val="15"/>
                <w:color w:val="auto"/>
              </w:rPr>
            </w:pPr>
          </w:p>
        </w:tc>
        <w:tc>
          <w:tcPr>
            <w:tcW w:w="1340" w:type="dxa"/>
            <w:vAlign w:val="bottom"/>
            <w:tcBorders>
              <w:bottom w:val="single" w:sz="8" w:color="auto"/>
            </w:tcBorders>
            <w:gridSpan w:val="2"/>
          </w:tcPr>
          <w:p>
            <w:pPr>
              <w:jc w:val="right"/>
              <w:ind w:right="100"/>
              <w:spacing w:after="0" w:line="173" w:lineRule="exact"/>
              <w:rPr>
                <w:sz w:val="20"/>
                <w:szCs w:val="20"/>
                <w:color w:val="auto"/>
              </w:rPr>
            </w:pPr>
            <w:r>
              <w:rPr>
                <w:rFonts w:ascii="Arial" w:cs="Arial" w:eastAsia="Arial" w:hAnsi="Arial"/>
                <w:sz w:val="16"/>
                <w:szCs w:val="16"/>
                <w:color w:val="auto"/>
              </w:rPr>
              <w:t>36,460</w:t>
            </w: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320" w:type="dxa"/>
            <w:vAlign w:val="bottom"/>
            <w:tcBorders>
              <w:bottom w:val="single" w:sz="8" w:color="auto"/>
            </w:tcBorders>
            <w:gridSpan w:val="2"/>
          </w:tcPr>
          <w:p>
            <w:pPr>
              <w:jc w:val="right"/>
              <w:ind w:right="120"/>
              <w:spacing w:after="0" w:line="173" w:lineRule="exact"/>
              <w:rPr>
                <w:sz w:val="20"/>
                <w:szCs w:val="20"/>
                <w:color w:val="auto"/>
              </w:rPr>
            </w:pPr>
            <w:r>
              <w:rPr>
                <w:rFonts w:ascii="Arial" w:cs="Arial" w:eastAsia="Arial" w:hAnsi="Arial"/>
                <w:sz w:val="16"/>
                <w:szCs w:val="16"/>
                <w:color w:val="auto"/>
              </w:rPr>
              <w:t>593,718</w:t>
            </w:r>
          </w:p>
        </w:tc>
        <w:tc>
          <w:tcPr>
            <w:tcW w:w="0" w:type="dxa"/>
            <w:vAlign w:val="bottom"/>
          </w:tcPr>
          <w:p>
            <w:pPr>
              <w:spacing w:after="0"/>
              <w:rPr>
                <w:sz w:val="1"/>
                <w:szCs w:val="1"/>
                <w:color w:val="auto"/>
              </w:rPr>
            </w:pPr>
          </w:p>
        </w:tc>
      </w:tr>
      <w:tr>
        <w:trPr>
          <w:trHeight w:val="378"/>
        </w:trPr>
        <w:tc>
          <w:tcPr>
            <w:tcW w:w="6160" w:type="dxa"/>
            <w:vAlign w:val="bottom"/>
          </w:tcPr>
          <w:p>
            <w:pPr>
              <w:spacing w:after="0"/>
              <w:rPr>
                <w:sz w:val="20"/>
                <w:szCs w:val="20"/>
                <w:color w:val="auto"/>
              </w:rPr>
            </w:pPr>
            <w:r>
              <w:rPr>
                <w:rFonts w:ascii="Arial" w:cs="Arial" w:eastAsia="Arial" w:hAnsi="Arial"/>
                <w:sz w:val="16"/>
                <w:szCs w:val="16"/>
                <w:b w:val="1"/>
                <w:bCs w:val="1"/>
                <w:color w:val="auto"/>
              </w:rPr>
              <w:t>Not to be reclassified to profit or loss in subsequent periods:</w:t>
            </w: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160" w:type="dxa"/>
            <w:vAlign w:val="bottom"/>
          </w:tcPr>
          <w:p>
            <w:pPr>
              <w:spacing w:after="0"/>
              <w:rPr>
                <w:sz w:val="20"/>
                <w:szCs w:val="20"/>
                <w:color w:val="auto"/>
              </w:rPr>
            </w:pPr>
            <w:r>
              <w:rPr>
                <w:rFonts w:ascii="Arial" w:cs="Arial" w:eastAsia="Arial" w:hAnsi="Arial"/>
                <w:sz w:val="16"/>
                <w:szCs w:val="16"/>
                <w:color w:val="auto"/>
              </w:rPr>
              <w:t>Net (loss) gain on equity instruments designated at fair value through other</w:t>
            </w: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6"/>
                <w:szCs w:val="16"/>
                <w:color w:val="auto"/>
              </w:rPr>
              <w:t>comprehensive income</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(18,599)</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15,684</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(8,329)</w:t>
            </w:r>
          </w:p>
        </w:tc>
        <w:tc>
          <w:tcPr>
            <w:tcW w:w="0" w:type="dxa"/>
            <w:vAlign w:val="bottom"/>
          </w:tcPr>
          <w:p>
            <w:pPr>
              <w:spacing w:after="0"/>
              <w:rPr>
                <w:sz w:val="1"/>
                <w:szCs w:val="1"/>
                <w:color w:val="auto"/>
              </w:rPr>
            </w:pPr>
          </w:p>
        </w:tc>
      </w:tr>
      <w:tr>
        <w:trPr>
          <w:trHeight w:val="362"/>
        </w:trPr>
        <w:tc>
          <w:tcPr>
            <w:tcW w:w="6160" w:type="dxa"/>
            <w:vAlign w:val="bottom"/>
          </w:tcPr>
          <w:p>
            <w:pPr>
              <w:spacing w:after="0"/>
              <w:rPr>
                <w:sz w:val="20"/>
                <w:szCs w:val="20"/>
                <w:color w:val="auto"/>
              </w:rPr>
            </w:pPr>
            <w:r>
              <w:rPr>
                <w:rFonts w:ascii="Arial" w:cs="Arial" w:eastAsia="Arial" w:hAnsi="Arial"/>
                <w:sz w:val="16"/>
                <w:szCs w:val="16"/>
                <w:color w:val="auto"/>
              </w:rPr>
              <w:t>Transfer of the fair value reserve of equity instruments to retained earnings</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8,336</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(137,787)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0"/>
        </w:trPr>
        <w:tc>
          <w:tcPr>
            <w:tcW w:w="6160" w:type="dxa"/>
            <w:vAlign w:val="bottom"/>
          </w:tcPr>
          <w:p>
            <w:pPr>
              <w:spacing w:after="0"/>
              <w:rPr>
                <w:sz w:val="20"/>
                <w:szCs w:val="20"/>
                <w:color w:val="auto"/>
              </w:rPr>
            </w:pPr>
            <w:r>
              <w:rPr>
                <w:rFonts w:ascii="Arial" w:cs="Arial" w:eastAsia="Arial" w:hAnsi="Arial"/>
                <w:sz w:val="16"/>
                <w:szCs w:val="16"/>
                <w:color w:val="auto"/>
              </w:rPr>
              <w:t>Income tax</w:t>
            </w:r>
          </w:p>
        </w:tc>
        <w:tc>
          <w:tcPr>
            <w:tcW w:w="860" w:type="dxa"/>
            <w:vAlign w:val="bottom"/>
          </w:tcPr>
          <w:p>
            <w:pPr>
              <w:ind w:left="360"/>
              <w:spacing w:after="0"/>
              <w:rPr>
                <w:sz w:val="20"/>
                <w:szCs w:val="20"/>
                <w:color w:val="auto"/>
              </w:rPr>
            </w:pPr>
            <w:r>
              <w:rPr>
                <w:rFonts w:ascii="Arial" w:cs="Arial" w:eastAsia="Arial" w:hAnsi="Arial"/>
                <w:sz w:val="16"/>
                <w:szCs w:val="16"/>
                <w:color w:val="auto"/>
              </w:rPr>
              <w:t>16(d)</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(2,332)</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8,439</w:t>
            </w:r>
          </w:p>
        </w:tc>
        <w:tc>
          <w:tcPr>
            <w:tcW w:w="1460" w:type="dxa"/>
            <w:vAlign w:val="bottom"/>
            <w:gridSpan w:val="4"/>
          </w:tcPr>
          <w:p>
            <w:pPr>
              <w:jc w:val="right"/>
              <w:ind w:right="60"/>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181"/>
        </w:trPr>
        <w:tc>
          <w:tcPr>
            <w:tcW w:w="616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86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(12,595)</w:t>
            </w:r>
          </w:p>
        </w:tc>
        <w:tc>
          <w:tcPr>
            <w:tcW w:w="10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(113,664)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(12,120)</w:t>
            </w:r>
          </w:p>
        </w:tc>
        <w:tc>
          <w:tcPr>
            <w:tcW w:w="0" w:type="dxa"/>
            <w:vAlign w:val="bottom"/>
          </w:tcPr>
          <w:p>
            <w:pPr>
              <w:spacing w:after="0"/>
              <w:rPr>
                <w:sz w:val="1"/>
                <w:szCs w:val="1"/>
                <w:color w:val="auto"/>
              </w:rPr>
            </w:pPr>
          </w:p>
        </w:tc>
      </w:tr>
      <w:tr>
        <w:trPr>
          <w:trHeight w:val="173"/>
        </w:trPr>
        <w:tc>
          <w:tcPr>
            <w:tcW w:w="6160" w:type="dxa"/>
            <w:vAlign w:val="bottom"/>
            <w:vMerge w:val="restart"/>
          </w:tcPr>
          <w:p>
            <w:pPr>
              <w:spacing w:after="0"/>
              <w:rPr>
                <w:sz w:val="20"/>
                <w:szCs w:val="20"/>
                <w:color w:val="auto"/>
              </w:rPr>
            </w:pPr>
            <w:r>
              <w:rPr>
                <w:rFonts w:ascii="Arial" w:cs="Arial" w:eastAsia="Arial" w:hAnsi="Arial"/>
                <w:sz w:val="16"/>
                <w:szCs w:val="16"/>
                <w:b w:val="1"/>
                <w:bCs w:val="1"/>
                <w:color w:val="auto"/>
              </w:rPr>
              <w:t>Total other comprehensive income</w:t>
            </w:r>
          </w:p>
        </w:tc>
        <w:tc>
          <w:tcPr>
            <w:tcW w:w="860" w:type="dxa"/>
            <w:vAlign w:val="bottom"/>
            <w:vMerge w:val="restart"/>
          </w:tcPr>
          <w:p>
            <w:pPr>
              <w:ind w:left="360"/>
              <w:spacing w:after="0"/>
              <w:rPr>
                <w:sz w:val="20"/>
                <w:szCs w:val="20"/>
                <w:color w:val="auto"/>
              </w:rPr>
            </w:pPr>
            <w:r>
              <w:rPr>
                <w:rFonts w:ascii="Arial" w:cs="Arial" w:eastAsia="Arial" w:hAnsi="Arial"/>
                <w:sz w:val="16"/>
                <w:szCs w:val="16"/>
                <w:color w:val="auto"/>
              </w:rPr>
              <w:t>16(d)</w:t>
            </w: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vMerge w:val="restart"/>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340" w:type="dxa"/>
            <w:vAlign w:val="bottom"/>
            <w:tcBorders>
              <w:bottom w:val="single" w:sz="8" w:color="auto"/>
            </w:tcBorders>
            <w:gridSpan w:val="2"/>
          </w:tcPr>
          <w:p>
            <w:pPr>
              <w:jc w:val="right"/>
              <w:ind w:right="120"/>
              <w:spacing w:after="0" w:line="173" w:lineRule="exact"/>
              <w:rPr>
                <w:sz w:val="20"/>
                <w:szCs w:val="20"/>
                <w:color w:val="auto"/>
              </w:rPr>
            </w:pPr>
            <w:r>
              <w:rPr>
                <w:rFonts w:ascii="Arial" w:cs="Arial" w:eastAsia="Arial" w:hAnsi="Arial"/>
                <w:sz w:val="16"/>
                <w:szCs w:val="16"/>
                <w:color w:val="auto"/>
              </w:rPr>
              <w:t>342,227</w:t>
            </w:r>
          </w:p>
        </w:tc>
        <w:tc>
          <w:tcPr>
            <w:tcW w:w="100" w:type="dxa"/>
            <w:vAlign w:val="bottom"/>
            <w:vMerge w:val="continue"/>
          </w:tcPr>
          <w:p>
            <w:pPr>
              <w:spacing w:after="0"/>
              <w:rPr>
                <w:sz w:val="15"/>
                <w:szCs w:val="15"/>
                <w:color w:val="auto"/>
              </w:rPr>
            </w:pPr>
          </w:p>
        </w:tc>
        <w:tc>
          <w:tcPr>
            <w:tcW w:w="1340" w:type="dxa"/>
            <w:vAlign w:val="bottom"/>
            <w:tcBorders>
              <w:bottom w:val="single" w:sz="8" w:color="auto"/>
            </w:tcBorders>
            <w:gridSpan w:val="2"/>
          </w:tcPr>
          <w:p>
            <w:pPr>
              <w:jc w:val="right"/>
              <w:ind w:right="60"/>
              <w:spacing w:after="0" w:line="173" w:lineRule="exact"/>
              <w:rPr>
                <w:sz w:val="20"/>
                <w:szCs w:val="20"/>
                <w:color w:val="auto"/>
              </w:rPr>
            </w:pPr>
            <w:r>
              <w:rPr>
                <w:rFonts w:ascii="Arial" w:cs="Arial" w:eastAsia="Arial" w:hAnsi="Arial"/>
                <w:sz w:val="16"/>
                <w:szCs w:val="16"/>
                <w:color w:val="auto"/>
              </w:rPr>
              <w:t>(77,204)</w:t>
            </w: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320" w:type="dxa"/>
            <w:vAlign w:val="bottom"/>
            <w:tcBorders>
              <w:bottom w:val="single" w:sz="8" w:color="auto"/>
            </w:tcBorders>
            <w:gridSpan w:val="2"/>
          </w:tcPr>
          <w:p>
            <w:pPr>
              <w:jc w:val="right"/>
              <w:ind w:right="120"/>
              <w:spacing w:after="0" w:line="173" w:lineRule="exact"/>
              <w:rPr>
                <w:sz w:val="20"/>
                <w:szCs w:val="20"/>
                <w:color w:val="auto"/>
              </w:rPr>
            </w:pPr>
            <w:r>
              <w:rPr>
                <w:rFonts w:ascii="Arial" w:cs="Arial" w:eastAsia="Arial" w:hAnsi="Arial"/>
                <w:sz w:val="16"/>
                <w:szCs w:val="16"/>
                <w:color w:val="auto"/>
              </w:rPr>
              <w:t>581,598</w:t>
            </w:r>
          </w:p>
        </w:tc>
        <w:tc>
          <w:tcPr>
            <w:tcW w:w="0" w:type="dxa"/>
            <w:vAlign w:val="bottom"/>
          </w:tcPr>
          <w:p>
            <w:pPr>
              <w:spacing w:after="0"/>
              <w:rPr>
                <w:sz w:val="1"/>
                <w:szCs w:val="1"/>
                <w:color w:val="auto"/>
              </w:rPr>
            </w:pPr>
          </w:p>
        </w:tc>
      </w:tr>
      <w:tr>
        <w:trPr>
          <w:trHeight w:val="374"/>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comprehensive income for the period, net of income tax</w:t>
            </w:r>
          </w:p>
        </w:tc>
        <w:tc>
          <w:tcPr>
            <w:tcW w:w="86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7,424,881</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5,546,048</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5,541,476</w:t>
            </w:r>
          </w:p>
        </w:tc>
        <w:tc>
          <w:tcPr>
            <w:tcW w:w="0" w:type="dxa"/>
            <w:vAlign w:val="bottom"/>
          </w:tcPr>
          <w:p>
            <w:pPr>
              <w:spacing w:after="0"/>
              <w:rPr>
                <w:sz w:val="1"/>
                <w:szCs w:val="1"/>
                <w:color w:val="auto"/>
              </w:rPr>
            </w:pPr>
          </w:p>
        </w:tc>
      </w:tr>
      <w:tr>
        <w:trPr>
          <w:trHeight w:val="337"/>
        </w:trPr>
        <w:tc>
          <w:tcPr>
            <w:tcW w:w="616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8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160" w:type="dxa"/>
            <w:vAlign w:val="bottom"/>
          </w:tcPr>
          <w:p>
            <w:pPr>
              <w:spacing w:after="0"/>
              <w:rPr>
                <w:sz w:val="20"/>
                <w:szCs w:val="20"/>
                <w:color w:val="auto"/>
              </w:rPr>
            </w:pPr>
            <w:r>
              <w:rPr>
                <w:rFonts w:ascii="Arial" w:cs="Arial" w:eastAsia="Arial" w:hAnsi="Arial"/>
                <w:sz w:val="16"/>
                <w:szCs w:val="16"/>
                <w:color w:val="auto"/>
              </w:rPr>
              <w:t>Credicorp's equity holders</w:t>
            </w:r>
          </w:p>
        </w:tc>
        <w:tc>
          <w:tcPr>
            <w:tcW w:w="86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7,255,517</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5,420,098</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5,437,495</w:t>
            </w:r>
          </w:p>
        </w:tc>
        <w:tc>
          <w:tcPr>
            <w:tcW w:w="0" w:type="dxa"/>
            <w:vAlign w:val="bottom"/>
          </w:tcPr>
          <w:p>
            <w:pPr>
              <w:spacing w:after="0"/>
              <w:rPr>
                <w:sz w:val="1"/>
                <w:szCs w:val="1"/>
                <w:color w:val="auto"/>
              </w:rPr>
            </w:pPr>
          </w:p>
        </w:tc>
      </w:tr>
      <w:tr>
        <w:trPr>
          <w:trHeight w:val="198"/>
        </w:trPr>
        <w:tc>
          <w:tcPr>
            <w:tcW w:w="61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86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169,364</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125,950</w:t>
            </w:r>
          </w:p>
        </w:tc>
        <w:tc>
          <w:tcPr>
            <w:tcW w:w="1460" w:type="dxa"/>
            <w:vAlign w:val="bottom"/>
            <w:gridSpan w:val="4"/>
          </w:tcPr>
          <w:p>
            <w:pPr>
              <w:jc w:val="right"/>
              <w:ind w:right="120"/>
              <w:spacing w:after="0"/>
              <w:rPr>
                <w:sz w:val="20"/>
                <w:szCs w:val="20"/>
                <w:color w:val="auto"/>
              </w:rPr>
            </w:pPr>
            <w:r>
              <w:rPr>
                <w:rFonts w:ascii="Arial" w:cs="Arial" w:eastAsia="Arial" w:hAnsi="Arial"/>
                <w:sz w:val="16"/>
                <w:szCs w:val="16"/>
                <w:color w:val="auto"/>
              </w:rPr>
              <w:t>103,981</w:t>
            </w:r>
          </w:p>
        </w:tc>
        <w:tc>
          <w:tcPr>
            <w:tcW w:w="0" w:type="dxa"/>
            <w:vAlign w:val="bottom"/>
          </w:tcPr>
          <w:p>
            <w:pPr>
              <w:spacing w:after="0"/>
              <w:rPr>
                <w:sz w:val="1"/>
                <w:szCs w:val="1"/>
                <w:color w:val="auto"/>
              </w:rPr>
            </w:pPr>
          </w:p>
        </w:tc>
      </w:tr>
      <w:tr>
        <w:trPr>
          <w:trHeight w:val="177"/>
        </w:trPr>
        <w:tc>
          <w:tcPr>
            <w:tcW w:w="6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120"/>
              <w:spacing w:after="0" w:line="173" w:lineRule="exact"/>
              <w:rPr>
                <w:sz w:val="20"/>
                <w:szCs w:val="20"/>
                <w:color w:val="auto"/>
              </w:rPr>
            </w:pPr>
            <w:r>
              <w:rPr>
                <w:rFonts w:ascii="Arial" w:cs="Arial" w:eastAsia="Arial" w:hAnsi="Arial"/>
                <w:sz w:val="16"/>
                <w:szCs w:val="16"/>
                <w:color w:val="auto"/>
              </w:rPr>
              <w:t>7,424,881</w:t>
            </w:r>
          </w:p>
        </w:tc>
        <w:tc>
          <w:tcPr>
            <w:tcW w:w="10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100"/>
              <w:spacing w:after="0" w:line="173" w:lineRule="exact"/>
              <w:rPr>
                <w:sz w:val="20"/>
                <w:szCs w:val="20"/>
                <w:color w:val="auto"/>
              </w:rPr>
            </w:pPr>
            <w:r>
              <w:rPr>
                <w:rFonts w:ascii="Arial" w:cs="Arial" w:eastAsia="Arial" w:hAnsi="Arial"/>
                <w:sz w:val="16"/>
                <w:szCs w:val="16"/>
                <w:color w:val="auto"/>
              </w:rPr>
              <w:t>5,546,048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120"/>
              <w:spacing w:after="0" w:line="173" w:lineRule="exact"/>
              <w:rPr>
                <w:sz w:val="20"/>
                <w:szCs w:val="20"/>
                <w:color w:val="auto"/>
              </w:rPr>
            </w:pPr>
            <w:r>
              <w:rPr>
                <w:rFonts w:ascii="Arial" w:cs="Arial" w:eastAsia="Arial" w:hAnsi="Arial"/>
                <w:sz w:val="16"/>
                <w:szCs w:val="16"/>
                <w:color w:val="auto"/>
              </w:rPr>
              <w:t>5,541,476</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2024 AND 2023</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1"/>
          <w:szCs w:val="11"/>
          <w:b w:val="1"/>
          <w:bCs w:val="1"/>
          <w:color w:val="auto"/>
        </w:rPr>
        <w:t>Attributable to Credicorp's equity holders.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25"/>
        </w:trPr>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40" w:type="dxa"/>
            <w:vAlign w:val="bottom"/>
            <w:tcBorders>
              <w:top w:val="single" w:sz="8" w:color="auto"/>
              <w:bottom w:val="single" w:sz="8" w:color="auto"/>
            </w:tcBorders>
            <w:gridSpan w:val="6"/>
          </w:tcPr>
          <w:p>
            <w:pPr>
              <w:spacing w:after="0" w:line="125" w:lineRule="exact"/>
              <w:rPr>
                <w:sz w:val="20"/>
                <w:szCs w:val="20"/>
                <w:color w:val="auto"/>
              </w:rPr>
            </w:pPr>
            <w:r>
              <w:rPr>
                <w:rFonts w:ascii="Arial" w:cs="Arial" w:eastAsia="Arial" w:hAnsi="Arial"/>
                <w:sz w:val="11"/>
                <w:szCs w:val="11"/>
                <w:b w:val="1"/>
                <w:bCs w:val="1"/>
                <w:color w:val="auto"/>
              </w:rPr>
              <w:t>Other reserves</w:t>
            </w:r>
          </w:p>
        </w:tc>
        <w:tc>
          <w:tcPr>
            <w:tcW w:w="4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4"/>
          </w:tcPr>
          <w:p>
            <w:pPr>
              <w:spacing w:after="0" w:line="97" w:lineRule="exact"/>
              <w:rPr>
                <w:sz w:val="20"/>
                <w:szCs w:val="20"/>
                <w:color w:val="auto"/>
              </w:rPr>
            </w:pPr>
            <w:r>
              <w:rPr>
                <w:rFonts w:ascii="Arial" w:cs="Arial" w:eastAsia="Arial" w:hAnsi="Arial"/>
                <w:sz w:val="11"/>
                <w:szCs w:val="11"/>
                <w:b w:val="1"/>
                <w:bCs w:val="1"/>
                <w:color w:val="auto"/>
              </w:rPr>
              <w:t>Instruments</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that will not</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w:t>
            </w:r>
          </w:p>
        </w:tc>
        <w:tc>
          <w:tcPr>
            <w:tcW w:w="2600" w:type="dxa"/>
            <w:vAlign w:val="bottom"/>
            <w:gridSpan w:val="11"/>
            <w:vMerge w:val="restart"/>
          </w:tcPr>
          <w:p>
            <w:pPr>
              <w:spacing w:after="0"/>
              <w:rPr>
                <w:sz w:val="20"/>
                <w:szCs w:val="20"/>
                <w:color w:val="auto"/>
              </w:rPr>
            </w:pPr>
            <w:r>
              <w:rPr>
                <w:rFonts w:ascii="Arial" w:cs="Arial" w:eastAsia="Arial" w:hAnsi="Arial"/>
                <w:sz w:val="11"/>
                <w:szCs w:val="11"/>
                <w:b w:val="1"/>
                <w:bCs w:val="1"/>
                <w:color w:val="auto"/>
              </w:rPr>
              <w:t>Instruments that will be reclassified to the</w:t>
            </w: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10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reclassified</w:t>
            </w:r>
          </w:p>
        </w:tc>
        <w:tc>
          <w:tcPr>
            <w:tcW w:w="2600" w:type="dxa"/>
            <w:vAlign w:val="bottom"/>
            <w:gridSpan w:val="11"/>
            <w:vMerge w:val="continue"/>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to income</w:t>
            </w:r>
          </w:p>
        </w:tc>
        <w:tc>
          <w:tcPr>
            <w:tcW w:w="1940" w:type="dxa"/>
            <w:vAlign w:val="bottom"/>
            <w:gridSpan w:val="9"/>
          </w:tcPr>
          <w:p>
            <w:pPr>
              <w:spacing w:after="0"/>
              <w:rPr>
                <w:sz w:val="20"/>
                <w:szCs w:val="20"/>
                <w:color w:val="auto"/>
              </w:rPr>
            </w:pPr>
            <w:r>
              <w:rPr>
                <w:rFonts w:ascii="Arial" w:cs="Arial" w:eastAsia="Arial" w:hAnsi="Arial"/>
                <w:sz w:val="11"/>
                <w:szCs w:val="11"/>
                <w:b w:val="1"/>
                <w:bCs w:val="1"/>
                <w:color w:val="auto"/>
              </w:rPr>
              <w:t>consolidated statement of income</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Shares</w:t>
            </w: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Share-</w:t>
            </w:r>
          </w:p>
        </w:tc>
        <w:tc>
          <w:tcPr>
            <w:tcW w:w="100" w:type="dxa"/>
            <w:vAlign w:val="bottom"/>
            <w:gridSpan w:val="2"/>
            <w:vMerge w:val="restart"/>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Investments</w:t>
            </w: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Investments</w:t>
            </w:r>
          </w:p>
        </w:tc>
        <w:tc>
          <w:tcPr>
            <w:tcW w:w="560" w:type="dxa"/>
            <w:vAlign w:val="bottom"/>
            <w:gridSpan w:val="4"/>
          </w:tcPr>
          <w:p>
            <w:pPr>
              <w:ind w:left="40"/>
              <w:spacing w:after="0" w:line="97" w:lineRule="exact"/>
              <w:rPr>
                <w:sz w:val="20"/>
                <w:szCs w:val="20"/>
                <w:color w:val="auto"/>
              </w:rPr>
            </w:pPr>
            <w:r>
              <w:rPr>
                <w:rFonts w:ascii="Arial" w:cs="Arial" w:eastAsia="Arial" w:hAnsi="Arial"/>
                <w:sz w:val="11"/>
                <w:szCs w:val="11"/>
                <w:b w:val="1"/>
                <w:bCs w:val="1"/>
                <w:color w:val="auto"/>
              </w:rPr>
              <w:t>Cash</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line="97" w:lineRule="exact"/>
              <w:rPr>
                <w:sz w:val="20"/>
                <w:szCs w:val="20"/>
                <w:color w:val="auto"/>
              </w:rPr>
            </w:pPr>
            <w:r>
              <w:rPr>
                <w:rFonts w:ascii="Arial" w:cs="Arial" w:eastAsia="Arial" w:hAnsi="Arial"/>
                <w:sz w:val="11"/>
                <w:szCs w:val="11"/>
                <w:b w:val="1"/>
                <w:bCs w:val="1"/>
                <w:color w:val="auto"/>
              </w:rPr>
              <w:t>Foreign</w:t>
            </w:r>
          </w:p>
        </w:tc>
        <w:tc>
          <w:tcPr>
            <w:tcW w:w="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Non-</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Capital</w:t>
            </w:r>
          </w:p>
        </w:tc>
        <w:tc>
          <w:tcPr>
            <w:tcW w:w="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Capital</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6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flow</w:t>
            </w:r>
          </w:p>
        </w:tc>
        <w:tc>
          <w:tcPr>
            <w:tcW w:w="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Insurance</w:t>
            </w:r>
          </w:p>
        </w:tc>
        <w:tc>
          <w:tcPr>
            <w:tcW w:w="6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currency</w:t>
            </w: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58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of the</w:t>
            </w:r>
          </w:p>
        </w:tc>
        <w:tc>
          <w:tcPr>
            <w:tcW w:w="58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based</w:t>
            </w:r>
          </w:p>
        </w:tc>
        <w:tc>
          <w:tcPr>
            <w:tcW w:w="520" w:type="dxa"/>
            <w:vAlign w:val="bottom"/>
            <w:gridSpan w:val="2"/>
            <w:vMerge w:val="continue"/>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Reserves</w:t>
            </w:r>
          </w:p>
        </w:tc>
        <w:tc>
          <w:tcPr>
            <w:tcW w:w="40" w:type="dxa"/>
            <w:vAlign w:val="bottom"/>
          </w:tcPr>
          <w:p>
            <w:pPr>
              <w:spacing w:after="0"/>
              <w:rPr>
                <w:sz w:val="10"/>
                <w:szCs w:val="10"/>
                <w:color w:val="auto"/>
              </w:rPr>
            </w:pPr>
          </w:p>
        </w:tc>
        <w:tc>
          <w:tcPr>
            <w:tcW w:w="7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 equity</w:t>
            </w: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 debt</w:t>
            </w:r>
          </w:p>
        </w:tc>
        <w:tc>
          <w:tcPr>
            <w:tcW w:w="56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hedge</w:t>
            </w:r>
          </w:p>
        </w:tc>
        <w:tc>
          <w:tcPr>
            <w:tcW w:w="680" w:type="dxa"/>
            <w:vAlign w:val="bottom"/>
            <w:gridSpan w:val="3"/>
            <w:vMerge w:val="continue"/>
          </w:tcPr>
          <w:p>
            <w:pPr>
              <w:spacing w:after="0"/>
              <w:rPr>
                <w:sz w:val="10"/>
                <w:szCs w:val="10"/>
                <w:color w:val="auto"/>
              </w:rPr>
            </w:pPr>
          </w:p>
        </w:tc>
        <w:tc>
          <w:tcPr>
            <w:tcW w:w="6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translation</w:t>
            </w: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Retained earnings</w:t>
            </w: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w:t>
            </w:r>
          </w:p>
        </w:tc>
        <w:tc>
          <w:tcPr>
            <w:tcW w:w="66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controlling</w:t>
            </w:r>
          </w:p>
        </w:tc>
        <w:tc>
          <w:tcPr>
            <w:tcW w:w="4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600" w:type="dxa"/>
            <w:vAlign w:val="bottom"/>
            <w:gridSpan w:val="3"/>
          </w:tcPr>
          <w:p>
            <w:pPr>
              <w:ind w:left="20"/>
              <w:spacing w:after="0"/>
              <w:rPr>
                <w:sz w:val="20"/>
                <w:szCs w:val="20"/>
                <w:color w:val="auto"/>
              </w:rPr>
            </w:pPr>
            <w:r>
              <w:rPr>
                <w:rFonts w:ascii="Arial" w:cs="Arial" w:eastAsia="Arial" w:hAnsi="Arial"/>
                <w:sz w:val="11"/>
                <w:szCs w:val="11"/>
                <w:b w:val="1"/>
                <w:bCs w:val="1"/>
                <w:color w:val="auto"/>
              </w:rPr>
              <w:t>stock</w:t>
            </w:r>
          </w:p>
        </w:tc>
        <w:tc>
          <w:tcPr>
            <w:tcW w:w="580" w:type="dxa"/>
            <w:vAlign w:val="bottom"/>
            <w:gridSpan w:val="3"/>
          </w:tcPr>
          <w:p>
            <w:pPr>
              <w:ind w:left="40"/>
              <w:spacing w:after="0"/>
              <w:rPr>
                <w:sz w:val="20"/>
                <w:szCs w:val="20"/>
                <w:color w:val="auto"/>
              </w:rPr>
            </w:pPr>
            <w:r>
              <w:rPr>
                <w:rFonts w:ascii="Arial" w:cs="Arial" w:eastAsia="Arial" w:hAnsi="Arial"/>
                <w:sz w:val="11"/>
                <w:szCs w:val="11"/>
                <w:b w:val="1"/>
                <w:bCs w:val="1"/>
                <w:color w:val="auto"/>
              </w:rPr>
              <w:t>Group</w:t>
            </w: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payment</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surplus</w:t>
            </w:r>
          </w:p>
        </w:tc>
        <w:tc>
          <w:tcPr>
            <w:tcW w:w="6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instruments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instruments</w:t>
            </w:r>
          </w:p>
        </w:tc>
        <w:tc>
          <w:tcPr>
            <w:tcW w:w="560" w:type="dxa"/>
            <w:vAlign w:val="bottom"/>
            <w:gridSpan w:val="4"/>
          </w:tcPr>
          <w:p>
            <w:pPr>
              <w:ind w:left="40"/>
              <w:spacing w:after="0"/>
              <w:rPr>
                <w:sz w:val="20"/>
                <w:szCs w:val="20"/>
                <w:color w:val="auto"/>
              </w:rPr>
            </w:pPr>
            <w:r>
              <w:rPr>
                <w:rFonts w:ascii="Arial" w:cs="Arial" w:eastAsia="Arial" w:hAnsi="Arial"/>
                <w:sz w:val="11"/>
                <w:szCs w:val="11"/>
                <w:b w:val="1"/>
                <w:bCs w:val="1"/>
                <w:color w:val="auto"/>
              </w:rPr>
              <w:t>reserve</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reserves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reserve</w:t>
            </w:r>
          </w:p>
        </w:tc>
        <w:tc>
          <w:tcPr>
            <w:tcW w:w="1180" w:type="dxa"/>
            <w:vAlign w:val="bottom"/>
            <w:gridSpan w:val="4"/>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3"/>
          </w:tcPr>
          <w:p>
            <w:pPr>
              <w:ind w:left="40"/>
              <w:spacing w:after="0"/>
              <w:rPr>
                <w:sz w:val="20"/>
                <w:szCs w:val="20"/>
                <w:color w:val="auto"/>
              </w:rPr>
            </w:pPr>
            <w:r>
              <w:rPr>
                <w:rFonts w:ascii="Arial" w:cs="Arial" w:eastAsia="Arial" w:hAnsi="Arial"/>
                <w:sz w:val="11"/>
                <w:szCs w:val="11"/>
                <w:b w:val="1"/>
                <w:bCs w:val="1"/>
                <w:color w:val="auto"/>
              </w:rPr>
              <w:t>interest</w:t>
            </w:r>
          </w:p>
        </w:tc>
        <w:tc>
          <w:tcPr>
            <w:tcW w:w="40" w:type="dxa"/>
            <w:vAlign w:val="bottom"/>
          </w:tcPr>
          <w:p>
            <w:pPr>
              <w:spacing w:after="0"/>
              <w:rPr>
                <w:sz w:val="11"/>
                <w:szCs w:val="11"/>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00" w:type="dxa"/>
            <w:vAlign w:val="bottom"/>
            <w:gridSpan w:val="2"/>
          </w:tcPr>
          <w:p>
            <w:pPr>
              <w:spacing w:after="0"/>
              <w:rPr>
                <w:sz w:val="12"/>
                <w:szCs w:val="12"/>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gridSpan w:val="2"/>
          </w:tcPr>
          <w:p>
            <w:pPr>
              <w:spacing w:after="0"/>
              <w:rPr>
                <w:sz w:val="12"/>
                <w:szCs w:val="12"/>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00" w:type="dxa"/>
            <w:vAlign w:val="bottom"/>
            <w:gridSpan w:val="2"/>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00" w:type="dxa"/>
            <w:vAlign w:val="bottom"/>
            <w:gridSpan w:val="2"/>
          </w:tcPr>
          <w:p>
            <w:pPr>
              <w:spacing w:after="0"/>
              <w:rPr>
                <w:sz w:val="12"/>
                <w:szCs w:val="12"/>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20" w:type="dxa"/>
            <w:vAlign w:val="bottom"/>
            <w:gridSpan w:val="2"/>
          </w:tcPr>
          <w:p>
            <w:pPr>
              <w:spacing w:after="0"/>
              <w:rPr>
                <w:sz w:val="12"/>
                <w:szCs w:val="12"/>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Balances as of January 1, 2023</w:t>
            </w:r>
          </w:p>
        </w:tc>
        <w:tc>
          <w:tcPr>
            <w:tcW w:w="600" w:type="dxa"/>
            <w:vAlign w:val="bottom"/>
            <w:gridSpan w:val="3"/>
          </w:tcPr>
          <w:p>
            <w:pPr>
              <w:jc w:val="right"/>
              <w:ind w:right="40"/>
              <w:spacing w:after="0"/>
              <w:rPr>
                <w:sz w:val="20"/>
                <w:szCs w:val="20"/>
                <w:color w:val="auto"/>
              </w:rPr>
            </w:pPr>
            <w:r>
              <w:rPr>
                <w:rFonts w:ascii="Arial" w:cs="Arial" w:eastAsia="Arial" w:hAnsi="Arial"/>
                <w:sz w:val="11"/>
                <w:szCs w:val="11"/>
                <w:color w:val="auto"/>
              </w:rPr>
              <w:t>1,318,993</w:t>
            </w: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(204,326)</w:t>
            </w:r>
          </w:p>
        </w:tc>
        <w:tc>
          <w:tcPr>
            <w:tcW w:w="540" w:type="dxa"/>
            <w:vAlign w:val="bottom"/>
            <w:gridSpan w:val="3"/>
          </w:tcPr>
          <w:p>
            <w:pPr>
              <w:jc w:val="right"/>
              <w:ind w:right="20"/>
              <w:spacing w:after="0"/>
              <w:rPr>
                <w:sz w:val="20"/>
                <w:szCs w:val="20"/>
                <w:color w:val="auto"/>
              </w:rPr>
            </w:pPr>
            <w:r>
              <w:rPr>
                <w:rFonts w:ascii="Arial" w:cs="Arial" w:eastAsia="Arial" w:hAnsi="Arial"/>
                <w:sz w:val="11"/>
                <w:szCs w:val="11"/>
                <w:color w:val="auto"/>
              </w:rPr>
              <w:t>(3,192)</w:t>
            </w:r>
          </w:p>
        </w:tc>
        <w:tc>
          <w:tcPr>
            <w:tcW w:w="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231,556</w:t>
            </w:r>
          </w:p>
        </w:tc>
        <w:tc>
          <w:tcPr>
            <w:tcW w:w="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1"/>
                <w:szCs w:val="11"/>
                <w:color w:val="auto"/>
              </w:rPr>
              <w:t>23,659,626</w:t>
            </w:r>
          </w:p>
        </w:tc>
        <w:tc>
          <w:tcPr>
            <w:tcW w:w="740" w:type="dxa"/>
            <w:vAlign w:val="bottom"/>
            <w:gridSpan w:val="4"/>
          </w:tcPr>
          <w:p>
            <w:pPr>
              <w:jc w:val="right"/>
              <w:ind w:right="40"/>
              <w:spacing w:after="0"/>
              <w:rPr>
                <w:sz w:val="20"/>
                <w:szCs w:val="20"/>
                <w:color w:val="auto"/>
              </w:rPr>
            </w:pPr>
            <w:r>
              <w:rPr>
                <w:rFonts w:ascii="Arial" w:cs="Arial" w:eastAsia="Arial" w:hAnsi="Arial"/>
                <w:sz w:val="11"/>
                <w:szCs w:val="11"/>
                <w:color w:val="auto"/>
              </w:rPr>
              <w:t>170,408</w:t>
            </w:r>
          </w:p>
        </w:tc>
        <w:tc>
          <w:tcPr>
            <w:tcW w:w="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(1,655,559)</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788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1,133,536</w:t>
            </w:r>
          </w:p>
        </w:tc>
        <w:tc>
          <w:tcPr>
            <w:tcW w:w="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74,655</w:t>
            </w:r>
          </w:p>
        </w:tc>
        <w:tc>
          <w:tcPr>
            <w:tcW w:w="1120" w:type="dxa"/>
            <w:vAlign w:val="bottom"/>
            <w:gridSpan w:val="3"/>
          </w:tcPr>
          <w:p>
            <w:pPr>
              <w:jc w:val="right"/>
              <w:ind w:right="60"/>
              <w:spacing w:after="0"/>
              <w:rPr>
                <w:sz w:val="20"/>
                <w:szCs w:val="20"/>
                <w:color w:val="auto"/>
              </w:rPr>
            </w:pPr>
            <w:r>
              <w:rPr>
                <w:rFonts w:ascii="Arial" w:cs="Arial" w:eastAsia="Arial" w:hAnsi="Arial"/>
                <w:sz w:val="11"/>
                <w:szCs w:val="11"/>
                <w:color w:val="auto"/>
              </w:rPr>
              <w:t>4,277,159</w:t>
            </w:r>
          </w:p>
        </w:tc>
        <w:tc>
          <w:tcPr>
            <w:tcW w:w="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29,003,644</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591,569</w:t>
            </w:r>
          </w:p>
        </w:tc>
        <w:tc>
          <w:tcPr>
            <w:tcW w:w="40" w:type="dxa"/>
            <w:vAlign w:val="bottom"/>
          </w:tcPr>
          <w:p>
            <w:pPr>
              <w:spacing w:after="0"/>
              <w:rPr>
                <w:sz w:val="16"/>
                <w:szCs w:val="16"/>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1"/>
                <w:szCs w:val="11"/>
                <w:color w:val="auto"/>
              </w:rPr>
              <w:t>29,595,213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Changes in equity in 2023</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Net result after income tax</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4,865,540</w:t>
            </w: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4,865,540</w:t>
            </w:r>
          </w:p>
        </w:tc>
        <w:tc>
          <w:tcPr>
            <w:tcW w:w="66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94,338</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4,959,878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Other comprehensive income,</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color w:val="auto"/>
              </w:rPr>
              <w:t>Note 16(d)</w:t>
            </w:r>
          </w:p>
        </w:tc>
        <w:tc>
          <w:tcPr>
            <w:tcW w:w="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(12,247)</w:t>
            </w:r>
          </w:p>
        </w:tc>
        <w:tc>
          <w:tcPr>
            <w:tcW w:w="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1,258,137</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(12,191)</w:t>
            </w:r>
          </w:p>
        </w:tc>
        <w:tc>
          <w:tcPr>
            <w:tcW w:w="4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(754,192)</w:t>
            </w:r>
          </w:p>
        </w:tc>
        <w:tc>
          <w:tcPr>
            <w:tcW w:w="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92,448</w:t>
            </w:r>
          </w:p>
        </w:tc>
        <w:tc>
          <w:tcPr>
            <w:tcW w:w="60" w:type="dxa"/>
            <w:vAlign w:val="bottom"/>
          </w:tcPr>
          <w:p>
            <w:pPr>
              <w:spacing w:after="0"/>
              <w:rPr>
                <w:sz w:val="12"/>
                <w:szCs w:val="1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571,955</w:t>
            </w:r>
          </w:p>
        </w:tc>
        <w:tc>
          <w:tcPr>
            <w:tcW w:w="660" w:type="dxa"/>
            <w:vAlign w:val="bottom"/>
            <w:gridSpan w:val="3"/>
          </w:tcPr>
          <w:p>
            <w:pPr>
              <w:jc w:val="right"/>
              <w:ind w:right="40"/>
              <w:spacing w:after="0"/>
              <w:rPr>
                <w:sz w:val="20"/>
                <w:szCs w:val="20"/>
                <w:color w:val="auto"/>
              </w:rPr>
            </w:pPr>
            <w:r>
              <w:rPr>
                <w:rFonts w:ascii="Arial" w:cs="Arial" w:eastAsia="Arial" w:hAnsi="Arial"/>
                <w:sz w:val="11"/>
                <w:szCs w:val="11"/>
                <w:color w:val="auto"/>
              </w:rPr>
              <w:t>9,643</w:t>
            </w:r>
          </w:p>
        </w:tc>
        <w:tc>
          <w:tcPr>
            <w:tcW w:w="640" w:type="dxa"/>
            <w:vAlign w:val="bottom"/>
            <w:gridSpan w:val="3"/>
          </w:tcPr>
          <w:p>
            <w:pPr>
              <w:jc w:val="right"/>
              <w:spacing w:after="0"/>
              <w:rPr>
                <w:sz w:val="20"/>
                <w:szCs w:val="20"/>
                <w:color w:val="auto"/>
              </w:rPr>
            </w:pPr>
            <w:r>
              <w:rPr>
                <w:rFonts w:ascii="Arial" w:cs="Arial" w:eastAsia="Arial" w:hAnsi="Arial"/>
                <w:sz w:val="11"/>
                <w:szCs w:val="11"/>
                <w:color w:val="auto"/>
              </w:rPr>
              <w:t>581,598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680" w:type="dxa"/>
            <w:vAlign w:val="bottom"/>
          </w:tcPr>
          <w:p>
            <w:pPr>
              <w:spacing w:after="0" w:line="97" w:lineRule="exact"/>
              <w:rPr>
                <w:sz w:val="20"/>
                <w:szCs w:val="20"/>
                <w:color w:val="auto"/>
              </w:rPr>
            </w:pPr>
            <w:r>
              <w:rPr>
                <w:rFonts w:ascii="Arial" w:cs="Arial" w:eastAsia="Arial" w:hAnsi="Arial"/>
                <w:sz w:val="11"/>
                <w:szCs w:val="11"/>
                <w:color w:val="auto"/>
              </w:rPr>
              <w:t>Total comprehensive income</w:t>
            </w:r>
          </w:p>
        </w:tc>
        <w:tc>
          <w:tcPr>
            <w:tcW w:w="20" w:type="dxa"/>
            <w:vAlign w:val="bottom"/>
          </w:tcPr>
          <w:p>
            <w:pPr>
              <w:spacing w:after="0"/>
              <w:rPr>
                <w:sz w:val="8"/>
                <w:szCs w:val="8"/>
                <w:color w:val="auto"/>
              </w:rPr>
            </w:pPr>
          </w:p>
        </w:tc>
        <w:tc>
          <w:tcPr>
            <w:tcW w:w="58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54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52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52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64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auto"/>
            </w:tcBorders>
            <w:gridSpan w:val="2"/>
          </w:tcPr>
          <w:p>
            <w:pPr>
              <w:jc w:val="right"/>
              <w:spacing w:after="0" w:line="97" w:lineRule="exact"/>
              <w:rPr>
                <w:sz w:val="20"/>
                <w:szCs w:val="20"/>
                <w:color w:val="auto"/>
              </w:rPr>
            </w:pPr>
            <w:r>
              <w:rPr>
                <w:rFonts w:ascii="Arial" w:cs="Arial" w:eastAsia="Arial" w:hAnsi="Arial"/>
                <w:sz w:val="11"/>
                <w:szCs w:val="11"/>
                <w:color w:val="auto"/>
              </w:rPr>
              <w:t>(12,247)</w:t>
            </w:r>
          </w:p>
        </w:tc>
        <w:tc>
          <w:tcPr>
            <w:tcW w:w="40" w:type="dxa"/>
            <w:vAlign w:val="bottom"/>
          </w:tcPr>
          <w:p>
            <w:pPr>
              <w:spacing w:after="0"/>
              <w:rPr>
                <w:sz w:val="8"/>
                <w:szCs w:val="8"/>
                <w:color w:val="auto"/>
              </w:rPr>
            </w:pPr>
          </w:p>
        </w:tc>
        <w:tc>
          <w:tcPr>
            <w:tcW w:w="70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1,258,137</w:t>
            </w:r>
          </w:p>
        </w:tc>
        <w:tc>
          <w:tcPr>
            <w:tcW w:w="40" w:type="dxa"/>
            <w:vAlign w:val="bottom"/>
          </w:tcPr>
          <w:p>
            <w:pPr>
              <w:spacing w:after="0"/>
              <w:rPr>
                <w:sz w:val="8"/>
                <w:szCs w:val="8"/>
                <w:color w:val="auto"/>
              </w:rPr>
            </w:pPr>
          </w:p>
        </w:tc>
        <w:tc>
          <w:tcPr>
            <w:tcW w:w="480" w:type="dxa"/>
            <w:vAlign w:val="bottom"/>
            <w:tcBorders>
              <w:top w:val="single" w:sz="8" w:color="auto"/>
            </w:tcBorders>
            <w:gridSpan w:val="2"/>
          </w:tcPr>
          <w:p>
            <w:pPr>
              <w:jc w:val="right"/>
              <w:ind w:right="20"/>
              <w:spacing w:after="0" w:line="97" w:lineRule="exact"/>
              <w:rPr>
                <w:sz w:val="20"/>
                <w:szCs w:val="20"/>
                <w:color w:val="auto"/>
              </w:rPr>
            </w:pPr>
            <w:r>
              <w:rPr>
                <w:rFonts w:ascii="Arial" w:cs="Arial" w:eastAsia="Arial" w:hAnsi="Arial"/>
                <w:sz w:val="11"/>
                <w:szCs w:val="11"/>
                <w:color w:val="auto"/>
              </w:rPr>
              <w:t>(12,191)</w:t>
            </w:r>
          </w:p>
        </w:tc>
        <w:tc>
          <w:tcPr>
            <w:tcW w:w="40" w:type="dxa"/>
            <w:vAlign w:val="bottom"/>
          </w:tcPr>
          <w:p>
            <w:pPr>
              <w:spacing w:after="0"/>
              <w:rPr>
                <w:sz w:val="8"/>
                <w:szCs w:val="8"/>
                <w:color w:val="auto"/>
              </w:rPr>
            </w:pPr>
          </w:p>
        </w:tc>
        <w:tc>
          <w:tcPr>
            <w:tcW w:w="640" w:type="dxa"/>
            <w:vAlign w:val="bottom"/>
            <w:tcBorders>
              <w:top w:val="single" w:sz="8" w:color="auto"/>
            </w:tcBorders>
            <w:gridSpan w:val="2"/>
          </w:tcPr>
          <w:p>
            <w:pPr>
              <w:jc w:val="right"/>
              <w:ind w:right="20"/>
              <w:spacing w:after="0" w:line="97" w:lineRule="exact"/>
              <w:rPr>
                <w:sz w:val="20"/>
                <w:szCs w:val="20"/>
                <w:color w:val="auto"/>
              </w:rPr>
            </w:pPr>
            <w:r>
              <w:rPr>
                <w:rFonts w:ascii="Arial" w:cs="Arial" w:eastAsia="Arial" w:hAnsi="Arial"/>
                <w:sz w:val="11"/>
                <w:szCs w:val="11"/>
                <w:color w:val="auto"/>
              </w:rPr>
              <w:t>(754,192)</w:t>
            </w:r>
          </w:p>
        </w:tc>
        <w:tc>
          <w:tcPr>
            <w:tcW w:w="40" w:type="dxa"/>
            <w:vAlign w:val="bottom"/>
          </w:tcPr>
          <w:p>
            <w:pPr>
              <w:spacing w:after="0"/>
              <w:rPr>
                <w:sz w:val="8"/>
                <w:szCs w:val="8"/>
                <w:color w:val="auto"/>
              </w:rPr>
            </w:pPr>
          </w:p>
        </w:tc>
        <w:tc>
          <w:tcPr>
            <w:tcW w:w="66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92,448</w:t>
            </w:r>
          </w:p>
        </w:tc>
        <w:tc>
          <w:tcPr>
            <w:tcW w:w="60" w:type="dxa"/>
            <w:vAlign w:val="bottom"/>
          </w:tcPr>
          <w:p>
            <w:pPr>
              <w:spacing w:after="0"/>
              <w:rPr>
                <w:sz w:val="8"/>
                <w:szCs w:val="8"/>
                <w:color w:val="auto"/>
              </w:rPr>
            </w:pPr>
          </w:p>
        </w:tc>
        <w:tc>
          <w:tcPr>
            <w:tcW w:w="106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4,865,540</w:t>
            </w:r>
          </w:p>
        </w:tc>
        <w:tc>
          <w:tcPr>
            <w:tcW w:w="60" w:type="dxa"/>
            <w:vAlign w:val="bottom"/>
          </w:tcPr>
          <w:p>
            <w:pPr>
              <w:spacing w:after="0"/>
              <w:rPr>
                <w:sz w:val="8"/>
                <w:szCs w:val="8"/>
                <w:color w:val="auto"/>
              </w:rPr>
            </w:pPr>
          </w:p>
        </w:tc>
        <w:tc>
          <w:tcPr>
            <w:tcW w:w="66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5,437,495</w:t>
            </w:r>
          </w:p>
        </w:tc>
        <w:tc>
          <w:tcPr>
            <w:tcW w:w="40" w:type="dxa"/>
            <w:vAlign w:val="bottom"/>
          </w:tcPr>
          <w:p>
            <w:pPr>
              <w:spacing w:after="0"/>
              <w:rPr>
                <w:sz w:val="8"/>
                <w:szCs w:val="8"/>
                <w:color w:val="auto"/>
              </w:rPr>
            </w:pPr>
          </w:p>
        </w:tc>
        <w:tc>
          <w:tcPr>
            <w:tcW w:w="5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1"/>
                <w:szCs w:val="11"/>
                <w:color w:val="auto"/>
              </w:rPr>
              <w:t>103,981</w:t>
            </w: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auto"/>
            </w:tcBorders>
            <w:gridSpan w:val="2"/>
          </w:tcPr>
          <w:p>
            <w:pPr>
              <w:jc w:val="right"/>
              <w:ind w:right="20"/>
              <w:spacing w:after="0" w:line="97" w:lineRule="exact"/>
              <w:rPr>
                <w:sz w:val="20"/>
                <w:szCs w:val="20"/>
                <w:color w:val="auto"/>
              </w:rPr>
            </w:pPr>
            <w:r>
              <w:rPr>
                <w:rFonts w:ascii="Arial" w:cs="Arial" w:eastAsia="Arial" w:hAnsi="Arial"/>
                <w:sz w:val="11"/>
                <w:szCs w:val="11"/>
                <w:color w:val="auto"/>
              </w:rPr>
              <w:t>5,541,476</w:t>
            </w:r>
          </w:p>
        </w:tc>
        <w:tc>
          <w:tcPr>
            <w:tcW w:w="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Transfer of retained earnings to</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reserves, Note 16(c)</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2,593,598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(2,593,598)</w:t>
            </w: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 distribution, Note 16(e)</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(1,994,037)</w:t>
            </w: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(1,994,037)</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5"/>
          </w:tcPr>
          <w:p>
            <w:pPr>
              <w:jc w:val="right"/>
              <w:ind w:right="20"/>
              <w:spacing w:after="0" w:line="121" w:lineRule="exact"/>
              <w:rPr>
                <w:sz w:val="20"/>
                <w:szCs w:val="20"/>
                <w:color w:val="auto"/>
              </w:rPr>
            </w:pPr>
            <w:r>
              <w:rPr>
                <w:rFonts w:ascii="Arial" w:cs="Arial" w:eastAsia="Arial" w:hAnsi="Arial"/>
                <w:sz w:val="11"/>
                <w:szCs w:val="11"/>
                <w:color w:val="auto"/>
              </w:rPr>
              <w:t>(1,994,037)</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Dividends paid to non-controlling</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interest of subsidiaries</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(62,051)</w:t>
            </w:r>
          </w:p>
        </w:tc>
        <w:tc>
          <w:tcPr>
            <w:tcW w:w="700" w:type="dxa"/>
            <w:vAlign w:val="bottom"/>
            <w:gridSpan w:val="5"/>
          </w:tcPr>
          <w:p>
            <w:pPr>
              <w:jc w:val="right"/>
              <w:ind w:right="20"/>
              <w:spacing w:after="0" w:line="121" w:lineRule="exact"/>
              <w:rPr>
                <w:sz w:val="20"/>
                <w:szCs w:val="20"/>
                <w:color w:val="auto"/>
              </w:rPr>
            </w:pPr>
            <w:r>
              <w:rPr>
                <w:rFonts w:ascii="Arial" w:cs="Arial" w:eastAsia="Arial" w:hAnsi="Arial"/>
                <w:sz w:val="11"/>
                <w:szCs w:val="11"/>
                <w:color w:val="auto"/>
              </w:rPr>
              <w:t>(62,051)</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Subsidiary acquisition</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14,192</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14,192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Minority purchase</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(1,773)</w:t>
            </w:r>
          </w:p>
        </w:tc>
        <w:tc>
          <w:tcPr>
            <w:tcW w:w="700" w:type="dxa"/>
            <w:vAlign w:val="bottom"/>
            <w:gridSpan w:val="5"/>
          </w:tcPr>
          <w:p>
            <w:pPr>
              <w:jc w:val="right"/>
              <w:ind w:right="20"/>
              <w:spacing w:after="0" w:line="121" w:lineRule="exact"/>
              <w:rPr>
                <w:sz w:val="20"/>
                <w:szCs w:val="20"/>
                <w:color w:val="auto"/>
              </w:rPr>
            </w:pPr>
            <w:r>
              <w:rPr>
                <w:rFonts w:ascii="Arial" w:cs="Arial" w:eastAsia="Arial" w:hAnsi="Arial"/>
                <w:sz w:val="11"/>
                <w:szCs w:val="11"/>
                <w:color w:val="auto"/>
              </w:rPr>
              <w:t>(1,773)</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Purchase of treasury stock, Note</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16(b)</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(2,279)</w:t>
            </w:r>
          </w:p>
        </w:tc>
        <w:tc>
          <w:tcPr>
            <w:tcW w:w="40" w:type="dxa"/>
            <w:vAlign w:val="bottom"/>
          </w:tcPr>
          <w:p>
            <w:pPr>
              <w:spacing w:after="0"/>
              <w:rPr>
                <w:sz w:val="10"/>
                <w:szCs w:val="10"/>
                <w:color w:val="auto"/>
              </w:rPr>
            </w:pPr>
          </w:p>
        </w:tc>
        <w:tc>
          <w:tcPr>
            <w:tcW w:w="5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(83,296)</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(85,575)</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5"/>
          </w:tcPr>
          <w:p>
            <w:pPr>
              <w:jc w:val="right"/>
              <w:ind w:right="20"/>
              <w:spacing w:after="0" w:line="121" w:lineRule="exact"/>
              <w:rPr>
                <w:sz w:val="20"/>
                <w:szCs w:val="20"/>
                <w:color w:val="auto"/>
              </w:rPr>
            </w:pPr>
            <w:r>
              <w:rPr>
                <w:rFonts w:ascii="Arial" w:cs="Arial" w:eastAsia="Arial" w:hAnsi="Arial"/>
                <w:sz w:val="11"/>
                <w:szCs w:val="11"/>
                <w:color w:val="auto"/>
              </w:rPr>
              <w:t>(85,575)</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Share-based payment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transactions</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1,764</w:t>
            </w:r>
          </w:p>
        </w:tc>
        <w:tc>
          <w:tcPr>
            <w:tcW w:w="40" w:type="dxa"/>
            <w:vAlign w:val="bottom"/>
          </w:tcPr>
          <w:p>
            <w:pPr>
              <w:spacing w:after="0"/>
              <w:rPr>
                <w:sz w:val="10"/>
                <w:szCs w:val="10"/>
                <w:color w:val="auto"/>
              </w:rPr>
            </w:pP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79,979</w:t>
            </w:r>
          </w:p>
        </w:tc>
        <w:tc>
          <w:tcPr>
            <w:tcW w:w="6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(12,225)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69,518</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69,518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Dividends not collected</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11,579</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11,579</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11,579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Result from exchange of</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strategic shares</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14,425</w:t>
            </w: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14,425</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14,425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80" w:type="dxa"/>
            <w:vAlign w:val="bottom"/>
          </w:tcPr>
          <w:p>
            <w:pPr>
              <w:spacing w:after="0"/>
              <w:rPr>
                <w:sz w:val="20"/>
                <w:szCs w:val="20"/>
                <w:color w:val="auto"/>
              </w:rPr>
            </w:pPr>
            <w:r>
              <w:rPr>
                <w:rFonts w:ascii="Arial" w:cs="Arial" w:eastAsia="Arial" w:hAnsi="Arial"/>
                <w:sz w:val="11"/>
                <w:szCs w:val="11"/>
                <w:color w:val="auto"/>
              </w:rPr>
              <w:t>Others</w:t>
            </w:r>
          </w:p>
        </w:tc>
        <w:tc>
          <w:tcPr>
            <w:tcW w:w="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1"/>
                <w:szCs w:val="11"/>
                <w:color w:val="auto"/>
              </w:rPr>
              <w:t>2,955</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2,955</w:t>
            </w:r>
          </w:p>
        </w:tc>
        <w:tc>
          <w:tcPr>
            <w:tcW w:w="660" w:type="dxa"/>
            <w:vAlign w:val="bottom"/>
            <w:gridSpan w:val="3"/>
          </w:tcPr>
          <w:p>
            <w:pPr>
              <w:jc w:val="right"/>
              <w:ind w:right="40"/>
              <w:spacing w:after="0"/>
              <w:rPr>
                <w:sz w:val="20"/>
                <w:szCs w:val="20"/>
                <w:color w:val="auto"/>
              </w:rPr>
            </w:pPr>
            <w:r>
              <w:rPr>
                <w:rFonts w:ascii="Arial" w:cs="Arial" w:eastAsia="Arial" w:hAnsi="Arial"/>
                <w:sz w:val="11"/>
                <w:szCs w:val="11"/>
                <w:color w:val="auto"/>
              </w:rPr>
              <w:t>1,143</w:t>
            </w:r>
          </w:p>
        </w:tc>
        <w:tc>
          <w:tcPr>
            <w:tcW w:w="660" w:type="dxa"/>
            <w:vAlign w:val="bottom"/>
            <w:gridSpan w:val="4"/>
          </w:tcPr>
          <w:p>
            <w:pPr>
              <w:jc w:val="right"/>
              <w:ind w:right="20"/>
              <w:spacing w:after="0"/>
              <w:rPr>
                <w:sz w:val="20"/>
                <w:szCs w:val="20"/>
                <w:color w:val="auto"/>
              </w:rPr>
            </w:pPr>
            <w:r>
              <w:rPr>
                <w:rFonts w:ascii="Arial" w:cs="Arial" w:eastAsia="Arial" w:hAnsi="Arial"/>
                <w:sz w:val="11"/>
                <w:szCs w:val="11"/>
                <w:color w:val="auto"/>
              </w:rPr>
              <w:t>4,098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680" w:type="dxa"/>
            <w:vAlign w:val="bottom"/>
          </w:tcPr>
          <w:p>
            <w:pPr>
              <w:spacing w:after="0" w:line="93" w:lineRule="exact"/>
              <w:rPr>
                <w:sz w:val="20"/>
                <w:szCs w:val="20"/>
                <w:color w:val="auto"/>
              </w:rPr>
            </w:pPr>
            <w:r>
              <w:rPr>
                <w:rFonts w:ascii="Arial" w:cs="Arial" w:eastAsia="Arial" w:hAnsi="Arial"/>
                <w:sz w:val="10"/>
                <w:szCs w:val="10"/>
                <w:b w:val="1"/>
                <w:bCs w:val="1"/>
                <w:color w:val="auto"/>
              </w:rPr>
              <w:t>Balances as of December 31,</w:t>
            </w:r>
          </w:p>
        </w:tc>
        <w:tc>
          <w:tcPr>
            <w:tcW w:w="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1,318,993</w:t>
            </w:r>
          </w:p>
        </w:tc>
        <w:tc>
          <w:tcPr>
            <w:tcW w:w="4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(204,326)</w:t>
            </w:r>
          </w:p>
        </w:tc>
        <w:tc>
          <w:tcPr>
            <w:tcW w:w="2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(3,707)</w:t>
            </w:r>
          </w:p>
        </w:tc>
        <w:tc>
          <w:tcPr>
            <w:tcW w:w="40" w:type="dxa"/>
            <w:vAlign w:val="bottom"/>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228,239</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26,252,578</w:t>
            </w:r>
          </w:p>
        </w:tc>
        <w:tc>
          <w:tcPr>
            <w:tcW w:w="60" w:type="dxa"/>
            <w:vAlign w:val="bottom"/>
            <w:gridSpan w:val="2"/>
          </w:tcPr>
          <w:p>
            <w:pPr>
              <w:spacing w:after="0"/>
              <w:rPr>
                <w:sz w:val="12"/>
                <w:szCs w:val="12"/>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158,161</w:t>
            </w:r>
          </w:p>
        </w:tc>
        <w:tc>
          <w:tcPr>
            <w:tcW w:w="4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(397,422)</w:t>
            </w:r>
          </w:p>
        </w:tc>
        <w:tc>
          <w:tcPr>
            <w:tcW w:w="4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(11,403)</w:t>
            </w:r>
          </w:p>
        </w:tc>
        <w:tc>
          <w:tcPr>
            <w:tcW w:w="4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379,344</w:t>
            </w:r>
          </w:p>
        </w:tc>
        <w:tc>
          <w:tcPr>
            <w:tcW w:w="40" w:type="dxa"/>
            <w:vAlign w:val="bottom"/>
          </w:tcPr>
          <w:p>
            <w:pPr>
              <w:spacing w:after="0"/>
              <w:rPr>
                <w:sz w:val="12"/>
                <w:szCs w:val="12"/>
                <w:color w:val="auto"/>
              </w:rPr>
            </w:pP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w w:val="95"/>
              </w:rPr>
              <w:t>167,103</w:t>
            </w: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4,572,444</w:t>
            </w:r>
          </w:p>
        </w:tc>
        <w:tc>
          <w:tcPr>
            <w:tcW w:w="6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32,460,004</w:t>
            </w:r>
          </w:p>
        </w:tc>
        <w:tc>
          <w:tcPr>
            <w:tcW w:w="4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647,061</w:t>
            </w:r>
          </w:p>
        </w:tc>
        <w:tc>
          <w:tcPr>
            <w:tcW w:w="40" w:type="dxa"/>
            <w:vAlign w:val="bottom"/>
            <w:tcBorders>
              <w:bottom w:val="single" w:sz="8" w:color="auto"/>
            </w:tcBorders>
          </w:tcPr>
          <w:p>
            <w:pPr>
              <w:spacing w:after="0"/>
              <w:rPr>
                <w:sz w:val="12"/>
                <w:szCs w:val="12"/>
                <w:color w:val="auto"/>
              </w:rPr>
            </w:pPr>
          </w:p>
        </w:tc>
        <w:tc>
          <w:tcPr>
            <w:tcW w:w="60" w:type="dxa"/>
            <w:vAlign w:val="bottom"/>
            <w:gridSpan w:val="2"/>
          </w:tcPr>
          <w:p>
            <w:pPr>
              <w:spacing w:after="0"/>
              <w:rPr>
                <w:sz w:val="12"/>
                <w:szCs w:val="12"/>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33,107,065</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Balances as of January 1, 2024</w:t>
            </w:r>
          </w:p>
        </w:tc>
        <w:tc>
          <w:tcPr>
            <w:tcW w:w="600" w:type="dxa"/>
            <w:vAlign w:val="bottom"/>
            <w:gridSpan w:val="3"/>
          </w:tcPr>
          <w:p>
            <w:pPr>
              <w:jc w:val="right"/>
              <w:ind w:right="40"/>
              <w:spacing w:after="0"/>
              <w:rPr>
                <w:sz w:val="20"/>
                <w:szCs w:val="20"/>
                <w:color w:val="auto"/>
              </w:rPr>
            </w:pPr>
            <w:r>
              <w:rPr>
                <w:rFonts w:ascii="Arial" w:cs="Arial" w:eastAsia="Arial" w:hAnsi="Arial"/>
                <w:sz w:val="11"/>
                <w:szCs w:val="11"/>
                <w:color w:val="auto"/>
              </w:rPr>
              <w:t>1,318,993</w:t>
            </w: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(204,326)</w:t>
            </w:r>
          </w:p>
        </w:tc>
        <w:tc>
          <w:tcPr>
            <w:tcW w:w="540" w:type="dxa"/>
            <w:vAlign w:val="bottom"/>
            <w:gridSpan w:val="3"/>
          </w:tcPr>
          <w:p>
            <w:pPr>
              <w:jc w:val="right"/>
              <w:ind w:right="20"/>
              <w:spacing w:after="0"/>
              <w:rPr>
                <w:sz w:val="20"/>
                <w:szCs w:val="20"/>
                <w:color w:val="auto"/>
              </w:rPr>
            </w:pPr>
            <w:r>
              <w:rPr>
                <w:rFonts w:ascii="Arial" w:cs="Arial" w:eastAsia="Arial" w:hAnsi="Arial"/>
                <w:sz w:val="11"/>
                <w:szCs w:val="11"/>
                <w:color w:val="auto"/>
              </w:rPr>
              <w:t>(3,707)</w:t>
            </w: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228,239</w:t>
            </w:r>
          </w:p>
        </w:tc>
        <w:tc>
          <w:tcPr>
            <w:tcW w:w="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1"/>
                <w:szCs w:val="11"/>
                <w:color w:val="auto"/>
              </w:rPr>
              <w:t>26,252,578</w:t>
            </w:r>
          </w:p>
        </w:tc>
        <w:tc>
          <w:tcPr>
            <w:tcW w:w="740" w:type="dxa"/>
            <w:vAlign w:val="bottom"/>
            <w:gridSpan w:val="4"/>
          </w:tcPr>
          <w:p>
            <w:pPr>
              <w:jc w:val="right"/>
              <w:ind w:right="40"/>
              <w:spacing w:after="0"/>
              <w:rPr>
                <w:sz w:val="20"/>
                <w:szCs w:val="20"/>
                <w:color w:val="auto"/>
              </w:rPr>
            </w:pPr>
            <w:r>
              <w:rPr>
                <w:rFonts w:ascii="Arial" w:cs="Arial" w:eastAsia="Arial" w:hAnsi="Arial"/>
                <w:sz w:val="11"/>
                <w:szCs w:val="11"/>
                <w:color w:val="auto"/>
              </w:rPr>
              <w:t>158,161</w:t>
            </w: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(397,422)</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(11,403)</w:t>
            </w:r>
          </w:p>
        </w:tc>
        <w:tc>
          <w:tcPr>
            <w:tcW w:w="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379,344</w:t>
            </w:r>
          </w:p>
        </w:tc>
        <w:tc>
          <w:tcPr>
            <w:tcW w:w="40" w:type="dxa"/>
            <w:vAlign w:val="bottom"/>
          </w:tcPr>
          <w:p>
            <w:pPr>
              <w:spacing w:after="0"/>
              <w:rPr>
                <w:sz w:val="18"/>
                <w:szCs w:val="18"/>
                <w:color w:val="auto"/>
              </w:rPr>
            </w:pPr>
          </w:p>
        </w:tc>
        <w:tc>
          <w:tcPr>
            <w:tcW w:w="600" w:type="dxa"/>
            <w:vAlign w:val="bottom"/>
          </w:tcPr>
          <w:p>
            <w:pPr>
              <w:ind w:left="200"/>
              <w:spacing w:after="0"/>
              <w:rPr>
                <w:sz w:val="20"/>
                <w:szCs w:val="20"/>
                <w:color w:val="auto"/>
              </w:rPr>
            </w:pPr>
            <w:r>
              <w:rPr>
                <w:rFonts w:ascii="Arial" w:cs="Arial" w:eastAsia="Arial" w:hAnsi="Arial"/>
                <w:sz w:val="11"/>
                <w:szCs w:val="11"/>
                <w:color w:val="auto"/>
                <w:w w:val="95"/>
              </w:rPr>
              <w:t>167,103</w:t>
            </w:r>
          </w:p>
        </w:tc>
        <w:tc>
          <w:tcPr>
            <w:tcW w:w="6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1"/>
                <w:szCs w:val="11"/>
                <w:color w:val="auto"/>
              </w:rPr>
              <w:t>4,572,444</w:t>
            </w:r>
          </w:p>
        </w:tc>
        <w:tc>
          <w:tcPr>
            <w:tcW w:w="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32,460,004</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647,061</w:t>
            </w:r>
          </w:p>
        </w:tc>
        <w:tc>
          <w:tcPr>
            <w:tcW w:w="4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1"/>
                <w:szCs w:val="11"/>
                <w:color w:val="auto"/>
              </w:rPr>
              <w:t>33,107,065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Changes in equity in 2024</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Net result after income tax</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5,501,254</w:t>
            </w: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5,501,254</w:t>
            </w:r>
          </w:p>
        </w:tc>
        <w:tc>
          <w:tcPr>
            <w:tcW w:w="6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121,998</w:t>
            </w:r>
          </w:p>
        </w:tc>
        <w:tc>
          <w:tcPr>
            <w:tcW w:w="40" w:type="dxa"/>
            <w:vAlign w:val="bottom"/>
          </w:tcPr>
          <w:p>
            <w:pPr>
              <w:spacing w:after="0"/>
              <w:rPr>
                <w:sz w:val="10"/>
                <w:szCs w:val="10"/>
                <w:color w:val="auto"/>
              </w:rPr>
            </w:pP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5,623,252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Other comprehensive income,</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Note 16(d)</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4"/>
          </w:tcPr>
          <w:p>
            <w:pPr>
              <w:jc w:val="right"/>
              <w:ind w:right="40"/>
              <w:spacing w:after="0" w:line="121" w:lineRule="exact"/>
              <w:rPr>
                <w:sz w:val="20"/>
                <w:szCs w:val="20"/>
                <w:color w:val="auto"/>
              </w:rPr>
            </w:pPr>
            <w:r>
              <w:rPr>
                <w:rFonts w:ascii="Arial" w:cs="Arial" w:eastAsia="Arial" w:hAnsi="Arial"/>
                <w:sz w:val="11"/>
                <w:szCs w:val="11"/>
                <w:color w:val="auto"/>
              </w:rPr>
              <w:t>24,116</w:t>
            </w:r>
          </w:p>
        </w:tc>
        <w:tc>
          <w:tcPr>
            <w:tcW w:w="40" w:type="dxa"/>
            <w:vAlign w:val="bottom"/>
          </w:tcPr>
          <w:p>
            <w:pPr>
              <w:spacing w:after="0"/>
              <w:rPr>
                <w:sz w:val="10"/>
                <w:szCs w:val="10"/>
                <w:color w:val="auto"/>
              </w:rPr>
            </w:pP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206,271</w:t>
            </w:r>
          </w:p>
        </w:tc>
        <w:tc>
          <w:tcPr>
            <w:tcW w:w="52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9,770</w:t>
            </w:r>
          </w:p>
        </w:tc>
        <w:tc>
          <w:tcPr>
            <w:tcW w:w="40" w:type="dxa"/>
            <w:vAlign w:val="bottom"/>
          </w:tcPr>
          <w:p>
            <w:pPr>
              <w:spacing w:after="0"/>
              <w:rPr>
                <w:sz w:val="10"/>
                <w:szCs w:val="10"/>
                <w:color w:val="auto"/>
              </w:rPr>
            </w:pPr>
          </w:p>
        </w:tc>
        <w:tc>
          <w:tcPr>
            <w:tcW w:w="64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(69,383)</w:t>
            </w:r>
          </w:p>
        </w:tc>
        <w:tc>
          <w:tcPr>
            <w:tcW w:w="4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(114,143)</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56,631</w:t>
            </w:r>
          </w:p>
        </w:tc>
        <w:tc>
          <w:tcPr>
            <w:tcW w:w="66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3,952</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60,583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Transfer of fair value reserve to</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color w:val="auto"/>
              </w:rPr>
              <w:t>accumulated results, Note 16(d)</w:t>
            </w:r>
          </w:p>
        </w:tc>
        <w:tc>
          <w:tcPr>
            <w:tcW w:w="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(137,787)</w:t>
            </w:r>
          </w:p>
        </w:tc>
        <w:tc>
          <w:tcPr>
            <w:tcW w:w="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(137,787)</w:t>
            </w:r>
          </w:p>
        </w:tc>
        <w:tc>
          <w:tcPr>
            <w:tcW w:w="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5"/>
          </w:tcPr>
          <w:p>
            <w:pPr>
              <w:jc w:val="right"/>
              <w:ind w:right="20"/>
              <w:spacing w:after="0"/>
              <w:rPr>
                <w:sz w:val="20"/>
                <w:szCs w:val="20"/>
                <w:color w:val="auto"/>
              </w:rPr>
            </w:pPr>
            <w:r>
              <w:rPr>
                <w:rFonts w:ascii="Arial" w:cs="Arial" w:eastAsia="Arial" w:hAnsi="Arial"/>
                <w:sz w:val="11"/>
                <w:szCs w:val="11"/>
                <w:color w:val="auto"/>
              </w:rPr>
              <w:t>(137,787)</w:t>
            </w:r>
          </w:p>
        </w:tc>
        <w:tc>
          <w:tcPr>
            <w:tcW w:w="0" w:type="dxa"/>
            <w:vAlign w:val="bottom"/>
          </w:tcPr>
          <w:p>
            <w:pPr>
              <w:spacing w:after="0"/>
              <w:rPr>
                <w:sz w:val="1"/>
                <w:szCs w:val="1"/>
                <w:color w:val="auto"/>
              </w:rPr>
            </w:pPr>
          </w:p>
        </w:tc>
      </w:tr>
      <w:tr>
        <w:trPr>
          <w:trHeight w:val="97"/>
        </w:trPr>
        <w:tc>
          <w:tcPr>
            <w:tcW w:w="1680" w:type="dxa"/>
            <w:vAlign w:val="bottom"/>
          </w:tcPr>
          <w:p>
            <w:pPr>
              <w:spacing w:after="0" w:line="97" w:lineRule="exact"/>
              <w:rPr>
                <w:sz w:val="20"/>
                <w:szCs w:val="20"/>
                <w:color w:val="auto"/>
              </w:rPr>
            </w:pPr>
            <w:r>
              <w:rPr>
                <w:rFonts w:ascii="Arial" w:cs="Arial" w:eastAsia="Arial" w:hAnsi="Arial"/>
                <w:sz w:val="11"/>
                <w:szCs w:val="11"/>
                <w:color w:val="auto"/>
              </w:rPr>
              <w:t>Total comprehensive income</w:t>
            </w:r>
          </w:p>
        </w:tc>
        <w:tc>
          <w:tcPr>
            <w:tcW w:w="20" w:type="dxa"/>
            <w:vAlign w:val="bottom"/>
          </w:tcPr>
          <w:p>
            <w:pPr>
              <w:spacing w:after="0"/>
              <w:rPr>
                <w:sz w:val="8"/>
                <w:szCs w:val="8"/>
                <w:color w:val="auto"/>
              </w:rPr>
            </w:pPr>
          </w:p>
        </w:tc>
        <w:tc>
          <w:tcPr>
            <w:tcW w:w="58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54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52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52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64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auto"/>
            </w:tcBorders>
            <w:gridSpan w:val="2"/>
          </w:tcPr>
          <w:p>
            <w:pPr>
              <w:jc w:val="right"/>
              <w:spacing w:after="0" w:line="97" w:lineRule="exact"/>
              <w:rPr>
                <w:sz w:val="20"/>
                <w:szCs w:val="20"/>
                <w:color w:val="auto"/>
              </w:rPr>
            </w:pPr>
            <w:r>
              <w:rPr>
                <w:rFonts w:ascii="Arial" w:cs="Arial" w:eastAsia="Arial" w:hAnsi="Arial"/>
                <w:sz w:val="11"/>
                <w:szCs w:val="11"/>
                <w:color w:val="auto"/>
              </w:rPr>
              <w:t>(113,671)</w:t>
            </w:r>
          </w:p>
        </w:tc>
        <w:tc>
          <w:tcPr>
            <w:tcW w:w="40" w:type="dxa"/>
            <w:vAlign w:val="bottom"/>
          </w:tcPr>
          <w:p>
            <w:pPr>
              <w:spacing w:after="0"/>
              <w:rPr>
                <w:sz w:val="8"/>
                <w:szCs w:val="8"/>
                <w:color w:val="auto"/>
              </w:rPr>
            </w:pPr>
          </w:p>
        </w:tc>
        <w:tc>
          <w:tcPr>
            <w:tcW w:w="70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206,271</w:t>
            </w:r>
          </w:p>
        </w:tc>
        <w:tc>
          <w:tcPr>
            <w:tcW w:w="40" w:type="dxa"/>
            <w:vAlign w:val="bottom"/>
          </w:tcPr>
          <w:p>
            <w:pPr>
              <w:spacing w:after="0"/>
              <w:rPr>
                <w:sz w:val="8"/>
                <w:szCs w:val="8"/>
                <w:color w:val="auto"/>
              </w:rPr>
            </w:pPr>
          </w:p>
        </w:tc>
        <w:tc>
          <w:tcPr>
            <w:tcW w:w="48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9,770</w:t>
            </w:r>
          </w:p>
        </w:tc>
        <w:tc>
          <w:tcPr>
            <w:tcW w:w="40" w:type="dxa"/>
            <w:vAlign w:val="bottom"/>
          </w:tcPr>
          <w:p>
            <w:pPr>
              <w:spacing w:after="0"/>
              <w:rPr>
                <w:sz w:val="8"/>
                <w:szCs w:val="8"/>
                <w:color w:val="auto"/>
              </w:rPr>
            </w:pPr>
          </w:p>
        </w:tc>
        <w:tc>
          <w:tcPr>
            <w:tcW w:w="640" w:type="dxa"/>
            <w:vAlign w:val="bottom"/>
            <w:tcBorders>
              <w:top w:val="single" w:sz="8" w:color="auto"/>
            </w:tcBorders>
            <w:gridSpan w:val="2"/>
          </w:tcPr>
          <w:p>
            <w:pPr>
              <w:jc w:val="right"/>
              <w:ind w:right="20"/>
              <w:spacing w:after="0" w:line="97" w:lineRule="exact"/>
              <w:rPr>
                <w:sz w:val="20"/>
                <w:szCs w:val="20"/>
                <w:color w:val="auto"/>
              </w:rPr>
            </w:pPr>
            <w:r>
              <w:rPr>
                <w:rFonts w:ascii="Arial" w:cs="Arial" w:eastAsia="Arial" w:hAnsi="Arial"/>
                <w:sz w:val="11"/>
                <w:szCs w:val="11"/>
                <w:color w:val="auto"/>
              </w:rPr>
              <w:t>(69,383)</w:t>
            </w:r>
          </w:p>
        </w:tc>
        <w:tc>
          <w:tcPr>
            <w:tcW w:w="40" w:type="dxa"/>
            <w:vAlign w:val="bottom"/>
          </w:tcPr>
          <w:p>
            <w:pPr>
              <w:spacing w:after="0"/>
              <w:rPr>
                <w:sz w:val="8"/>
                <w:szCs w:val="8"/>
                <w:color w:val="auto"/>
              </w:rPr>
            </w:pPr>
          </w:p>
        </w:tc>
        <w:tc>
          <w:tcPr>
            <w:tcW w:w="660" w:type="dxa"/>
            <w:vAlign w:val="bottom"/>
            <w:tcBorders>
              <w:top w:val="single" w:sz="8" w:color="auto"/>
            </w:tcBorders>
            <w:gridSpan w:val="2"/>
          </w:tcPr>
          <w:p>
            <w:pPr>
              <w:jc w:val="right"/>
              <w:ind w:right="20"/>
              <w:spacing w:after="0" w:line="97" w:lineRule="exact"/>
              <w:rPr>
                <w:sz w:val="20"/>
                <w:szCs w:val="20"/>
                <w:color w:val="auto"/>
              </w:rPr>
            </w:pPr>
            <w:r>
              <w:rPr>
                <w:rFonts w:ascii="Arial" w:cs="Arial" w:eastAsia="Arial" w:hAnsi="Arial"/>
                <w:sz w:val="11"/>
                <w:szCs w:val="11"/>
                <w:color w:val="auto"/>
              </w:rPr>
              <w:t>(114,143)</w:t>
            </w:r>
          </w:p>
        </w:tc>
        <w:tc>
          <w:tcPr>
            <w:tcW w:w="60" w:type="dxa"/>
            <w:vAlign w:val="bottom"/>
          </w:tcPr>
          <w:p>
            <w:pPr>
              <w:spacing w:after="0"/>
              <w:rPr>
                <w:sz w:val="8"/>
                <w:szCs w:val="8"/>
                <w:color w:val="auto"/>
              </w:rPr>
            </w:pPr>
          </w:p>
        </w:tc>
        <w:tc>
          <w:tcPr>
            <w:tcW w:w="106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5,501,254</w:t>
            </w:r>
          </w:p>
        </w:tc>
        <w:tc>
          <w:tcPr>
            <w:tcW w:w="60" w:type="dxa"/>
            <w:vAlign w:val="bottom"/>
          </w:tcPr>
          <w:p>
            <w:pPr>
              <w:spacing w:after="0"/>
              <w:rPr>
                <w:sz w:val="8"/>
                <w:szCs w:val="8"/>
                <w:color w:val="auto"/>
              </w:rPr>
            </w:pPr>
          </w:p>
        </w:tc>
        <w:tc>
          <w:tcPr>
            <w:tcW w:w="66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5,420,098</w:t>
            </w:r>
          </w:p>
        </w:tc>
        <w:tc>
          <w:tcPr>
            <w:tcW w:w="40" w:type="dxa"/>
            <w:vAlign w:val="bottom"/>
          </w:tcPr>
          <w:p>
            <w:pPr>
              <w:spacing w:after="0"/>
              <w:rPr>
                <w:sz w:val="8"/>
                <w:szCs w:val="8"/>
                <w:color w:val="auto"/>
              </w:rPr>
            </w:pPr>
          </w:p>
        </w:tc>
        <w:tc>
          <w:tcPr>
            <w:tcW w:w="5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1"/>
                <w:szCs w:val="11"/>
                <w:color w:val="auto"/>
              </w:rPr>
              <w:t>125,950</w:t>
            </w: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auto"/>
            </w:tcBorders>
            <w:gridSpan w:val="2"/>
          </w:tcPr>
          <w:p>
            <w:pPr>
              <w:jc w:val="right"/>
              <w:ind w:right="20"/>
              <w:spacing w:after="0" w:line="97" w:lineRule="exact"/>
              <w:rPr>
                <w:sz w:val="20"/>
                <w:szCs w:val="20"/>
                <w:color w:val="auto"/>
              </w:rPr>
            </w:pPr>
            <w:r>
              <w:rPr>
                <w:rFonts w:ascii="Arial" w:cs="Arial" w:eastAsia="Arial" w:hAnsi="Arial"/>
                <w:sz w:val="11"/>
                <w:szCs w:val="11"/>
                <w:color w:val="auto"/>
              </w:rPr>
              <w:t>5,546,048</w:t>
            </w:r>
          </w:p>
        </w:tc>
        <w:tc>
          <w:tcPr>
            <w:tcW w:w="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Transfer of fair value reserve of</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equity instruments designated at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FVOCI due to Sale of Alicorp</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shares</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137,787</w:t>
            </w: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137,787</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137,787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Transfer of retained earnings to</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reserves, Note 16(c)</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1,778,787</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(1,778,787)</w:t>
            </w: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 distribution, Note 16(e)</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(2,788,657)</w:t>
            </w: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(2,788,657)</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5"/>
          </w:tcPr>
          <w:p>
            <w:pPr>
              <w:jc w:val="right"/>
              <w:ind w:right="20"/>
              <w:spacing w:after="0" w:line="121" w:lineRule="exact"/>
              <w:rPr>
                <w:sz w:val="20"/>
                <w:szCs w:val="20"/>
                <w:color w:val="auto"/>
              </w:rPr>
            </w:pPr>
            <w:r>
              <w:rPr>
                <w:rFonts w:ascii="Arial" w:cs="Arial" w:eastAsia="Arial" w:hAnsi="Arial"/>
                <w:sz w:val="11"/>
                <w:szCs w:val="11"/>
                <w:color w:val="auto"/>
              </w:rPr>
              <w:t>(2,788,657)</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Distribution of extraordinary</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dividends, Note 16(e)</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(875,991)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(875,991)</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5"/>
          </w:tcPr>
          <w:p>
            <w:pPr>
              <w:jc w:val="right"/>
              <w:ind w:right="20"/>
              <w:spacing w:after="0" w:line="121" w:lineRule="exact"/>
              <w:rPr>
                <w:sz w:val="20"/>
                <w:szCs w:val="20"/>
                <w:color w:val="auto"/>
              </w:rPr>
            </w:pPr>
            <w:r>
              <w:rPr>
                <w:rFonts w:ascii="Arial" w:cs="Arial" w:eastAsia="Arial" w:hAnsi="Arial"/>
                <w:sz w:val="11"/>
                <w:szCs w:val="11"/>
                <w:color w:val="auto"/>
              </w:rPr>
              <w:t>(875,991)</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Dividends paid to non-controlling</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interest of subsidiaries</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(106,922)</w:t>
            </w:r>
          </w:p>
        </w:tc>
        <w:tc>
          <w:tcPr>
            <w:tcW w:w="700" w:type="dxa"/>
            <w:vAlign w:val="bottom"/>
            <w:gridSpan w:val="5"/>
          </w:tcPr>
          <w:p>
            <w:pPr>
              <w:jc w:val="right"/>
              <w:ind w:right="20"/>
              <w:spacing w:after="0" w:line="121" w:lineRule="exact"/>
              <w:rPr>
                <w:sz w:val="20"/>
                <w:szCs w:val="20"/>
                <w:color w:val="auto"/>
              </w:rPr>
            </w:pPr>
            <w:r>
              <w:rPr>
                <w:rFonts w:ascii="Arial" w:cs="Arial" w:eastAsia="Arial" w:hAnsi="Arial"/>
                <w:sz w:val="11"/>
                <w:szCs w:val="11"/>
                <w:color w:val="auto"/>
              </w:rPr>
              <w:t>(106,922)</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Minority purchase Mibanco</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Colombia</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42,964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42,964</w:t>
            </w:r>
          </w:p>
        </w:tc>
        <w:tc>
          <w:tcPr>
            <w:tcW w:w="6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(36,781)</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6,183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Purchase of treasury stock, Note</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16(b)</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(2,434)</w:t>
            </w:r>
          </w:p>
        </w:tc>
        <w:tc>
          <w:tcPr>
            <w:tcW w:w="40" w:type="dxa"/>
            <w:vAlign w:val="bottom"/>
          </w:tcPr>
          <w:p>
            <w:pPr>
              <w:spacing w:after="0"/>
              <w:rPr>
                <w:sz w:val="10"/>
                <w:szCs w:val="10"/>
                <w:color w:val="auto"/>
              </w:rPr>
            </w:pPr>
          </w:p>
        </w:tc>
        <w:tc>
          <w:tcPr>
            <w:tcW w:w="5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(108,460)</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(110,894)</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5"/>
          </w:tcPr>
          <w:p>
            <w:pPr>
              <w:jc w:val="right"/>
              <w:ind w:right="20"/>
              <w:spacing w:after="0" w:line="121" w:lineRule="exact"/>
              <w:rPr>
                <w:sz w:val="20"/>
                <w:szCs w:val="20"/>
                <w:color w:val="auto"/>
              </w:rPr>
            </w:pPr>
            <w:r>
              <w:rPr>
                <w:rFonts w:ascii="Arial" w:cs="Arial" w:eastAsia="Arial" w:hAnsi="Arial"/>
                <w:sz w:val="11"/>
                <w:szCs w:val="11"/>
                <w:color w:val="auto"/>
              </w:rPr>
              <w:t>(110,894)</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Share-based payment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transactions</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1,588</w:t>
            </w:r>
          </w:p>
        </w:tc>
        <w:tc>
          <w:tcPr>
            <w:tcW w:w="40" w:type="dxa"/>
            <w:vAlign w:val="bottom"/>
          </w:tcPr>
          <w:p>
            <w:pPr>
              <w:spacing w:after="0"/>
              <w:rPr>
                <w:sz w:val="10"/>
                <w:szCs w:val="10"/>
                <w:color w:val="auto"/>
              </w:rPr>
            </w:pP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56,528</w:t>
            </w:r>
          </w:p>
        </w:tc>
        <w:tc>
          <w:tcPr>
            <w:tcW w:w="6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(954)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57,162</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57,162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Dividends not collected</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5,281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5,281</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5,281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80" w:type="dxa"/>
            <w:vAlign w:val="bottom"/>
          </w:tcPr>
          <w:p>
            <w:pPr>
              <w:spacing w:after="0"/>
              <w:rPr>
                <w:sz w:val="20"/>
                <w:szCs w:val="20"/>
                <w:color w:val="auto"/>
              </w:rPr>
            </w:pPr>
            <w:r>
              <w:rPr>
                <w:rFonts w:ascii="Arial" w:cs="Arial" w:eastAsia="Arial" w:hAnsi="Arial"/>
                <w:sz w:val="11"/>
                <w:szCs w:val="11"/>
                <w:color w:val="auto"/>
              </w:rPr>
              <w:t>Others</w:t>
            </w:r>
          </w:p>
        </w:tc>
        <w:tc>
          <w:tcPr>
            <w:tcW w:w="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1"/>
                <w:szCs w:val="11"/>
                <w:color w:val="auto"/>
              </w:rPr>
              <w:t>(1,303)</w:t>
            </w:r>
          </w:p>
        </w:tc>
        <w:tc>
          <w:tcPr>
            <w:tcW w:w="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(1,303)</w:t>
            </w:r>
          </w:p>
        </w:tc>
        <w:tc>
          <w:tcPr>
            <w:tcW w:w="660" w:type="dxa"/>
            <w:vAlign w:val="bottom"/>
            <w:gridSpan w:val="3"/>
          </w:tcPr>
          <w:p>
            <w:pPr>
              <w:jc w:val="right"/>
              <w:ind w:right="40"/>
              <w:spacing w:after="0"/>
              <w:rPr>
                <w:sz w:val="20"/>
                <w:szCs w:val="20"/>
                <w:color w:val="auto"/>
              </w:rPr>
            </w:pPr>
            <w:r>
              <w:rPr>
                <w:rFonts w:ascii="Arial" w:cs="Arial" w:eastAsia="Arial" w:hAnsi="Arial"/>
                <w:sz w:val="11"/>
                <w:szCs w:val="11"/>
                <w:color w:val="auto"/>
              </w:rPr>
              <w:t>1,475</w:t>
            </w:r>
          </w:p>
        </w:tc>
        <w:tc>
          <w:tcPr>
            <w:tcW w:w="640" w:type="dxa"/>
            <w:vAlign w:val="bottom"/>
            <w:gridSpan w:val="3"/>
          </w:tcPr>
          <w:p>
            <w:pPr>
              <w:jc w:val="right"/>
              <w:spacing w:after="0"/>
              <w:rPr>
                <w:sz w:val="20"/>
                <w:szCs w:val="20"/>
                <w:color w:val="auto"/>
              </w:rPr>
            </w:pPr>
            <w:r>
              <w:rPr>
                <w:rFonts w:ascii="Arial" w:cs="Arial" w:eastAsia="Arial" w:hAnsi="Arial"/>
                <w:sz w:val="11"/>
                <w:szCs w:val="11"/>
                <w:color w:val="auto"/>
              </w:rPr>
              <w:t>172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680" w:type="dxa"/>
            <w:vAlign w:val="bottom"/>
          </w:tcPr>
          <w:p>
            <w:pPr>
              <w:spacing w:after="0" w:line="93" w:lineRule="exact"/>
              <w:rPr>
                <w:sz w:val="20"/>
                <w:szCs w:val="20"/>
                <w:color w:val="auto"/>
              </w:rPr>
            </w:pPr>
            <w:r>
              <w:rPr>
                <w:rFonts w:ascii="Arial" w:cs="Arial" w:eastAsia="Arial" w:hAnsi="Arial"/>
                <w:sz w:val="10"/>
                <w:szCs w:val="10"/>
                <w:b w:val="1"/>
                <w:bCs w:val="1"/>
                <w:color w:val="auto"/>
              </w:rPr>
              <w:t>Balances as of December 31,</w:t>
            </w:r>
          </w:p>
        </w:tc>
        <w:tc>
          <w:tcPr>
            <w:tcW w:w="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680" w:type="dxa"/>
            <w:vAlign w:val="bottom"/>
          </w:tcPr>
          <w:p>
            <w:pPr>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1,318,993</w:t>
            </w:r>
          </w:p>
        </w:tc>
        <w:tc>
          <w:tcPr>
            <w:tcW w:w="4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(204,326)</w:t>
            </w:r>
          </w:p>
        </w:tc>
        <w:tc>
          <w:tcPr>
            <w:tcW w:w="2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(4,553)</w:t>
            </w:r>
          </w:p>
        </w:tc>
        <w:tc>
          <w:tcPr>
            <w:tcW w:w="40" w:type="dxa"/>
            <w:vAlign w:val="bottom"/>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176,307</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27,202,665</w:t>
            </w:r>
          </w:p>
        </w:tc>
        <w:tc>
          <w:tcPr>
            <w:tcW w:w="60" w:type="dxa"/>
            <w:vAlign w:val="bottom"/>
            <w:gridSpan w:val="2"/>
          </w:tcPr>
          <w:p>
            <w:pPr>
              <w:spacing w:after="0"/>
              <w:rPr>
                <w:sz w:val="12"/>
                <w:szCs w:val="12"/>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44,490</w:t>
            </w:r>
          </w:p>
        </w:tc>
        <w:tc>
          <w:tcPr>
            <w:tcW w:w="4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(191,151)</w:t>
            </w:r>
          </w:p>
        </w:tc>
        <w:tc>
          <w:tcPr>
            <w:tcW w:w="4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(1,633)</w:t>
            </w:r>
          </w:p>
        </w:tc>
        <w:tc>
          <w:tcPr>
            <w:tcW w:w="4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309,961</w:t>
            </w:r>
          </w:p>
        </w:tc>
        <w:tc>
          <w:tcPr>
            <w:tcW w:w="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52,960</w:t>
            </w:r>
          </w:p>
        </w:tc>
        <w:tc>
          <w:tcPr>
            <w:tcW w:w="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5,642,738</w:t>
            </w:r>
          </w:p>
        </w:tc>
        <w:tc>
          <w:tcPr>
            <w:tcW w:w="6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34,346,451</w:t>
            </w:r>
          </w:p>
        </w:tc>
        <w:tc>
          <w:tcPr>
            <w:tcW w:w="4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630,783</w:t>
            </w:r>
          </w:p>
        </w:tc>
        <w:tc>
          <w:tcPr>
            <w:tcW w:w="40" w:type="dxa"/>
            <w:vAlign w:val="bottom"/>
            <w:tcBorders>
              <w:bottom w:val="single" w:sz="8" w:color="auto"/>
            </w:tcBorders>
          </w:tcPr>
          <w:p>
            <w:pPr>
              <w:spacing w:after="0"/>
              <w:rPr>
                <w:sz w:val="12"/>
                <w:szCs w:val="12"/>
                <w:color w:val="auto"/>
              </w:rPr>
            </w:pPr>
          </w:p>
        </w:tc>
        <w:tc>
          <w:tcPr>
            <w:tcW w:w="60" w:type="dxa"/>
            <w:vAlign w:val="bottom"/>
            <w:gridSpan w:val="2"/>
          </w:tcPr>
          <w:p>
            <w:pPr>
              <w:spacing w:after="0"/>
              <w:rPr>
                <w:sz w:val="12"/>
                <w:szCs w:val="12"/>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34,977,234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-6985</wp:posOffset>
            </wp:positionV>
            <wp:extent cx="3048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CONSOLIDATED STATEMENT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2024 AND 2023 (CONTINUED)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1"/>
          <w:szCs w:val="11"/>
          <w:b w:val="1"/>
          <w:bCs w:val="1"/>
          <w:color w:val="auto"/>
        </w:rPr>
        <w:t>Attributable to Credicorp's equity holders.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25"/>
        </w:trPr>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40" w:type="dxa"/>
            <w:vAlign w:val="bottom"/>
            <w:tcBorders>
              <w:top w:val="single" w:sz="8" w:color="auto"/>
              <w:bottom w:val="single" w:sz="8" w:color="auto"/>
            </w:tcBorders>
            <w:gridSpan w:val="6"/>
          </w:tcPr>
          <w:p>
            <w:pPr>
              <w:spacing w:after="0" w:line="125" w:lineRule="exact"/>
              <w:rPr>
                <w:sz w:val="20"/>
                <w:szCs w:val="20"/>
                <w:color w:val="auto"/>
              </w:rPr>
            </w:pPr>
            <w:r>
              <w:rPr>
                <w:rFonts w:ascii="Arial" w:cs="Arial" w:eastAsia="Arial" w:hAnsi="Arial"/>
                <w:sz w:val="11"/>
                <w:szCs w:val="11"/>
                <w:b w:val="1"/>
                <w:bCs w:val="1"/>
                <w:color w:val="auto"/>
              </w:rPr>
              <w:t>Other reserves</w:t>
            </w:r>
          </w:p>
        </w:tc>
        <w:tc>
          <w:tcPr>
            <w:tcW w:w="4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Instruments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that will not</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w:t>
            </w:r>
          </w:p>
        </w:tc>
        <w:tc>
          <w:tcPr>
            <w:tcW w:w="2600" w:type="dxa"/>
            <w:vAlign w:val="bottom"/>
            <w:gridSpan w:val="11"/>
            <w:vMerge w:val="restart"/>
          </w:tcPr>
          <w:p>
            <w:pPr>
              <w:spacing w:after="0"/>
              <w:rPr>
                <w:sz w:val="20"/>
                <w:szCs w:val="20"/>
                <w:color w:val="auto"/>
              </w:rPr>
            </w:pPr>
            <w:r>
              <w:rPr>
                <w:rFonts w:ascii="Arial" w:cs="Arial" w:eastAsia="Arial" w:hAnsi="Arial"/>
                <w:sz w:val="11"/>
                <w:szCs w:val="11"/>
                <w:b w:val="1"/>
                <w:bCs w:val="1"/>
                <w:color w:val="auto"/>
              </w:rPr>
              <w:t>Instruments that will be reclassified to the</w:t>
            </w: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10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reclassified</w:t>
            </w:r>
          </w:p>
        </w:tc>
        <w:tc>
          <w:tcPr>
            <w:tcW w:w="2600" w:type="dxa"/>
            <w:vAlign w:val="bottom"/>
            <w:gridSpan w:val="11"/>
            <w:vMerge w:val="continue"/>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to income</w:t>
            </w:r>
          </w:p>
        </w:tc>
        <w:tc>
          <w:tcPr>
            <w:tcW w:w="1940" w:type="dxa"/>
            <w:vAlign w:val="bottom"/>
            <w:gridSpan w:val="9"/>
          </w:tcPr>
          <w:p>
            <w:pPr>
              <w:spacing w:after="0"/>
              <w:rPr>
                <w:sz w:val="20"/>
                <w:szCs w:val="20"/>
                <w:color w:val="auto"/>
              </w:rPr>
            </w:pPr>
            <w:r>
              <w:rPr>
                <w:rFonts w:ascii="Arial" w:cs="Arial" w:eastAsia="Arial" w:hAnsi="Arial"/>
                <w:sz w:val="11"/>
                <w:szCs w:val="11"/>
                <w:b w:val="1"/>
                <w:bCs w:val="1"/>
                <w:color w:val="auto"/>
              </w:rPr>
              <w:t>consolidated statement of income</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Shares</w:t>
            </w: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Share-</w:t>
            </w:r>
          </w:p>
        </w:tc>
        <w:tc>
          <w:tcPr>
            <w:tcW w:w="100" w:type="dxa"/>
            <w:vAlign w:val="bottom"/>
            <w:gridSpan w:val="2"/>
            <w:vMerge w:val="restart"/>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Investments</w:t>
            </w: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Investments</w:t>
            </w:r>
          </w:p>
        </w:tc>
        <w:tc>
          <w:tcPr>
            <w:tcW w:w="540" w:type="dxa"/>
            <w:vAlign w:val="bottom"/>
            <w:gridSpan w:val="3"/>
          </w:tcPr>
          <w:p>
            <w:pPr>
              <w:ind w:left="40"/>
              <w:spacing w:after="0" w:line="97" w:lineRule="exact"/>
              <w:rPr>
                <w:sz w:val="20"/>
                <w:szCs w:val="20"/>
                <w:color w:val="auto"/>
              </w:rPr>
            </w:pPr>
            <w:r>
              <w:rPr>
                <w:rFonts w:ascii="Arial" w:cs="Arial" w:eastAsia="Arial" w:hAnsi="Arial"/>
                <w:sz w:val="11"/>
                <w:szCs w:val="11"/>
                <w:b w:val="1"/>
                <w:bCs w:val="1"/>
                <w:color w:val="auto"/>
              </w:rPr>
              <w:t>Cash</w:t>
            </w: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line="97" w:lineRule="exact"/>
              <w:rPr>
                <w:sz w:val="20"/>
                <w:szCs w:val="20"/>
                <w:color w:val="auto"/>
              </w:rPr>
            </w:pPr>
            <w:r>
              <w:rPr>
                <w:rFonts w:ascii="Arial" w:cs="Arial" w:eastAsia="Arial" w:hAnsi="Arial"/>
                <w:sz w:val="11"/>
                <w:szCs w:val="11"/>
                <w:b w:val="1"/>
                <w:bCs w:val="1"/>
                <w:color w:val="auto"/>
              </w:rPr>
              <w:t>Foreign</w:t>
            </w:r>
          </w:p>
        </w:tc>
        <w:tc>
          <w:tcPr>
            <w:tcW w:w="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Non-</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Capital</w:t>
            </w:r>
          </w:p>
        </w:tc>
        <w:tc>
          <w:tcPr>
            <w:tcW w:w="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Capital</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4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flow</w:t>
            </w:r>
          </w:p>
        </w:tc>
        <w:tc>
          <w:tcPr>
            <w:tcW w:w="70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Insurance</w:t>
            </w:r>
          </w:p>
        </w:tc>
        <w:tc>
          <w:tcPr>
            <w:tcW w:w="6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currency</w:t>
            </w: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58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of the</w:t>
            </w:r>
          </w:p>
        </w:tc>
        <w:tc>
          <w:tcPr>
            <w:tcW w:w="58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based</w:t>
            </w:r>
          </w:p>
        </w:tc>
        <w:tc>
          <w:tcPr>
            <w:tcW w:w="520" w:type="dxa"/>
            <w:vAlign w:val="bottom"/>
            <w:gridSpan w:val="2"/>
            <w:vMerge w:val="continue"/>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Reserves</w:t>
            </w:r>
          </w:p>
        </w:tc>
        <w:tc>
          <w:tcPr>
            <w:tcW w:w="40" w:type="dxa"/>
            <w:vAlign w:val="bottom"/>
          </w:tcPr>
          <w:p>
            <w:pPr>
              <w:spacing w:after="0"/>
              <w:rPr>
                <w:sz w:val="10"/>
                <w:szCs w:val="10"/>
                <w:color w:val="auto"/>
              </w:rPr>
            </w:pPr>
          </w:p>
        </w:tc>
        <w:tc>
          <w:tcPr>
            <w:tcW w:w="7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 equity</w:t>
            </w: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 debt</w:t>
            </w:r>
          </w:p>
        </w:tc>
        <w:tc>
          <w:tcPr>
            <w:tcW w:w="54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hedge</w:t>
            </w:r>
          </w:p>
        </w:tc>
        <w:tc>
          <w:tcPr>
            <w:tcW w:w="700" w:type="dxa"/>
            <w:vAlign w:val="bottom"/>
            <w:gridSpan w:val="4"/>
            <w:vMerge w:val="continue"/>
          </w:tcPr>
          <w:p>
            <w:pPr>
              <w:spacing w:after="0"/>
              <w:rPr>
                <w:sz w:val="10"/>
                <w:szCs w:val="10"/>
                <w:color w:val="auto"/>
              </w:rPr>
            </w:pPr>
          </w:p>
        </w:tc>
        <w:tc>
          <w:tcPr>
            <w:tcW w:w="6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translation</w:t>
            </w: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Retained earnings</w:t>
            </w: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w:t>
            </w:r>
          </w:p>
        </w:tc>
        <w:tc>
          <w:tcPr>
            <w:tcW w:w="66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controlling</w:t>
            </w:r>
          </w:p>
        </w:tc>
        <w:tc>
          <w:tcPr>
            <w:tcW w:w="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600" w:type="dxa"/>
            <w:vAlign w:val="bottom"/>
            <w:gridSpan w:val="3"/>
          </w:tcPr>
          <w:p>
            <w:pPr>
              <w:ind w:left="20"/>
              <w:spacing w:after="0"/>
              <w:rPr>
                <w:sz w:val="20"/>
                <w:szCs w:val="20"/>
                <w:color w:val="auto"/>
              </w:rPr>
            </w:pPr>
            <w:r>
              <w:rPr>
                <w:rFonts w:ascii="Arial" w:cs="Arial" w:eastAsia="Arial" w:hAnsi="Arial"/>
                <w:sz w:val="11"/>
                <w:szCs w:val="11"/>
                <w:b w:val="1"/>
                <w:bCs w:val="1"/>
                <w:color w:val="auto"/>
              </w:rPr>
              <w:t>stock</w:t>
            </w:r>
          </w:p>
        </w:tc>
        <w:tc>
          <w:tcPr>
            <w:tcW w:w="580" w:type="dxa"/>
            <w:vAlign w:val="bottom"/>
            <w:gridSpan w:val="3"/>
          </w:tcPr>
          <w:p>
            <w:pPr>
              <w:ind w:left="40"/>
              <w:spacing w:after="0"/>
              <w:rPr>
                <w:sz w:val="20"/>
                <w:szCs w:val="20"/>
                <w:color w:val="auto"/>
              </w:rPr>
            </w:pPr>
            <w:r>
              <w:rPr>
                <w:rFonts w:ascii="Arial" w:cs="Arial" w:eastAsia="Arial" w:hAnsi="Arial"/>
                <w:sz w:val="11"/>
                <w:szCs w:val="11"/>
                <w:b w:val="1"/>
                <w:bCs w:val="1"/>
                <w:color w:val="auto"/>
              </w:rPr>
              <w:t>Group</w:t>
            </w: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payment</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surplus</w:t>
            </w:r>
          </w:p>
        </w:tc>
        <w:tc>
          <w:tcPr>
            <w:tcW w:w="6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instruments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instruments</w:t>
            </w:r>
          </w:p>
        </w:tc>
        <w:tc>
          <w:tcPr>
            <w:tcW w:w="540" w:type="dxa"/>
            <w:vAlign w:val="bottom"/>
            <w:gridSpan w:val="3"/>
          </w:tcPr>
          <w:p>
            <w:pPr>
              <w:ind w:left="40"/>
              <w:spacing w:after="0"/>
              <w:rPr>
                <w:sz w:val="20"/>
                <w:szCs w:val="20"/>
                <w:color w:val="auto"/>
              </w:rPr>
            </w:pPr>
            <w:r>
              <w:rPr>
                <w:rFonts w:ascii="Arial" w:cs="Arial" w:eastAsia="Arial" w:hAnsi="Arial"/>
                <w:sz w:val="11"/>
                <w:szCs w:val="11"/>
                <w:b w:val="1"/>
                <w:bCs w:val="1"/>
                <w:color w:val="auto"/>
              </w:rPr>
              <w:t>reserve</w:t>
            </w: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reserves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reserve</w:t>
            </w:r>
          </w:p>
        </w:tc>
        <w:tc>
          <w:tcPr>
            <w:tcW w:w="1180" w:type="dxa"/>
            <w:vAlign w:val="bottom"/>
            <w:gridSpan w:val="4"/>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3"/>
          </w:tcPr>
          <w:p>
            <w:pPr>
              <w:ind w:left="40"/>
              <w:spacing w:after="0"/>
              <w:rPr>
                <w:sz w:val="20"/>
                <w:szCs w:val="20"/>
                <w:color w:val="auto"/>
              </w:rPr>
            </w:pPr>
            <w:r>
              <w:rPr>
                <w:rFonts w:ascii="Arial" w:cs="Arial" w:eastAsia="Arial" w:hAnsi="Arial"/>
                <w:sz w:val="11"/>
                <w:szCs w:val="11"/>
                <w:b w:val="1"/>
                <w:bCs w:val="1"/>
                <w:color w:val="auto"/>
              </w:rPr>
              <w:t>interest</w:t>
            </w:r>
          </w:p>
        </w:tc>
        <w:tc>
          <w:tcPr>
            <w:tcW w:w="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00" w:type="dxa"/>
            <w:vAlign w:val="bottom"/>
            <w:gridSpan w:val="2"/>
          </w:tcPr>
          <w:p>
            <w:pPr>
              <w:spacing w:after="0"/>
              <w:rPr>
                <w:sz w:val="12"/>
                <w:szCs w:val="12"/>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gridSpan w:val="2"/>
          </w:tcPr>
          <w:p>
            <w:pPr>
              <w:spacing w:after="0"/>
              <w:rPr>
                <w:sz w:val="12"/>
                <w:szCs w:val="12"/>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00" w:type="dxa"/>
            <w:vAlign w:val="bottom"/>
            <w:gridSpan w:val="2"/>
          </w:tcPr>
          <w:p>
            <w:pPr>
              <w:spacing w:after="0"/>
              <w:rPr>
                <w:sz w:val="12"/>
                <w:szCs w:val="12"/>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20" w:type="dxa"/>
            <w:vAlign w:val="bottom"/>
            <w:gridSpan w:val="2"/>
          </w:tcPr>
          <w:p>
            <w:pPr>
              <w:spacing w:after="0"/>
              <w:rPr>
                <w:sz w:val="12"/>
                <w:szCs w:val="12"/>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Balances as of January 1, 2025</w:t>
            </w:r>
          </w:p>
        </w:tc>
        <w:tc>
          <w:tcPr>
            <w:tcW w:w="600" w:type="dxa"/>
            <w:vAlign w:val="bottom"/>
            <w:gridSpan w:val="3"/>
          </w:tcPr>
          <w:p>
            <w:pPr>
              <w:jc w:val="right"/>
              <w:ind w:right="40"/>
              <w:spacing w:after="0"/>
              <w:rPr>
                <w:sz w:val="20"/>
                <w:szCs w:val="20"/>
                <w:color w:val="auto"/>
              </w:rPr>
            </w:pPr>
            <w:r>
              <w:rPr>
                <w:rFonts w:ascii="Arial" w:cs="Arial" w:eastAsia="Arial" w:hAnsi="Arial"/>
                <w:sz w:val="11"/>
                <w:szCs w:val="11"/>
                <w:color w:val="auto"/>
              </w:rPr>
              <w:t>1,318,993</w:t>
            </w: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(204,326)</w:t>
            </w:r>
          </w:p>
        </w:tc>
        <w:tc>
          <w:tcPr>
            <w:tcW w:w="540" w:type="dxa"/>
            <w:vAlign w:val="bottom"/>
            <w:gridSpan w:val="3"/>
          </w:tcPr>
          <w:p>
            <w:pPr>
              <w:jc w:val="right"/>
              <w:ind w:right="20"/>
              <w:spacing w:after="0"/>
              <w:rPr>
                <w:sz w:val="20"/>
                <w:szCs w:val="20"/>
                <w:color w:val="auto"/>
              </w:rPr>
            </w:pPr>
            <w:r>
              <w:rPr>
                <w:rFonts w:ascii="Arial" w:cs="Arial" w:eastAsia="Arial" w:hAnsi="Arial"/>
                <w:sz w:val="11"/>
                <w:szCs w:val="11"/>
                <w:color w:val="auto"/>
              </w:rPr>
              <w:t>(4,553)</w:t>
            </w:r>
          </w:p>
        </w:tc>
        <w:tc>
          <w:tcPr>
            <w:tcW w:w="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176,307</w:t>
            </w:r>
          </w:p>
        </w:tc>
        <w:tc>
          <w:tcPr>
            <w:tcW w:w="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1"/>
                <w:szCs w:val="11"/>
                <w:color w:val="auto"/>
              </w:rPr>
              <w:t>27,202,665</w:t>
            </w:r>
          </w:p>
        </w:tc>
        <w:tc>
          <w:tcPr>
            <w:tcW w:w="740" w:type="dxa"/>
            <w:vAlign w:val="bottom"/>
            <w:gridSpan w:val="4"/>
          </w:tcPr>
          <w:p>
            <w:pPr>
              <w:jc w:val="right"/>
              <w:ind w:right="40"/>
              <w:spacing w:after="0"/>
              <w:rPr>
                <w:sz w:val="20"/>
                <w:szCs w:val="20"/>
                <w:color w:val="auto"/>
              </w:rPr>
            </w:pPr>
            <w:r>
              <w:rPr>
                <w:rFonts w:ascii="Arial" w:cs="Arial" w:eastAsia="Arial" w:hAnsi="Arial"/>
                <w:sz w:val="11"/>
                <w:szCs w:val="11"/>
                <w:color w:val="auto"/>
              </w:rPr>
              <w:t>44,490</w:t>
            </w: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(191,151)</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(1,633)</w:t>
            </w: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309,961</w:t>
            </w:r>
          </w:p>
        </w:tc>
        <w:tc>
          <w:tcPr>
            <w:tcW w:w="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52,960</w:t>
            </w:r>
          </w:p>
        </w:tc>
        <w:tc>
          <w:tcPr>
            <w:tcW w:w="1120" w:type="dxa"/>
            <w:vAlign w:val="bottom"/>
            <w:gridSpan w:val="3"/>
          </w:tcPr>
          <w:p>
            <w:pPr>
              <w:jc w:val="right"/>
              <w:ind w:right="60"/>
              <w:spacing w:after="0"/>
              <w:rPr>
                <w:sz w:val="20"/>
                <w:szCs w:val="20"/>
                <w:color w:val="auto"/>
              </w:rPr>
            </w:pPr>
            <w:r>
              <w:rPr>
                <w:rFonts w:ascii="Arial" w:cs="Arial" w:eastAsia="Arial" w:hAnsi="Arial"/>
                <w:sz w:val="11"/>
                <w:szCs w:val="11"/>
                <w:color w:val="auto"/>
              </w:rPr>
              <w:t>5,642,738</w:t>
            </w:r>
          </w:p>
        </w:tc>
        <w:tc>
          <w:tcPr>
            <w:tcW w:w="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34,346,451</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630,783</w:t>
            </w:r>
          </w:p>
        </w:tc>
        <w:tc>
          <w:tcPr>
            <w:tcW w:w="40" w:type="dxa"/>
            <w:vAlign w:val="bottom"/>
          </w:tcPr>
          <w:p>
            <w:pPr>
              <w:spacing w:after="0"/>
              <w:rPr>
                <w:sz w:val="19"/>
                <w:szCs w:val="19"/>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1"/>
                <w:szCs w:val="11"/>
                <w:color w:val="auto"/>
              </w:rPr>
              <w:t>34,977,234</w:t>
            </w:r>
          </w:p>
        </w:tc>
        <w:tc>
          <w:tcPr>
            <w:tcW w:w="0" w:type="dxa"/>
            <w:vAlign w:val="bottom"/>
          </w:tcPr>
          <w:p>
            <w:pPr>
              <w:spacing w:after="0"/>
              <w:rPr>
                <w:sz w:val="1"/>
                <w:szCs w:val="1"/>
                <w:color w:val="auto"/>
              </w:rPr>
            </w:pPr>
          </w:p>
        </w:tc>
      </w:tr>
      <w:tr>
        <w:trPr>
          <w:trHeight w:val="208"/>
        </w:trPr>
        <w:tc>
          <w:tcPr>
            <w:tcW w:w="1680" w:type="dxa"/>
            <w:vAlign w:val="bottom"/>
          </w:tcPr>
          <w:p>
            <w:pPr>
              <w:spacing w:after="0"/>
              <w:rPr>
                <w:sz w:val="20"/>
                <w:szCs w:val="20"/>
                <w:color w:val="auto"/>
              </w:rPr>
            </w:pPr>
            <w:r>
              <w:rPr>
                <w:rFonts w:ascii="Arial" w:cs="Arial" w:eastAsia="Arial" w:hAnsi="Arial"/>
                <w:sz w:val="11"/>
                <w:szCs w:val="11"/>
                <w:color w:val="auto"/>
              </w:rPr>
              <w:t>Changes in equity in 2025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Net result after income tax</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6,925,377</w:t>
            </w: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6,925,377</w:t>
            </w:r>
          </w:p>
        </w:tc>
        <w:tc>
          <w:tcPr>
            <w:tcW w:w="6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157,277</w:t>
            </w:r>
          </w:p>
        </w:tc>
        <w:tc>
          <w:tcPr>
            <w:tcW w:w="40" w:type="dxa"/>
            <w:vAlign w:val="bottom"/>
          </w:tcPr>
          <w:p>
            <w:pPr>
              <w:spacing w:after="0"/>
              <w:rPr>
                <w:sz w:val="10"/>
                <w:szCs w:val="10"/>
                <w:color w:val="auto"/>
              </w:rPr>
            </w:pPr>
          </w:p>
        </w:tc>
        <w:tc>
          <w:tcPr>
            <w:tcW w:w="700" w:type="dxa"/>
            <w:vAlign w:val="bottom"/>
            <w:gridSpan w:val="4"/>
          </w:tcPr>
          <w:p>
            <w:pPr>
              <w:jc w:val="right"/>
              <w:ind w:right="60"/>
              <w:spacing w:after="0" w:line="121" w:lineRule="exact"/>
              <w:rPr>
                <w:sz w:val="20"/>
                <w:szCs w:val="20"/>
                <w:color w:val="auto"/>
              </w:rPr>
            </w:pPr>
            <w:r>
              <w:rPr>
                <w:rFonts w:ascii="Arial" w:cs="Arial" w:eastAsia="Arial" w:hAnsi="Arial"/>
                <w:sz w:val="11"/>
                <w:szCs w:val="11"/>
                <w:color w:val="auto"/>
              </w:rPr>
              <w:t>7,082,654</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Other comprehensive income,</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Note 16(d)</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4"/>
          </w:tcPr>
          <w:p>
            <w:pPr>
              <w:jc w:val="right"/>
              <w:spacing w:after="0" w:line="121" w:lineRule="exact"/>
              <w:rPr>
                <w:sz w:val="20"/>
                <w:szCs w:val="20"/>
                <w:color w:val="auto"/>
              </w:rPr>
            </w:pPr>
            <w:r>
              <w:rPr>
                <w:rFonts w:ascii="Arial" w:cs="Arial" w:eastAsia="Arial" w:hAnsi="Arial"/>
                <w:sz w:val="11"/>
                <w:szCs w:val="11"/>
                <w:color w:val="auto"/>
              </w:rPr>
              <w:t>(20,927)</w:t>
            </w:r>
          </w:p>
        </w:tc>
        <w:tc>
          <w:tcPr>
            <w:tcW w:w="40" w:type="dxa"/>
            <w:vAlign w:val="bottom"/>
          </w:tcPr>
          <w:p>
            <w:pPr>
              <w:spacing w:after="0"/>
              <w:rPr>
                <w:sz w:val="10"/>
                <w:szCs w:val="10"/>
                <w:color w:val="auto"/>
              </w:rPr>
            </w:pP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1,265,461</w:t>
            </w:r>
          </w:p>
        </w:tc>
        <w:tc>
          <w:tcPr>
            <w:tcW w:w="54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1,860</w:t>
            </w:r>
          </w:p>
        </w:tc>
        <w:tc>
          <w:tcPr>
            <w:tcW w:w="66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(518,071)</w:t>
            </w:r>
          </w:p>
        </w:tc>
        <w:tc>
          <w:tcPr>
            <w:tcW w:w="4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(406,519)</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321,804</w:t>
            </w:r>
          </w:p>
        </w:tc>
        <w:tc>
          <w:tcPr>
            <w:tcW w:w="66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12,087</w:t>
            </w:r>
          </w:p>
        </w:tc>
        <w:tc>
          <w:tcPr>
            <w:tcW w:w="64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333,891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Transfer of the fair value reserve</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of equity instruments designated</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color w:val="auto"/>
              </w:rPr>
              <w:t>at FVOCI for sale, Note 16(d)</w:t>
            </w:r>
          </w:p>
        </w:tc>
        <w:tc>
          <w:tcPr>
            <w:tcW w:w="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40" w:type="dxa"/>
            <w:vAlign w:val="bottom"/>
            <w:gridSpan w:val="4"/>
          </w:tcPr>
          <w:p>
            <w:pPr>
              <w:jc w:val="right"/>
              <w:ind w:right="40"/>
              <w:spacing w:after="0"/>
              <w:rPr>
                <w:sz w:val="20"/>
                <w:szCs w:val="20"/>
                <w:color w:val="auto"/>
              </w:rPr>
            </w:pPr>
            <w:r>
              <w:rPr>
                <w:rFonts w:ascii="Arial" w:cs="Arial" w:eastAsia="Arial" w:hAnsi="Arial"/>
                <w:sz w:val="11"/>
                <w:szCs w:val="11"/>
                <w:color w:val="auto"/>
              </w:rPr>
              <w:t>8,336</w:t>
            </w:r>
          </w:p>
        </w:tc>
        <w:tc>
          <w:tcPr>
            <w:tcW w:w="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8,336</w:t>
            </w:r>
          </w:p>
        </w:tc>
        <w:tc>
          <w:tcPr>
            <w:tcW w:w="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60"/>
              <w:spacing w:after="0"/>
              <w:rPr>
                <w:sz w:val="20"/>
                <w:szCs w:val="20"/>
                <w:color w:val="auto"/>
              </w:rPr>
            </w:pPr>
            <w:r>
              <w:rPr>
                <w:rFonts w:ascii="Arial" w:cs="Arial" w:eastAsia="Arial" w:hAnsi="Arial"/>
                <w:sz w:val="11"/>
                <w:szCs w:val="11"/>
                <w:color w:val="auto"/>
              </w:rPr>
              <w:t>8,336</w:t>
            </w:r>
          </w:p>
        </w:tc>
        <w:tc>
          <w:tcPr>
            <w:tcW w:w="0" w:type="dxa"/>
            <w:vAlign w:val="bottom"/>
          </w:tcPr>
          <w:p>
            <w:pPr>
              <w:spacing w:after="0"/>
              <w:rPr>
                <w:sz w:val="1"/>
                <w:szCs w:val="1"/>
                <w:color w:val="auto"/>
              </w:rPr>
            </w:pPr>
          </w:p>
        </w:tc>
      </w:tr>
      <w:tr>
        <w:trPr>
          <w:trHeight w:val="97"/>
        </w:trPr>
        <w:tc>
          <w:tcPr>
            <w:tcW w:w="1680" w:type="dxa"/>
            <w:vAlign w:val="bottom"/>
          </w:tcPr>
          <w:p>
            <w:pPr>
              <w:spacing w:after="0" w:line="97" w:lineRule="exact"/>
              <w:rPr>
                <w:sz w:val="20"/>
                <w:szCs w:val="20"/>
                <w:color w:val="auto"/>
              </w:rPr>
            </w:pPr>
            <w:r>
              <w:rPr>
                <w:rFonts w:ascii="Arial" w:cs="Arial" w:eastAsia="Arial" w:hAnsi="Arial"/>
                <w:sz w:val="11"/>
                <w:szCs w:val="11"/>
                <w:color w:val="auto"/>
              </w:rPr>
              <w:t>Total comprehensive income</w:t>
            </w:r>
          </w:p>
        </w:tc>
        <w:tc>
          <w:tcPr>
            <w:tcW w:w="20" w:type="dxa"/>
            <w:vAlign w:val="bottom"/>
          </w:tcPr>
          <w:p>
            <w:pPr>
              <w:spacing w:after="0"/>
              <w:rPr>
                <w:sz w:val="8"/>
                <w:szCs w:val="8"/>
                <w:color w:val="auto"/>
              </w:rPr>
            </w:pPr>
          </w:p>
        </w:tc>
        <w:tc>
          <w:tcPr>
            <w:tcW w:w="58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54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52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52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64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auto"/>
            </w:tcBorders>
            <w:gridSpan w:val="2"/>
          </w:tcPr>
          <w:p>
            <w:pPr>
              <w:jc w:val="right"/>
              <w:spacing w:after="0" w:line="97" w:lineRule="exact"/>
              <w:rPr>
                <w:sz w:val="20"/>
                <w:szCs w:val="20"/>
                <w:color w:val="auto"/>
              </w:rPr>
            </w:pPr>
            <w:r>
              <w:rPr>
                <w:rFonts w:ascii="Arial" w:cs="Arial" w:eastAsia="Arial" w:hAnsi="Arial"/>
                <w:sz w:val="11"/>
                <w:szCs w:val="11"/>
                <w:color w:val="auto"/>
              </w:rPr>
              <w:t>(12,591)</w:t>
            </w:r>
          </w:p>
        </w:tc>
        <w:tc>
          <w:tcPr>
            <w:tcW w:w="40" w:type="dxa"/>
            <w:vAlign w:val="bottom"/>
          </w:tcPr>
          <w:p>
            <w:pPr>
              <w:spacing w:after="0"/>
              <w:rPr>
                <w:sz w:val="8"/>
                <w:szCs w:val="8"/>
                <w:color w:val="auto"/>
              </w:rPr>
            </w:pPr>
          </w:p>
        </w:tc>
        <w:tc>
          <w:tcPr>
            <w:tcW w:w="70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1,265,461</w:t>
            </w:r>
          </w:p>
        </w:tc>
        <w:tc>
          <w:tcPr>
            <w:tcW w:w="40" w:type="dxa"/>
            <w:vAlign w:val="bottom"/>
          </w:tcPr>
          <w:p>
            <w:pPr>
              <w:spacing w:after="0"/>
              <w:rPr>
                <w:sz w:val="8"/>
                <w:szCs w:val="8"/>
                <w:color w:val="auto"/>
              </w:rPr>
            </w:pPr>
          </w:p>
        </w:tc>
        <w:tc>
          <w:tcPr>
            <w:tcW w:w="50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1,860</w:t>
            </w:r>
          </w:p>
        </w:tc>
        <w:tc>
          <w:tcPr>
            <w:tcW w:w="40" w:type="dxa"/>
            <w:vAlign w:val="bottom"/>
          </w:tcPr>
          <w:p>
            <w:pPr>
              <w:spacing w:after="0"/>
              <w:rPr>
                <w:sz w:val="8"/>
                <w:szCs w:val="8"/>
                <w:color w:val="auto"/>
              </w:rPr>
            </w:pPr>
          </w:p>
        </w:tc>
        <w:tc>
          <w:tcPr>
            <w:tcW w:w="620" w:type="dxa"/>
            <w:vAlign w:val="bottom"/>
            <w:tcBorders>
              <w:top w:val="single" w:sz="8" w:color="auto"/>
            </w:tcBorders>
            <w:gridSpan w:val="2"/>
          </w:tcPr>
          <w:p>
            <w:pPr>
              <w:jc w:val="right"/>
              <w:ind w:right="20"/>
              <w:spacing w:after="0" w:line="97" w:lineRule="exact"/>
              <w:rPr>
                <w:sz w:val="20"/>
                <w:szCs w:val="20"/>
                <w:color w:val="auto"/>
              </w:rPr>
            </w:pPr>
            <w:r>
              <w:rPr>
                <w:rFonts w:ascii="Arial" w:cs="Arial" w:eastAsia="Arial" w:hAnsi="Arial"/>
                <w:sz w:val="11"/>
                <w:szCs w:val="11"/>
                <w:color w:val="auto"/>
              </w:rPr>
              <w:t>(518,071)</w:t>
            </w:r>
          </w:p>
        </w:tc>
        <w:tc>
          <w:tcPr>
            <w:tcW w:w="40" w:type="dxa"/>
            <w:vAlign w:val="bottom"/>
          </w:tcPr>
          <w:p>
            <w:pPr>
              <w:spacing w:after="0"/>
              <w:rPr>
                <w:sz w:val="8"/>
                <w:szCs w:val="8"/>
                <w:color w:val="auto"/>
              </w:rPr>
            </w:pPr>
          </w:p>
        </w:tc>
        <w:tc>
          <w:tcPr>
            <w:tcW w:w="660" w:type="dxa"/>
            <w:vAlign w:val="bottom"/>
            <w:tcBorders>
              <w:top w:val="single" w:sz="8" w:color="auto"/>
            </w:tcBorders>
            <w:gridSpan w:val="2"/>
          </w:tcPr>
          <w:p>
            <w:pPr>
              <w:jc w:val="right"/>
              <w:ind w:right="20"/>
              <w:spacing w:after="0" w:line="97" w:lineRule="exact"/>
              <w:rPr>
                <w:sz w:val="20"/>
                <w:szCs w:val="20"/>
                <w:color w:val="auto"/>
              </w:rPr>
            </w:pPr>
            <w:r>
              <w:rPr>
                <w:rFonts w:ascii="Arial" w:cs="Arial" w:eastAsia="Arial" w:hAnsi="Arial"/>
                <w:sz w:val="11"/>
                <w:szCs w:val="11"/>
                <w:color w:val="auto"/>
              </w:rPr>
              <w:t>(406,519)</w:t>
            </w:r>
          </w:p>
        </w:tc>
        <w:tc>
          <w:tcPr>
            <w:tcW w:w="60" w:type="dxa"/>
            <w:vAlign w:val="bottom"/>
          </w:tcPr>
          <w:p>
            <w:pPr>
              <w:spacing w:after="0"/>
              <w:rPr>
                <w:sz w:val="8"/>
                <w:szCs w:val="8"/>
                <w:color w:val="auto"/>
              </w:rPr>
            </w:pPr>
          </w:p>
        </w:tc>
        <w:tc>
          <w:tcPr>
            <w:tcW w:w="106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6,925,377</w:t>
            </w:r>
          </w:p>
        </w:tc>
        <w:tc>
          <w:tcPr>
            <w:tcW w:w="60" w:type="dxa"/>
            <w:vAlign w:val="bottom"/>
          </w:tcPr>
          <w:p>
            <w:pPr>
              <w:spacing w:after="0"/>
              <w:rPr>
                <w:sz w:val="8"/>
                <w:szCs w:val="8"/>
                <w:color w:val="auto"/>
              </w:rPr>
            </w:pPr>
          </w:p>
        </w:tc>
        <w:tc>
          <w:tcPr>
            <w:tcW w:w="660" w:type="dxa"/>
            <w:vAlign w:val="bottom"/>
            <w:tcBorders>
              <w:top w:val="single" w:sz="8" w:color="auto"/>
            </w:tcBorders>
            <w:gridSpan w:val="2"/>
          </w:tcPr>
          <w:p>
            <w:pPr>
              <w:jc w:val="right"/>
              <w:ind w:right="40"/>
              <w:spacing w:after="0" w:line="97" w:lineRule="exact"/>
              <w:rPr>
                <w:sz w:val="20"/>
                <w:szCs w:val="20"/>
                <w:color w:val="auto"/>
              </w:rPr>
            </w:pPr>
            <w:r>
              <w:rPr>
                <w:rFonts w:ascii="Arial" w:cs="Arial" w:eastAsia="Arial" w:hAnsi="Arial"/>
                <w:sz w:val="11"/>
                <w:szCs w:val="11"/>
                <w:color w:val="auto"/>
              </w:rPr>
              <w:t>7,255,517</w:t>
            </w:r>
          </w:p>
        </w:tc>
        <w:tc>
          <w:tcPr>
            <w:tcW w:w="40" w:type="dxa"/>
            <w:vAlign w:val="bottom"/>
          </w:tcPr>
          <w:p>
            <w:pPr>
              <w:spacing w:after="0"/>
              <w:rPr>
                <w:sz w:val="8"/>
                <w:szCs w:val="8"/>
                <w:color w:val="auto"/>
              </w:rPr>
            </w:pPr>
          </w:p>
        </w:tc>
        <w:tc>
          <w:tcPr>
            <w:tcW w:w="5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1"/>
                <w:szCs w:val="11"/>
                <w:color w:val="auto"/>
              </w:rPr>
              <w:t>169,364</w:t>
            </w: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top w:val="single" w:sz="8" w:color="auto"/>
            </w:tcBorders>
            <w:gridSpan w:val="2"/>
          </w:tcPr>
          <w:p>
            <w:pPr>
              <w:jc w:val="right"/>
              <w:ind w:right="60"/>
              <w:spacing w:after="0" w:line="97" w:lineRule="exact"/>
              <w:rPr>
                <w:sz w:val="20"/>
                <w:szCs w:val="20"/>
                <w:color w:val="auto"/>
              </w:rPr>
            </w:pPr>
            <w:r>
              <w:rPr>
                <w:rFonts w:ascii="Arial" w:cs="Arial" w:eastAsia="Arial" w:hAnsi="Arial"/>
                <w:sz w:val="11"/>
                <w:szCs w:val="11"/>
                <w:color w:val="auto"/>
              </w:rPr>
              <w:t>7,424,881</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Transfer of retained earnings to</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reserves, Note 16(c)</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5,637,738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(5,637,738)</w:t>
            </w: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 distribution, Note 16(e)</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(3,181,454)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(3,181,454)</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(3,181,454)</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Dividends paid to non-controlling</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interest of subsidiaries</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(120,855)</w:t>
            </w:r>
          </w:p>
        </w:tc>
        <w:tc>
          <w:tcPr>
            <w:tcW w:w="70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(120,855)</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Purchase of treasury stock, Note</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16(b)</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(2,451)</w:t>
            </w:r>
          </w:p>
        </w:tc>
        <w:tc>
          <w:tcPr>
            <w:tcW w:w="40" w:type="dxa"/>
            <w:vAlign w:val="bottom"/>
          </w:tcPr>
          <w:p>
            <w:pPr>
              <w:spacing w:after="0"/>
              <w:rPr>
                <w:sz w:val="10"/>
                <w:szCs w:val="10"/>
                <w:color w:val="auto"/>
              </w:rPr>
            </w:pPr>
          </w:p>
        </w:tc>
        <w:tc>
          <w:tcPr>
            <w:tcW w:w="5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(116,800)</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(119,251)</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(119,251)</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Share-based payment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transactions</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1,485</w:t>
            </w:r>
          </w:p>
        </w:tc>
        <w:tc>
          <w:tcPr>
            <w:tcW w:w="40" w:type="dxa"/>
            <w:vAlign w:val="bottom"/>
          </w:tcPr>
          <w:p>
            <w:pPr>
              <w:spacing w:after="0"/>
              <w:rPr>
                <w:sz w:val="10"/>
                <w:szCs w:val="10"/>
                <w:color w:val="auto"/>
              </w:rPr>
            </w:pP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89,222</w:t>
            </w:r>
          </w:p>
        </w:tc>
        <w:tc>
          <w:tcPr>
            <w:tcW w:w="68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64,746</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155,453</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155,453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Release of optional reserve</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(76,441)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(76,441)</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(76,441)</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Non-controlling interest from</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Pacifico EPS, Note 2(a)</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57,177</w:t>
            </w:r>
          </w:p>
        </w:tc>
        <w:tc>
          <w:tcPr>
            <w:tcW w:w="700" w:type="dxa"/>
            <w:vAlign w:val="bottom"/>
            <w:gridSpan w:val="4"/>
          </w:tcPr>
          <w:p>
            <w:pPr>
              <w:jc w:val="right"/>
              <w:ind w:right="60"/>
              <w:spacing w:after="0" w:line="121" w:lineRule="exact"/>
              <w:rPr>
                <w:sz w:val="20"/>
                <w:szCs w:val="20"/>
                <w:color w:val="auto"/>
              </w:rPr>
            </w:pPr>
            <w:r>
              <w:rPr>
                <w:rFonts w:ascii="Arial" w:cs="Arial" w:eastAsia="Arial" w:hAnsi="Arial"/>
                <w:sz w:val="11"/>
                <w:szCs w:val="11"/>
                <w:color w:val="auto"/>
              </w:rPr>
              <w:t>57,177</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Minority purchase</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(9,142)</w:t>
            </w: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(9,142)</w:t>
            </w:r>
          </w:p>
        </w:tc>
        <w:tc>
          <w:tcPr>
            <w:tcW w:w="6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(8,783)</w:t>
            </w:r>
          </w:p>
        </w:tc>
        <w:tc>
          <w:tcPr>
            <w:tcW w:w="70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(17,925)</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Transfer of fair value reserve of</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equity instruments designated at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FVOCI for sale</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(8,336)</w:t>
            </w: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(8,336)</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(8,336)</w:t>
            </w:r>
          </w:p>
        </w:tc>
        <w:tc>
          <w:tcPr>
            <w:tcW w:w="0" w:type="dxa"/>
            <w:vAlign w:val="bottom"/>
          </w:tcPr>
          <w:p>
            <w:pPr>
              <w:spacing w:after="0"/>
              <w:rPr>
                <w:sz w:val="1"/>
                <w:szCs w:val="1"/>
                <w:color w:val="auto"/>
              </w:rPr>
            </w:pPr>
          </w:p>
        </w:tc>
      </w:tr>
      <w:tr>
        <w:trPr>
          <w:trHeight w:val="121"/>
        </w:trPr>
        <w:tc>
          <w:tcPr>
            <w:tcW w:w="1680" w:type="dxa"/>
            <w:vAlign w:val="bottom"/>
          </w:tcPr>
          <w:p>
            <w:pPr>
              <w:spacing w:after="0" w:line="121" w:lineRule="exact"/>
              <w:rPr>
                <w:sz w:val="20"/>
                <w:szCs w:val="20"/>
                <w:color w:val="auto"/>
              </w:rPr>
            </w:pPr>
            <w:r>
              <w:rPr>
                <w:rFonts w:ascii="Arial" w:cs="Arial" w:eastAsia="Arial" w:hAnsi="Arial"/>
                <w:sz w:val="11"/>
                <w:szCs w:val="11"/>
                <w:color w:val="auto"/>
              </w:rPr>
              <w:t>Dividends not collected</w:t>
            </w:r>
          </w:p>
        </w:tc>
        <w:tc>
          <w:tcPr>
            <w:tcW w:w="2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1,314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12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1,314</w:t>
            </w:r>
          </w:p>
        </w:tc>
        <w:tc>
          <w:tcPr>
            <w:tcW w:w="40" w:type="dxa"/>
            <w:vAlign w:val="bottom"/>
          </w:tcPr>
          <w:p>
            <w:pPr>
              <w:spacing w:after="0"/>
              <w:rPr>
                <w:sz w:val="10"/>
                <w:szCs w:val="10"/>
                <w:color w:val="auto"/>
              </w:rPr>
            </w:pP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60"/>
              <w:spacing w:after="0" w:line="121" w:lineRule="exact"/>
              <w:rPr>
                <w:sz w:val="20"/>
                <w:szCs w:val="20"/>
                <w:color w:val="auto"/>
              </w:rPr>
            </w:pPr>
            <w:r>
              <w:rPr>
                <w:rFonts w:ascii="Arial" w:cs="Arial" w:eastAsia="Arial" w:hAnsi="Arial"/>
                <w:sz w:val="11"/>
                <w:szCs w:val="11"/>
                <w:color w:val="auto"/>
              </w:rPr>
              <w:t>1,314</w:t>
            </w:r>
          </w:p>
        </w:tc>
        <w:tc>
          <w:tcPr>
            <w:tcW w:w="0" w:type="dxa"/>
            <w:vAlign w:val="bottom"/>
          </w:tcPr>
          <w:p>
            <w:pPr>
              <w:spacing w:after="0"/>
              <w:rPr>
                <w:sz w:val="1"/>
                <w:szCs w:val="1"/>
                <w:color w:val="auto"/>
              </w:rPr>
            </w:pPr>
          </w:p>
        </w:tc>
      </w:tr>
      <w:tr>
        <w:trPr>
          <w:trHeight w:val="140"/>
        </w:trPr>
        <w:tc>
          <w:tcPr>
            <w:tcW w:w="1680" w:type="dxa"/>
            <w:vAlign w:val="bottom"/>
          </w:tcPr>
          <w:p>
            <w:pPr>
              <w:spacing w:after="0"/>
              <w:rPr>
                <w:sz w:val="20"/>
                <w:szCs w:val="20"/>
                <w:color w:val="auto"/>
              </w:rPr>
            </w:pPr>
            <w:r>
              <w:rPr>
                <w:rFonts w:ascii="Arial" w:cs="Arial" w:eastAsia="Arial" w:hAnsi="Arial"/>
                <w:sz w:val="11"/>
                <w:szCs w:val="11"/>
                <w:color w:val="auto"/>
              </w:rPr>
              <w:t>Others</w:t>
            </w:r>
          </w:p>
        </w:tc>
        <w:tc>
          <w:tcPr>
            <w:tcW w:w="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1"/>
                <w:szCs w:val="11"/>
                <w:color w:val="auto"/>
              </w:rPr>
              <w:t>2,825</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2,839</w:t>
            </w:r>
          </w:p>
        </w:tc>
        <w:tc>
          <w:tcPr>
            <w:tcW w:w="660" w:type="dxa"/>
            <w:vAlign w:val="bottom"/>
            <w:gridSpan w:val="3"/>
          </w:tcPr>
          <w:p>
            <w:pPr>
              <w:jc w:val="right"/>
              <w:ind w:right="40"/>
              <w:spacing w:after="0"/>
              <w:rPr>
                <w:sz w:val="20"/>
                <w:szCs w:val="20"/>
                <w:color w:val="auto"/>
              </w:rPr>
            </w:pPr>
            <w:r>
              <w:rPr>
                <w:rFonts w:ascii="Arial" w:cs="Arial" w:eastAsia="Arial" w:hAnsi="Arial"/>
                <w:sz w:val="11"/>
                <w:szCs w:val="11"/>
                <w:color w:val="auto"/>
              </w:rPr>
              <w:t>1,473</w:t>
            </w:r>
          </w:p>
        </w:tc>
        <w:tc>
          <w:tcPr>
            <w:tcW w:w="700" w:type="dxa"/>
            <w:vAlign w:val="bottom"/>
            <w:gridSpan w:val="4"/>
          </w:tcPr>
          <w:p>
            <w:pPr>
              <w:jc w:val="right"/>
              <w:ind w:right="60"/>
              <w:spacing w:after="0"/>
              <w:rPr>
                <w:sz w:val="20"/>
                <w:szCs w:val="20"/>
                <w:color w:val="auto"/>
              </w:rPr>
            </w:pPr>
            <w:r>
              <w:rPr>
                <w:rFonts w:ascii="Arial" w:cs="Arial" w:eastAsia="Arial" w:hAnsi="Arial"/>
                <w:sz w:val="11"/>
                <w:szCs w:val="11"/>
                <w:color w:val="auto"/>
              </w:rPr>
              <w:t>4,312</w:t>
            </w:r>
          </w:p>
        </w:tc>
        <w:tc>
          <w:tcPr>
            <w:tcW w:w="0" w:type="dxa"/>
            <w:vAlign w:val="bottom"/>
          </w:tcPr>
          <w:p>
            <w:pPr>
              <w:spacing w:after="0"/>
              <w:rPr>
                <w:sz w:val="1"/>
                <w:szCs w:val="1"/>
                <w:color w:val="auto"/>
              </w:rPr>
            </w:pPr>
          </w:p>
        </w:tc>
      </w:tr>
      <w:tr>
        <w:trPr>
          <w:trHeight w:val="93"/>
        </w:trPr>
        <w:tc>
          <w:tcPr>
            <w:tcW w:w="1680" w:type="dxa"/>
            <w:vAlign w:val="bottom"/>
          </w:tcPr>
          <w:p>
            <w:pPr>
              <w:spacing w:after="0" w:line="93" w:lineRule="exact"/>
              <w:rPr>
                <w:sz w:val="20"/>
                <w:szCs w:val="20"/>
                <w:color w:val="auto"/>
              </w:rPr>
            </w:pPr>
            <w:r>
              <w:rPr>
                <w:rFonts w:ascii="Arial" w:cs="Arial" w:eastAsia="Arial" w:hAnsi="Arial"/>
                <w:sz w:val="10"/>
                <w:szCs w:val="10"/>
                <w:b w:val="1"/>
                <w:bCs w:val="1"/>
                <w:color w:val="auto"/>
              </w:rPr>
              <w:t>Balances as of December 31,</w:t>
            </w:r>
          </w:p>
        </w:tc>
        <w:tc>
          <w:tcPr>
            <w:tcW w:w="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rPr>
                <w:sz w:val="20"/>
                <w:szCs w:val="20"/>
                <w:color w:val="auto"/>
              </w:rPr>
            </w:pPr>
            <w:r>
              <w:rPr>
                <w:rFonts w:ascii="Arial" w:cs="Arial" w:eastAsia="Arial" w:hAnsi="Arial"/>
                <w:sz w:val="11"/>
                <w:szCs w:val="11"/>
                <w:b w:val="1"/>
                <w:bCs w:val="1"/>
                <w:color w:val="auto"/>
              </w:rPr>
              <w:t>2025</w:t>
            </w:r>
          </w:p>
        </w:tc>
        <w:tc>
          <w:tcPr>
            <w:tcW w:w="2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1,318,993</w:t>
            </w:r>
          </w:p>
        </w:tc>
        <w:tc>
          <w:tcPr>
            <w:tcW w:w="40" w:type="dxa"/>
            <w:vAlign w:val="bottom"/>
          </w:tcPr>
          <w:p>
            <w:pPr>
              <w:spacing w:after="0"/>
              <w:rPr>
                <w:sz w:val="13"/>
                <w:szCs w:val="13"/>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(204,326)</w:t>
            </w:r>
          </w:p>
        </w:tc>
        <w:tc>
          <w:tcPr>
            <w:tcW w:w="20" w:type="dxa"/>
            <w:vAlign w:val="bottom"/>
          </w:tcPr>
          <w:p>
            <w:pPr>
              <w:spacing w:after="0"/>
              <w:rPr>
                <w:sz w:val="13"/>
                <w:szCs w:val="13"/>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(5,519)</w:t>
            </w:r>
          </w:p>
        </w:tc>
        <w:tc>
          <w:tcPr>
            <w:tcW w:w="4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148,729</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29,648,582</w:t>
            </w:r>
          </w:p>
        </w:tc>
        <w:tc>
          <w:tcPr>
            <w:tcW w:w="60" w:type="dxa"/>
            <w:vAlign w:val="bottom"/>
            <w:gridSpan w:val="2"/>
          </w:tcPr>
          <w:p>
            <w:pPr>
              <w:spacing w:after="0"/>
              <w:rPr>
                <w:sz w:val="13"/>
                <w:szCs w:val="13"/>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31,899</w:t>
            </w:r>
          </w:p>
        </w:tc>
        <w:tc>
          <w:tcPr>
            <w:tcW w:w="4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1,074,310</w:t>
            </w:r>
          </w:p>
        </w:tc>
        <w:tc>
          <w:tcPr>
            <w:tcW w:w="4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w:t>
            </w:r>
          </w:p>
        </w:tc>
        <w:tc>
          <w:tcPr>
            <w:tcW w:w="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(208,110)</w:t>
            </w:r>
          </w:p>
        </w:tc>
        <w:tc>
          <w:tcPr>
            <w:tcW w:w="4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(353,559)</w:t>
            </w:r>
          </w:p>
        </w:tc>
        <w:tc>
          <w:tcPr>
            <w:tcW w:w="6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6,915,724</w:t>
            </w:r>
          </w:p>
        </w:tc>
        <w:tc>
          <w:tcPr>
            <w:tcW w:w="6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38,366,950</w:t>
            </w:r>
          </w:p>
        </w:tc>
        <w:tc>
          <w:tcPr>
            <w:tcW w:w="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729,159</w:t>
            </w:r>
          </w:p>
        </w:tc>
        <w:tc>
          <w:tcPr>
            <w:tcW w:w="40" w:type="dxa"/>
            <w:vAlign w:val="bottom"/>
            <w:tcBorders>
              <w:bottom w:val="single" w:sz="8" w:color="auto"/>
            </w:tcBorders>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39,096,109</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592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5920" w:type="dxa"/>
            <w:vAlign w:val="bottom"/>
          </w:tcPr>
          <w:p>
            <w:pPr>
              <w:spacing w:after="0"/>
              <w:rPr>
                <w:sz w:val="20"/>
                <w:szCs w:val="20"/>
                <w:color w:val="auto"/>
              </w:rPr>
            </w:pPr>
            <w:r>
              <w:rPr>
                <w:rFonts w:ascii="Arial" w:cs="Arial" w:eastAsia="Arial" w:hAnsi="Arial"/>
                <w:sz w:val="16"/>
                <w:szCs w:val="16"/>
                <w:color w:val="auto"/>
              </w:rPr>
              <w:t>CONSOLIDATED STATEMENT OF CASH FLOWS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6"/>
                <w:szCs w:val="16"/>
                <w:color w:val="auto"/>
              </w:rPr>
              <w:t>FOR THE YEARS ENDED DECEMBER 31, 2025, 2024 AND 2023</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9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Note</w:t>
            </w: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AND CASH EQUIVALENTS FROM OPERATING ACTIVITIES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9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Net result after income tax</w:t>
            </w:r>
          </w:p>
        </w:tc>
        <w:tc>
          <w:tcPr>
            <w:tcW w:w="1280" w:type="dxa"/>
            <w:vAlign w:val="bottom"/>
          </w:tcPr>
          <w:p>
            <w:pPr>
              <w:spacing w:after="0"/>
              <w:rPr>
                <w:sz w:val="15"/>
                <w:szCs w:val="15"/>
                <w:color w:val="auto"/>
              </w:rPr>
            </w:pP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7,082,654</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5,623,252</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4,959,878</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Adjustment to reconcile net profit to net cash arising from operating</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activities: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Provision for credit losses on loan portfolio</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7(c)</w:t>
            </w: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2,873,454</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3,943,301</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3,957,143</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Depreciation and amortization</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9(a) and 10(a)</w:t>
            </w: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746,243</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570,830</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511,174</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Depreciation of right-of-use assets</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w w:val="96"/>
              </w:rPr>
              <w:t>11(a)</w:t>
            </w: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146,899</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142,640</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147,833</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Depreciation of investment properties</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12(g)</w:t>
            </w: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8,803</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9,098</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8,115</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Provision for sundry risks</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25</w:t>
            </w: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149,651</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315,214</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95,873</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Deferred income tax</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17(b)</w:t>
            </w: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(125,724)</w:t>
            </w:r>
          </w:p>
        </w:tc>
        <w:tc>
          <w:tcPr>
            <w:tcW w:w="14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(54,943)</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(76,088)</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Net gain on sale of securities</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21</w:t>
            </w: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(400,686)</w:t>
            </w:r>
          </w:p>
        </w:tc>
        <w:tc>
          <w:tcPr>
            <w:tcW w:w="14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(362,295)</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(425,144)</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Impairment loss on goodwill</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10(b)</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27,346</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71,959</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Net gain of trading derivatives</w:t>
            </w:r>
          </w:p>
        </w:tc>
        <w:tc>
          <w:tcPr>
            <w:tcW w:w="1280" w:type="dxa"/>
            <w:vAlign w:val="bottom"/>
          </w:tcPr>
          <w:p>
            <w:pPr>
              <w:spacing w:after="0"/>
              <w:rPr>
                <w:sz w:val="15"/>
                <w:szCs w:val="15"/>
                <w:color w:val="auto"/>
              </w:rPr>
            </w:pP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(51,917)</w:t>
            </w:r>
          </w:p>
        </w:tc>
        <w:tc>
          <w:tcPr>
            <w:tcW w:w="14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(156,195)</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(53,665)</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Net gain from sale of property, furniture and equipment</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25</w:t>
            </w: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(37,636)</w:t>
            </w:r>
          </w:p>
        </w:tc>
        <w:tc>
          <w:tcPr>
            <w:tcW w:w="14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(68,037)</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(1,654)</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Net gain from sale of foreclosed assets</w:t>
            </w:r>
          </w:p>
        </w:tc>
        <w:tc>
          <w:tcPr>
            <w:tcW w:w="1280" w:type="dxa"/>
            <w:vAlign w:val="bottom"/>
          </w:tcPr>
          <w:p>
            <w:pPr>
              <w:spacing w:after="0"/>
              <w:rPr>
                <w:sz w:val="15"/>
                <w:szCs w:val="15"/>
                <w:color w:val="auto"/>
              </w:rPr>
            </w:pP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(30,139)</w:t>
            </w:r>
          </w:p>
        </w:tc>
        <w:tc>
          <w:tcPr>
            <w:tcW w:w="14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(27,172)</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Expense for share-based payment transactions</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23</w:t>
            </w: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149,037</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104,848</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83,328</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Net gain from sale of loan portfolio</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25</w:t>
            </w: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(1,778)</w:t>
            </w:r>
          </w:p>
        </w:tc>
        <w:tc>
          <w:tcPr>
            <w:tcW w:w="14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(21,295)</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(83,515)</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Intangible losses due to withdrawals and dismissed projects</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25</w:t>
            </w: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79,335</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131,142</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96,978</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Gain on remeasurement of previously held equity interest in Pacifico Entidad</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Prestadora de Salud</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rPr>
              <w:t>25</w:t>
            </w: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(235,490)</w:t>
            </w:r>
          </w:p>
        </w:tc>
        <w:tc>
          <w:tcPr>
            <w:tcW w:w="80" w:type="dxa"/>
            <w:vAlign w:val="bottom"/>
          </w:tcPr>
          <w:p>
            <w:pPr>
              <w:spacing w:after="0"/>
              <w:rPr>
                <w:sz w:val="15"/>
                <w:szCs w:val="15"/>
                <w:color w:val="auto"/>
              </w:rPr>
            </w:pPr>
          </w:p>
        </w:tc>
        <w:tc>
          <w:tcPr>
            <w:tcW w:w="13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Others</w:t>
            </w:r>
          </w:p>
        </w:tc>
        <w:tc>
          <w:tcPr>
            <w:tcW w:w="1280" w:type="dxa"/>
            <w:vAlign w:val="bottom"/>
          </w:tcPr>
          <w:p>
            <w:pPr>
              <w:spacing w:after="0"/>
              <w:rPr>
                <w:sz w:val="15"/>
                <w:szCs w:val="15"/>
                <w:color w:val="auto"/>
              </w:rPr>
            </w:pP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65,027</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145,492</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3,005</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Net changes in assets and liabilities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Net (increase) decrease in assets: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Loans</w:t>
            </w:r>
          </w:p>
        </w:tc>
        <w:tc>
          <w:tcPr>
            <w:tcW w:w="1280" w:type="dxa"/>
            <w:vAlign w:val="bottom"/>
          </w:tcPr>
          <w:p>
            <w:pPr>
              <w:spacing w:after="0"/>
              <w:rPr>
                <w:sz w:val="15"/>
                <w:szCs w:val="15"/>
                <w:color w:val="auto"/>
              </w:rPr>
            </w:pP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(13,447,331)</w:t>
            </w:r>
          </w:p>
        </w:tc>
        <w:tc>
          <w:tcPr>
            <w:tcW w:w="14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(4,461,273)</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(1,105,306)</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Investments at fair value through profit or loss</w:t>
            </w:r>
          </w:p>
        </w:tc>
        <w:tc>
          <w:tcPr>
            <w:tcW w:w="1280" w:type="dxa"/>
            <w:vAlign w:val="bottom"/>
          </w:tcPr>
          <w:p>
            <w:pPr>
              <w:spacing w:after="0"/>
              <w:rPr>
                <w:sz w:val="15"/>
                <w:szCs w:val="15"/>
                <w:color w:val="auto"/>
              </w:rPr>
            </w:pP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(204,871)</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412,376</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(456,626)</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Investments at fair value through other comprehensive income</w:t>
            </w:r>
          </w:p>
        </w:tc>
        <w:tc>
          <w:tcPr>
            <w:tcW w:w="1280" w:type="dxa"/>
            <w:vAlign w:val="bottom"/>
          </w:tcPr>
          <w:p>
            <w:pPr>
              <w:spacing w:after="0"/>
              <w:rPr>
                <w:sz w:val="15"/>
                <w:szCs w:val="15"/>
                <w:color w:val="auto"/>
              </w:rPr>
            </w:pP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1,459,872</w:t>
            </w:r>
          </w:p>
        </w:tc>
        <w:tc>
          <w:tcPr>
            <w:tcW w:w="14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(2,555,702)</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(5,164,701)</w:t>
            </w:r>
          </w:p>
        </w:tc>
        <w:tc>
          <w:tcPr>
            <w:tcW w:w="0" w:type="dxa"/>
            <w:vAlign w:val="bottom"/>
          </w:tcPr>
          <w:p>
            <w:pPr>
              <w:spacing w:after="0"/>
              <w:rPr>
                <w:sz w:val="1"/>
                <w:szCs w:val="1"/>
                <w:color w:val="auto"/>
              </w:rPr>
            </w:pPr>
          </w:p>
        </w:tc>
      </w:tr>
      <w:tr>
        <w:trPr>
          <w:trHeight w:val="181"/>
        </w:trPr>
        <w:tc>
          <w:tcPr>
            <w:tcW w:w="5920" w:type="dxa"/>
            <w:vAlign w:val="bottom"/>
          </w:tcPr>
          <w:p>
            <w:pPr>
              <w:spacing w:after="0" w:line="181" w:lineRule="exact"/>
              <w:rPr>
                <w:sz w:val="20"/>
                <w:szCs w:val="20"/>
                <w:color w:val="auto"/>
              </w:rPr>
            </w:pPr>
            <w:r>
              <w:rPr>
                <w:rFonts w:ascii="Arial" w:cs="Arial" w:eastAsia="Arial" w:hAnsi="Arial"/>
                <w:sz w:val="16"/>
                <w:szCs w:val="16"/>
                <w:color w:val="auto"/>
              </w:rPr>
              <w:t>Cash collateral, reverse repurchase agreements and securities borrowings</w:t>
            </w:r>
          </w:p>
        </w:tc>
        <w:tc>
          <w:tcPr>
            <w:tcW w:w="1280" w:type="dxa"/>
            <w:vAlign w:val="bottom"/>
          </w:tcPr>
          <w:p>
            <w:pPr>
              <w:spacing w:after="0"/>
              <w:rPr>
                <w:sz w:val="15"/>
                <w:szCs w:val="15"/>
                <w:color w:val="auto"/>
              </w:rPr>
            </w:pP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(1,251,363)</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383,427</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(330,448)</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Sale of written off portfolio</w:t>
            </w:r>
          </w:p>
        </w:tc>
        <w:tc>
          <w:tcPr>
            <w:tcW w:w="1280" w:type="dxa"/>
            <w:vAlign w:val="bottom"/>
          </w:tcPr>
          <w:p>
            <w:pPr>
              <w:spacing w:after="0"/>
              <w:rPr>
                <w:sz w:val="15"/>
                <w:szCs w:val="15"/>
                <w:color w:val="auto"/>
              </w:rPr>
            </w:pPr>
          </w:p>
        </w:tc>
        <w:tc>
          <w:tcPr>
            <w:tcW w:w="14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7,320</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55,230</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239,599</w:t>
            </w:r>
          </w:p>
        </w:tc>
        <w:tc>
          <w:tcPr>
            <w:tcW w:w="0" w:type="dxa"/>
            <w:vAlign w:val="bottom"/>
          </w:tcPr>
          <w:p>
            <w:pPr>
              <w:spacing w:after="0"/>
              <w:rPr>
                <w:sz w:val="1"/>
                <w:szCs w:val="1"/>
                <w:color w:val="auto"/>
              </w:rPr>
            </w:pPr>
          </w:p>
        </w:tc>
      </w:tr>
      <w:tr>
        <w:trPr>
          <w:trHeight w:val="181"/>
        </w:trPr>
        <w:tc>
          <w:tcPr>
            <w:tcW w:w="5920" w:type="dxa"/>
            <w:vAlign w:val="bottom"/>
          </w:tcPr>
          <w:p>
            <w:pPr>
              <w:ind w:left="40"/>
              <w:spacing w:after="0" w:line="181" w:lineRule="exact"/>
              <w:rPr>
                <w:sz w:val="20"/>
                <w:szCs w:val="20"/>
                <w:color w:val="auto"/>
              </w:rPr>
            </w:pPr>
            <w:r>
              <w:rPr>
                <w:rFonts w:ascii="Arial" w:cs="Arial" w:eastAsia="Arial" w:hAnsi="Arial"/>
                <w:sz w:val="16"/>
                <w:szCs w:val="16"/>
                <w:color w:val="auto"/>
              </w:rPr>
              <w:t>Claim filed with the Tax Authority</w:t>
            </w:r>
          </w:p>
        </w:tc>
        <w:tc>
          <w:tcPr>
            <w:tcW w:w="1280" w:type="dxa"/>
            <w:vAlign w:val="bottom"/>
          </w:tcPr>
          <w:p>
            <w:pPr>
              <w:jc w:val="center"/>
              <w:spacing w:after="0" w:line="181" w:lineRule="exact"/>
              <w:rPr>
                <w:sz w:val="20"/>
                <w:szCs w:val="20"/>
                <w:color w:val="auto"/>
              </w:rPr>
            </w:pPr>
            <w:r>
              <w:rPr>
                <w:rFonts w:ascii="Arial" w:cs="Arial" w:eastAsia="Arial" w:hAnsi="Arial"/>
                <w:sz w:val="16"/>
                <w:szCs w:val="16"/>
                <w:color w:val="auto"/>
                <w:w w:val="99"/>
              </w:rPr>
              <w:t>12(a) and 31</w:t>
            </w:r>
          </w:p>
        </w:tc>
        <w:tc>
          <w:tcPr>
            <w:tcW w:w="1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(1,577,175)</w:t>
            </w:r>
          </w:p>
        </w:tc>
        <w:tc>
          <w:tcPr>
            <w:tcW w:w="80" w:type="dxa"/>
            <w:vAlign w:val="bottom"/>
          </w:tcPr>
          <w:p>
            <w:pPr>
              <w:spacing w:after="0"/>
              <w:rPr>
                <w:sz w:val="15"/>
                <w:szCs w:val="15"/>
                <w:color w:val="auto"/>
              </w:rPr>
            </w:pPr>
          </w:p>
        </w:tc>
        <w:tc>
          <w:tcPr>
            <w:tcW w:w="13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9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28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(2,045,992)</w:t>
            </w: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(1,111,692)</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520,331</w:t>
            </w:r>
          </w:p>
        </w:tc>
        <w:tc>
          <w:tcPr>
            <w:tcW w:w="0" w:type="dxa"/>
            <w:vAlign w:val="bottom"/>
          </w:tcPr>
          <w:p>
            <w:pPr>
              <w:spacing w:after="0"/>
              <w:rPr>
                <w:sz w:val="1"/>
                <w:szCs w:val="1"/>
                <w:color w:val="auto"/>
              </w:rPr>
            </w:pPr>
          </w:p>
        </w:tc>
      </w:tr>
      <w:tr>
        <w:trPr>
          <w:trHeight w:val="531"/>
        </w:trPr>
        <w:tc>
          <w:tcPr>
            <w:tcW w:w="5920" w:type="dxa"/>
            <w:vAlign w:val="bottom"/>
          </w:tcPr>
          <w:p>
            <w:pPr>
              <w:ind w:left="5440"/>
              <w:spacing w:after="0"/>
              <w:rPr>
                <w:sz w:val="20"/>
                <w:szCs w:val="20"/>
                <w:color w:val="auto"/>
              </w:rPr>
            </w:pPr>
            <w:r>
              <w:rPr>
                <w:rFonts w:ascii="Arial" w:cs="Arial" w:eastAsia="Arial" w:hAnsi="Arial"/>
                <w:sz w:val="16"/>
                <w:szCs w:val="16"/>
                <w:color w:val="auto"/>
              </w:rPr>
              <w:t>- 15 -</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9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CONSOLIDATED STATEMENT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2024 AND 2023 (CONTINUED)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80" w:type="dxa"/>
            <w:vAlign w:val="bottom"/>
          </w:tcPr>
          <w:p>
            <w:pPr>
              <w:spacing w:after="0"/>
              <w:rPr>
                <w:sz w:val="17"/>
                <w:szCs w:val="17"/>
                <w:color w:val="auto"/>
              </w:rPr>
            </w:pPr>
          </w:p>
        </w:tc>
        <w:tc>
          <w:tcPr>
            <w:tcW w:w="960" w:type="dxa"/>
            <w:vAlign w:val="bottom"/>
          </w:tcPr>
          <w:p>
            <w:pPr>
              <w:ind w:left="280"/>
              <w:spacing w:after="0"/>
              <w:rPr>
                <w:sz w:val="20"/>
                <w:szCs w:val="20"/>
                <w:color w:val="auto"/>
              </w:rPr>
            </w:pPr>
            <w:r>
              <w:rPr>
                <w:rFonts w:ascii="Arial" w:cs="Arial" w:eastAsia="Arial" w:hAnsi="Arial"/>
                <w:sz w:val="16"/>
                <w:szCs w:val="16"/>
                <w:b w:val="1"/>
                <w:bCs w:val="1"/>
                <w:color w:val="auto"/>
              </w:rPr>
              <w:t>Note</w:t>
            </w: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increase (decrease) in liabilities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6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Deposits and obligations</w:t>
            </w:r>
          </w:p>
        </w:tc>
        <w:tc>
          <w:tcPr>
            <w:tcW w:w="960" w:type="dxa"/>
            <w:vAlign w:val="bottom"/>
          </w:tcPr>
          <w:p>
            <w:pPr>
              <w:spacing w:after="0"/>
              <w:rPr>
                <w:sz w:val="15"/>
                <w:szCs w:val="15"/>
                <w:color w:val="auto"/>
              </w:rPr>
            </w:pPr>
          </w:p>
        </w:tc>
        <w:tc>
          <w:tcPr>
            <w:tcW w:w="15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17,248,164</w:t>
            </w:r>
          </w:p>
        </w:tc>
        <w:tc>
          <w:tcPr>
            <w:tcW w:w="14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13,286,449</w:t>
            </w:r>
          </w:p>
        </w:tc>
        <w:tc>
          <w:tcPr>
            <w:tcW w:w="11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2,271,524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Due to Banks and correspondents</w:t>
            </w:r>
          </w:p>
        </w:tc>
        <w:tc>
          <w:tcPr>
            <w:tcW w:w="960" w:type="dxa"/>
            <w:vAlign w:val="bottom"/>
          </w:tcPr>
          <w:p>
            <w:pPr>
              <w:spacing w:after="0"/>
              <w:rPr>
                <w:sz w:val="15"/>
                <w:szCs w:val="15"/>
                <w:color w:val="auto"/>
              </w:rPr>
            </w:pPr>
          </w:p>
        </w:tc>
        <w:tc>
          <w:tcPr>
            <w:tcW w:w="15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379,613</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(1,600,761)</w:t>
            </w:r>
          </w:p>
        </w:tc>
        <w:tc>
          <w:tcPr>
            <w:tcW w:w="11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3,455,502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Payables from repurchase agreements and securities lending</w:t>
            </w:r>
          </w:p>
        </w:tc>
        <w:tc>
          <w:tcPr>
            <w:tcW w:w="960" w:type="dxa"/>
            <w:vAlign w:val="bottom"/>
          </w:tcPr>
          <w:p>
            <w:pPr>
              <w:spacing w:after="0"/>
              <w:rPr>
                <w:sz w:val="15"/>
                <w:szCs w:val="15"/>
                <w:color w:val="auto"/>
              </w:rPr>
            </w:pP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(704,293)</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(1,111,676)</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(2,790,671)</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Bonds and notes issued</w:t>
            </w:r>
          </w:p>
        </w:tc>
        <w:tc>
          <w:tcPr>
            <w:tcW w:w="960" w:type="dxa"/>
            <w:vAlign w:val="bottom"/>
          </w:tcPr>
          <w:p>
            <w:pPr>
              <w:spacing w:after="0"/>
              <w:rPr>
                <w:sz w:val="15"/>
                <w:szCs w:val="15"/>
                <w:color w:val="auto"/>
              </w:rPr>
            </w:pP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(4,054,938)</w:t>
            </w:r>
          </w:p>
        </w:tc>
        <w:tc>
          <w:tcPr>
            <w:tcW w:w="14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348,532</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(2,213,122)</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Short-term and low-value lease payments</w:t>
            </w:r>
          </w:p>
        </w:tc>
        <w:tc>
          <w:tcPr>
            <w:tcW w:w="960" w:type="dxa"/>
            <w:vAlign w:val="bottom"/>
          </w:tcPr>
          <w:p>
            <w:pPr>
              <w:spacing w:after="0"/>
              <w:rPr>
                <w:sz w:val="15"/>
                <w:szCs w:val="15"/>
                <w:color w:val="auto"/>
              </w:rPr>
            </w:pP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(143,855)</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(118,156)</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(108,357)</w:t>
            </w:r>
          </w:p>
        </w:tc>
        <w:tc>
          <w:tcPr>
            <w:tcW w:w="0" w:type="dxa"/>
            <w:vAlign w:val="bottom"/>
          </w:tcPr>
          <w:p>
            <w:pPr>
              <w:spacing w:after="0"/>
              <w:rPr>
                <w:sz w:val="1"/>
                <w:szCs w:val="1"/>
                <w:color w:val="auto"/>
              </w:rPr>
            </w:pPr>
          </w:p>
        </w:tc>
      </w:tr>
      <w:tr>
        <w:trPr>
          <w:trHeight w:val="202"/>
        </w:trPr>
        <w:tc>
          <w:tcPr>
            <w:tcW w:w="608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960" w:type="dxa"/>
            <w:vAlign w:val="bottom"/>
          </w:tcPr>
          <w:p>
            <w:pPr>
              <w:spacing w:after="0"/>
              <w:rPr>
                <w:sz w:val="17"/>
                <w:szCs w:val="17"/>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6"/>
                <w:szCs w:val="16"/>
                <w:color w:val="auto"/>
              </w:rPr>
              <w:t>5,183,948</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2,375,248</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2,604,047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080" w:type="dxa"/>
            <w:vAlign w:val="bottom"/>
          </w:tcPr>
          <w:p>
            <w:pPr>
              <w:ind w:left="40"/>
              <w:spacing w:after="0" w:line="152" w:lineRule="exact"/>
              <w:rPr>
                <w:sz w:val="20"/>
                <w:szCs w:val="20"/>
                <w:color w:val="auto"/>
              </w:rPr>
            </w:pPr>
            <w:r>
              <w:rPr>
                <w:rFonts w:ascii="Arial" w:cs="Arial" w:eastAsia="Arial" w:hAnsi="Arial"/>
                <w:sz w:val="16"/>
                <w:szCs w:val="16"/>
                <w:b w:val="1"/>
                <w:bCs w:val="1"/>
                <w:color w:val="auto"/>
              </w:rPr>
              <w:t>Net income for the period after the net change in assets and liabilities, and</w:t>
            </w: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adjustments</w:t>
            </w:r>
          </w:p>
        </w:tc>
        <w:tc>
          <w:tcPr>
            <w:tcW w:w="960" w:type="dxa"/>
            <w:vAlign w:val="bottom"/>
          </w:tcPr>
          <w:p>
            <w:pPr>
              <w:spacing w:after="0"/>
              <w:rPr>
                <w:sz w:val="15"/>
                <w:szCs w:val="15"/>
                <w:color w:val="auto"/>
              </w:rPr>
            </w:pPr>
          </w:p>
        </w:tc>
        <w:tc>
          <w:tcPr>
            <w:tcW w:w="15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11,266,832</w:t>
            </w:r>
          </w:p>
        </w:tc>
        <w:tc>
          <w:tcPr>
            <w:tcW w:w="14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16,225,228</w:t>
            </w:r>
          </w:p>
        </w:tc>
        <w:tc>
          <w:tcPr>
            <w:tcW w:w="11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6,218,859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40"/>
              <w:spacing w:after="0"/>
              <w:rPr>
                <w:sz w:val="20"/>
                <w:szCs w:val="20"/>
                <w:color w:val="auto"/>
              </w:rPr>
            </w:pPr>
            <w:r>
              <w:rPr>
                <w:rFonts w:ascii="Arial" w:cs="Arial" w:eastAsia="Arial" w:hAnsi="Arial"/>
                <w:sz w:val="16"/>
                <w:szCs w:val="16"/>
                <w:color w:val="auto"/>
              </w:rPr>
              <w:t>Income tax paid</w:t>
            </w:r>
          </w:p>
        </w:tc>
        <w:tc>
          <w:tcPr>
            <w:tcW w:w="9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(2,660,631)</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(1,703,135)</w:t>
            </w:r>
          </w:p>
        </w:tc>
        <w:tc>
          <w:tcPr>
            <w:tcW w:w="1240" w:type="dxa"/>
            <w:vAlign w:val="bottom"/>
            <w:gridSpan w:val="4"/>
          </w:tcPr>
          <w:p>
            <w:pPr>
              <w:jc w:val="right"/>
              <w:ind w:right="20"/>
              <w:spacing w:after="0"/>
              <w:rPr>
                <w:sz w:val="20"/>
                <w:szCs w:val="20"/>
                <w:color w:val="auto"/>
              </w:rPr>
            </w:pPr>
            <w:r>
              <w:rPr>
                <w:rFonts w:ascii="Arial" w:cs="Arial" w:eastAsia="Arial" w:hAnsi="Arial"/>
                <w:sz w:val="16"/>
                <w:szCs w:val="16"/>
                <w:color w:val="auto"/>
              </w:rPr>
              <w:t>(2,139,140)</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Net cash flow from operating activities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8,606,201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14,522,093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4,079,719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NET CASH FLOWS FROM INVESTING ACTIVITIES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Proceeds from sale of property, furniture and equipment</w:t>
            </w:r>
          </w:p>
        </w:tc>
        <w:tc>
          <w:tcPr>
            <w:tcW w:w="960" w:type="dxa"/>
            <w:vAlign w:val="bottom"/>
          </w:tcPr>
          <w:p>
            <w:pPr>
              <w:spacing w:after="0"/>
              <w:rPr>
                <w:sz w:val="15"/>
                <w:szCs w:val="15"/>
                <w:color w:val="auto"/>
              </w:rPr>
            </w:pPr>
          </w:p>
        </w:tc>
        <w:tc>
          <w:tcPr>
            <w:tcW w:w="15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160,264</w:t>
            </w:r>
          </w:p>
        </w:tc>
        <w:tc>
          <w:tcPr>
            <w:tcW w:w="14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98,223</w:t>
            </w:r>
          </w:p>
        </w:tc>
        <w:tc>
          <w:tcPr>
            <w:tcW w:w="11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53,152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Proceeds from sale of investment property</w:t>
            </w:r>
          </w:p>
        </w:tc>
        <w:tc>
          <w:tcPr>
            <w:tcW w:w="960" w:type="dxa"/>
            <w:vAlign w:val="bottom"/>
          </w:tcPr>
          <w:p>
            <w:pPr>
              <w:spacing w:after="0"/>
              <w:rPr>
                <w:sz w:val="15"/>
                <w:szCs w:val="15"/>
                <w:color w:val="auto"/>
              </w:rPr>
            </w:pPr>
          </w:p>
        </w:tc>
        <w:tc>
          <w:tcPr>
            <w:tcW w:w="15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1,282</w:t>
            </w:r>
          </w:p>
        </w:tc>
        <w:tc>
          <w:tcPr>
            <w:tcW w:w="14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47,100</w:t>
            </w:r>
          </w:p>
        </w:tc>
        <w:tc>
          <w:tcPr>
            <w:tcW w:w="20" w:type="dxa"/>
            <w:vAlign w:val="bottom"/>
          </w:tcPr>
          <w:p>
            <w:pPr>
              <w:spacing w:after="0"/>
              <w:rPr>
                <w:sz w:val="15"/>
                <w:szCs w:val="15"/>
                <w:color w:val="auto"/>
              </w:rPr>
            </w:pPr>
          </w:p>
        </w:tc>
        <w:tc>
          <w:tcPr>
            <w:tcW w:w="12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Collections for maturities and coupons of investment at amortized cost</w:t>
            </w:r>
          </w:p>
        </w:tc>
        <w:tc>
          <w:tcPr>
            <w:tcW w:w="960" w:type="dxa"/>
            <w:vAlign w:val="bottom"/>
          </w:tcPr>
          <w:p>
            <w:pPr>
              <w:spacing w:after="0"/>
              <w:rPr>
                <w:sz w:val="15"/>
                <w:szCs w:val="15"/>
                <w:color w:val="auto"/>
              </w:rPr>
            </w:pPr>
          </w:p>
        </w:tc>
        <w:tc>
          <w:tcPr>
            <w:tcW w:w="15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859,930</w:t>
            </w:r>
          </w:p>
        </w:tc>
        <w:tc>
          <w:tcPr>
            <w:tcW w:w="14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1,740,670</w:t>
            </w:r>
          </w:p>
        </w:tc>
        <w:tc>
          <w:tcPr>
            <w:tcW w:w="11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1,245,434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Purchase of property, furniture and equipment</w:t>
            </w: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9</w:t>
            </w: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(284,710)</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(310,144)</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(322,371)</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Purchase of investment property</w:t>
            </w: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12(g)</w:t>
            </w: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(183,563)</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(70,399)</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(37,667)</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Purchase of intangible assets</w:t>
            </w: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10(a)</w:t>
            </w: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(983,971)</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(801,290)</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(828,803)</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Purchase of investment at amortized cost</w:t>
            </w:r>
          </w:p>
        </w:tc>
        <w:tc>
          <w:tcPr>
            <w:tcW w:w="960" w:type="dxa"/>
            <w:vAlign w:val="bottom"/>
          </w:tcPr>
          <w:p>
            <w:pPr>
              <w:spacing w:after="0"/>
              <w:rPr>
                <w:sz w:val="15"/>
                <w:szCs w:val="15"/>
                <w:color w:val="auto"/>
              </w:rPr>
            </w:pP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(255,185)</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(176,601)</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(1,359,245)</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Acquisition of Pacifico EPS shares, net cash acquired</w:t>
            </w: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w w:val="98"/>
              </w:rPr>
              <w:t>2(a)</w:t>
            </w: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(727,180)</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02"/>
        </w:trPr>
        <w:tc>
          <w:tcPr>
            <w:tcW w:w="6080" w:type="dxa"/>
            <w:vAlign w:val="bottom"/>
          </w:tcPr>
          <w:p>
            <w:pPr>
              <w:ind w:left="40"/>
              <w:spacing w:after="0"/>
              <w:rPr>
                <w:sz w:val="20"/>
                <w:szCs w:val="20"/>
                <w:color w:val="auto"/>
              </w:rPr>
            </w:pPr>
            <w:r>
              <w:rPr>
                <w:rFonts w:ascii="Arial" w:cs="Arial" w:eastAsia="Arial" w:hAnsi="Arial"/>
                <w:sz w:val="16"/>
                <w:szCs w:val="16"/>
                <w:color w:val="auto"/>
              </w:rPr>
              <w:t>Termination of the Joint Venture Agreement</w:t>
            </w:r>
          </w:p>
        </w:tc>
        <w:tc>
          <w:tcPr>
            <w:tcW w:w="9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(180,000)</w:t>
            </w:r>
          </w:p>
        </w:tc>
        <w:tc>
          <w:tcPr>
            <w:tcW w:w="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Net cash flows from investing activities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(1,593,133</w:t>
            </w: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527,559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(1,255,064</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13"/>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NET CASH FLOWS FROM FINANCING ACTIVITIES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Dividends paid</w:t>
            </w: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16(e)</w:t>
            </w: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(3,181,454)</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(3,664,648)</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(1,994,037)</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Dividends paid to non-controlling interest of subsidiaries</w:t>
            </w:r>
          </w:p>
        </w:tc>
        <w:tc>
          <w:tcPr>
            <w:tcW w:w="960" w:type="dxa"/>
            <w:vAlign w:val="bottom"/>
          </w:tcPr>
          <w:p>
            <w:pPr>
              <w:spacing w:after="0"/>
              <w:rPr>
                <w:sz w:val="15"/>
                <w:szCs w:val="15"/>
                <w:color w:val="auto"/>
              </w:rPr>
            </w:pP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(120,855)</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(106,777)</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(62,051)</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Principal payments of leasing contracts</w:t>
            </w:r>
          </w:p>
        </w:tc>
        <w:tc>
          <w:tcPr>
            <w:tcW w:w="960" w:type="dxa"/>
            <w:vAlign w:val="bottom"/>
          </w:tcPr>
          <w:p>
            <w:pPr>
              <w:spacing w:after="0"/>
              <w:rPr>
                <w:sz w:val="15"/>
                <w:szCs w:val="15"/>
                <w:color w:val="auto"/>
              </w:rPr>
            </w:pP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(152,899)</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(152,693)</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(157,386)</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Interest payments of leasing contracts</w:t>
            </w:r>
          </w:p>
        </w:tc>
        <w:tc>
          <w:tcPr>
            <w:tcW w:w="960" w:type="dxa"/>
            <w:vAlign w:val="bottom"/>
          </w:tcPr>
          <w:p>
            <w:pPr>
              <w:spacing w:after="0"/>
              <w:rPr>
                <w:sz w:val="15"/>
                <w:szCs w:val="15"/>
                <w:color w:val="auto"/>
              </w:rPr>
            </w:pP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(37,169)</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(22,828)</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(25,574)</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Purchase of treasury stock</w:t>
            </w: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16(b)</w:t>
            </w: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(119,251)</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(110,894)</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(85,575)</w:t>
            </w:r>
          </w:p>
        </w:tc>
        <w:tc>
          <w:tcPr>
            <w:tcW w:w="0" w:type="dxa"/>
            <w:vAlign w:val="bottom"/>
          </w:tcPr>
          <w:p>
            <w:pPr>
              <w:spacing w:after="0"/>
              <w:rPr>
                <w:sz w:val="1"/>
                <w:szCs w:val="1"/>
                <w:color w:val="auto"/>
              </w:rPr>
            </w:pPr>
          </w:p>
        </w:tc>
      </w:tr>
      <w:tr>
        <w:trPr>
          <w:trHeight w:val="181"/>
        </w:trPr>
        <w:tc>
          <w:tcPr>
            <w:tcW w:w="6080" w:type="dxa"/>
            <w:vAlign w:val="bottom"/>
          </w:tcPr>
          <w:p>
            <w:pPr>
              <w:ind w:left="40"/>
              <w:spacing w:after="0" w:line="181" w:lineRule="exact"/>
              <w:rPr>
                <w:sz w:val="20"/>
                <w:szCs w:val="20"/>
                <w:color w:val="auto"/>
              </w:rPr>
            </w:pPr>
            <w:r>
              <w:rPr>
                <w:rFonts w:ascii="Arial" w:cs="Arial" w:eastAsia="Arial" w:hAnsi="Arial"/>
                <w:sz w:val="16"/>
                <w:szCs w:val="16"/>
                <w:color w:val="auto"/>
              </w:rPr>
              <w:t>Purchase of non-controlling interest of subsidiaries</w:t>
            </w:r>
          </w:p>
        </w:tc>
        <w:tc>
          <w:tcPr>
            <w:tcW w:w="960" w:type="dxa"/>
            <w:vAlign w:val="bottom"/>
          </w:tcPr>
          <w:p>
            <w:pPr>
              <w:spacing w:after="0"/>
              <w:rPr>
                <w:sz w:val="15"/>
                <w:szCs w:val="15"/>
                <w:color w:val="auto"/>
              </w:rPr>
            </w:pPr>
          </w:p>
        </w:tc>
        <w:tc>
          <w:tcPr>
            <w:tcW w:w="15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(17,925)</w:t>
            </w:r>
          </w:p>
        </w:tc>
        <w:tc>
          <w:tcPr>
            <w:tcW w:w="142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(36,781)</w:t>
            </w:r>
          </w:p>
        </w:tc>
        <w:tc>
          <w:tcPr>
            <w:tcW w:w="124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02"/>
        </w:trPr>
        <w:tc>
          <w:tcPr>
            <w:tcW w:w="6080" w:type="dxa"/>
            <w:vAlign w:val="bottom"/>
          </w:tcPr>
          <w:p>
            <w:pPr>
              <w:ind w:left="40"/>
              <w:spacing w:after="0"/>
              <w:rPr>
                <w:sz w:val="20"/>
                <w:szCs w:val="20"/>
                <w:color w:val="auto"/>
              </w:rPr>
            </w:pPr>
            <w:r>
              <w:rPr>
                <w:rFonts w:ascii="Arial" w:cs="Arial" w:eastAsia="Arial" w:hAnsi="Arial"/>
                <w:sz w:val="16"/>
                <w:szCs w:val="16"/>
                <w:color w:val="auto"/>
              </w:rPr>
              <w:t>Subordinated bonds, net</w:t>
            </w:r>
          </w:p>
        </w:tc>
        <w:tc>
          <w:tcPr>
            <w:tcW w:w="960" w:type="dxa"/>
            <w:vAlign w:val="bottom"/>
          </w:tcPr>
          <w:p>
            <w:pPr>
              <w:spacing w:after="0"/>
              <w:rPr>
                <w:sz w:val="17"/>
                <w:szCs w:val="17"/>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6"/>
                <w:szCs w:val="16"/>
                <w:color w:val="auto"/>
              </w:rPr>
              <w:t>1,791,983</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2,284,200</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62,044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080" w:type="dxa"/>
            <w:vAlign w:val="bottom"/>
          </w:tcPr>
          <w:p>
            <w:pPr>
              <w:ind w:left="40"/>
              <w:spacing w:after="0" w:line="165" w:lineRule="exact"/>
              <w:rPr>
                <w:sz w:val="20"/>
                <w:szCs w:val="20"/>
                <w:color w:val="auto"/>
              </w:rPr>
            </w:pPr>
            <w:r>
              <w:rPr>
                <w:rFonts w:ascii="Arial" w:cs="Arial" w:eastAsia="Arial" w:hAnsi="Arial"/>
                <w:sz w:val="16"/>
                <w:szCs w:val="16"/>
                <w:b w:val="1"/>
                <w:bCs w:val="1"/>
                <w:color w:val="auto"/>
              </w:rPr>
              <w:t>Net cash flows from financing activities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rPr>
              <w:t>(1,837,570</w:t>
            </w:r>
          </w:p>
        </w:tc>
        <w:tc>
          <w:tcPr>
            <w:tcW w:w="140" w:type="dxa"/>
            <w:vAlign w:val="bottom"/>
          </w:tcPr>
          <w:p>
            <w:pPr>
              <w:jc w:val="right"/>
              <w:spacing w:after="0" w:line="165" w:lineRule="exact"/>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5"/>
                <w:szCs w:val="15"/>
                <w:color w:val="auto"/>
              </w:rPr>
            </w:pPr>
          </w:p>
        </w:tc>
        <w:tc>
          <w:tcPr>
            <w:tcW w:w="112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rPr>
              <w:t>(1,810,421</w:t>
            </w:r>
          </w:p>
        </w:tc>
        <w:tc>
          <w:tcPr>
            <w:tcW w:w="220" w:type="dxa"/>
            <w:vAlign w:val="bottom"/>
          </w:tcPr>
          <w:p>
            <w:pPr>
              <w:jc w:val="right"/>
              <w:ind w:right="80"/>
              <w:spacing w:after="0" w:line="165" w:lineRule="exact"/>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5"/>
                <w:szCs w:val="15"/>
                <w:color w:val="auto"/>
              </w:rPr>
            </w:pPr>
          </w:p>
        </w:tc>
        <w:tc>
          <w:tcPr>
            <w:tcW w:w="1120" w:type="dxa"/>
            <w:vAlign w:val="bottom"/>
            <w:tcBorders>
              <w:top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color w:val="auto"/>
              </w:rPr>
              <w:t>(2,264,352</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2"/>
        </w:trPr>
        <w:tc>
          <w:tcPr>
            <w:tcW w:w="6080" w:type="dxa"/>
            <w:vAlign w:val="bottom"/>
          </w:tcPr>
          <w:p>
            <w:pPr>
              <w:ind w:left="40"/>
              <w:spacing w:after="0" w:line="152" w:lineRule="exact"/>
              <w:rPr>
                <w:sz w:val="20"/>
                <w:szCs w:val="20"/>
                <w:color w:val="auto"/>
              </w:rPr>
            </w:pPr>
            <w:r>
              <w:rPr>
                <w:rFonts w:ascii="Arial" w:cs="Arial" w:eastAsia="Arial" w:hAnsi="Arial"/>
                <w:sz w:val="16"/>
                <w:szCs w:val="16"/>
                <w:b w:val="1"/>
                <w:bCs w:val="1"/>
                <w:color w:val="auto"/>
              </w:rPr>
              <w:t>Net increase of cash and cash equivalents before effect of changes in</w:t>
            </w: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exchange rate</w:t>
            </w:r>
          </w:p>
        </w:tc>
        <w:tc>
          <w:tcPr>
            <w:tcW w:w="960" w:type="dxa"/>
            <w:vAlign w:val="bottom"/>
          </w:tcPr>
          <w:p>
            <w:pPr>
              <w:spacing w:after="0"/>
              <w:rPr>
                <w:sz w:val="18"/>
                <w:szCs w:val="18"/>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6"/>
                <w:szCs w:val="16"/>
                <w:color w:val="auto"/>
              </w:rPr>
              <w:t>5,175,498</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13,239,231</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560,303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080" w:type="dxa"/>
            <w:vAlign w:val="bottom"/>
          </w:tcPr>
          <w:p>
            <w:pPr>
              <w:ind w:left="40"/>
              <w:spacing w:after="0" w:line="156" w:lineRule="exact"/>
              <w:rPr>
                <w:sz w:val="20"/>
                <w:szCs w:val="20"/>
                <w:color w:val="auto"/>
              </w:rPr>
            </w:pPr>
            <w:r>
              <w:rPr>
                <w:rFonts w:ascii="Arial" w:cs="Arial" w:eastAsia="Arial" w:hAnsi="Arial"/>
                <w:sz w:val="16"/>
                <w:szCs w:val="16"/>
                <w:color w:val="auto"/>
              </w:rPr>
              <w:t>Effect of changes in exchange rate of cash and cash equivalents</w:t>
            </w: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(3,771,899)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410,258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(760,651)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the beginning of the period</w:t>
            </w:r>
          </w:p>
        </w:tc>
        <w:tc>
          <w:tcPr>
            <w:tcW w:w="960" w:type="dxa"/>
            <w:vAlign w:val="bottom"/>
          </w:tcPr>
          <w:p>
            <w:pPr>
              <w:spacing w:after="0"/>
              <w:rPr>
                <w:sz w:val="17"/>
                <w:szCs w:val="17"/>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6"/>
                <w:szCs w:val="16"/>
                <w:color w:val="auto"/>
              </w:rPr>
              <w:t>47,570,103</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33,920,614</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34,120,962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8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Cash and cash equivalents at the end of the period</w:t>
            </w: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w w:val="98"/>
              </w:rPr>
              <w:t>4(a)</w:t>
            </w:r>
          </w:p>
        </w:tc>
        <w:tc>
          <w:tcPr>
            <w:tcW w:w="300" w:type="dxa"/>
            <w:vAlign w:val="bottom"/>
          </w:tcPr>
          <w:p>
            <w:pPr>
              <w:spacing w:after="0"/>
              <w:rPr>
                <w:sz w:val="16"/>
                <w:szCs w:val="16"/>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48,973,702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47,570,103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33,920,614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6080" w:type="dxa"/>
            <w:vAlign w:val="bottom"/>
          </w:tcPr>
          <w:p>
            <w:pPr>
              <w:ind w:left="5440"/>
              <w:spacing w:after="0"/>
              <w:rPr>
                <w:sz w:val="20"/>
                <w:szCs w:val="20"/>
                <w:color w:val="auto"/>
              </w:rPr>
            </w:pPr>
            <w:r>
              <w:rPr>
                <w:rFonts w:ascii="Arial" w:cs="Arial" w:eastAsia="Arial" w:hAnsi="Arial"/>
                <w:sz w:val="16"/>
                <w:szCs w:val="16"/>
                <w:color w:val="auto"/>
              </w:rPr>
              <w:t>- 16 -</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CONSOLIDATED STATEMENT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2024 AND 2023 (CONTINUED)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00" w:type="dxa"/>
            <w:vAlign w:val="bottom"/>
          </w:tcPr>
          <w:p>
            <w:pPr>
              <w:ind w:left="6300"/>
              <w:spacing w:after="0"/>
              <w:rPr>
                <w:sz w:val="20"/>
                <w:szCs w:val="20"/>
                <w:color w:val="auto"/>
              </w:rPr>
            </w:pPr>
            <w:r>
              <w:rPr>
                <w:rFonts w:ascii="Arial" w:cs="Arial" w:eastAsia="Arial" w:hAnsi="Arial"/>
                <w:sz w:val="16"/>
                <w:szCs w:val="16"/>
                <w:b w:val="1"/>
                <w:bCs w:val="1"/>
                <w:color w:val="auto"/>
              </w:rPr>
              <w:t>Note</w:t>
            </w:r>
          </w:p>
        </w:tc>
        <w:tc>
          <w:tcPr>
            <w:tcW w:w="1460" w:type="dxa"/>
            <w:vAlign w:val="bottom"/>
            <w:gridSpan w:val="2"/>
          </w:tcPr>
          <w:p>
            <w:pPr>
              <w:ind w:left="34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00" w:type="dxa"/>
            <w:vAlign w:val="bottom"/>
            <w:vMerge w:val="restart"/>
          </w:tcPr>
          <w:p>
            <w:pPr>
              <w:spacing w:after="0"/>
              <w:rPr>
                <w:sz w:val="20"/>
                <w:szCs w:val="20"/>
                <w:color w:val="auto"/>
              </w:rPr>
            </w:pPr>
            <w:r>
              <w:rPr>
                <w:rFonts w:ascii="Arial" w:cs="Arial" w:eastAsia="Arial" w:hAnsi="Arial"/>
                <w:sz w:val="16"/>
                <w:szCs w:val="16"/>
                <w:b w:val="1"/>
                <w:bCs w:val="1"/>
                <w:color w:val="auto"/>
              </w:rPr>
              <w:t>Additional information from cash flows</w:t>
            </w: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7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line="181" w:lineRule="exact"/>
              <w:rPr>
                <w:sz w:val="20"/>
                <w:szCs w:val="20"/>
                <w:color w:val="auto"/>
              </w:rPr>
            </w:pPr>
            <w:r>
              <w:rPr>
                <w:rFonts w:ascii="Arial" w:cs="Arial" w:eastAsia="Arial" w:hAnsi="Arial"/>
                <w:sz w:val="16"/>
                <w:szCs w:val="16"/>
                <w:color w:val="auto"/>
              </w:rPr>
              <w:t>Interest received</w:t>
            </w:r>
          </w:p>
        </w:tc>
        <w:tc>
          <w:tcPr>
            <w:tcW w:w="160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19,973,931</w:t>
            </w:r>
          </w:p>
        </w:tc>
        <w:tc>
          <w:tcPr>
            <w:tcW w:w="14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19,896,077</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18,658,791</w:t>
            </w:r>
          </w:p>
        </w:tc>
        <w:tc>
          <w:tcPr>
            <w:tcW w:w="0" w:type="dxa"/>
            <w:vAlign w:val="bottom"/>
          </w:tcPr>
          <w:p>
            <w:pPr>
              <w:spacing w:after="0"/>
              <w:rPr>
                <w:sz w:val="1"/>
                <w:szCs w:val="1"/>
                <w:color w:val="auto"/>
              </w:rPr>
            </w:pPr>
          </w:p>
        </w:tc>
      </w:tr>
      <w:tr>
        <w:trPr>
          <w:trHeight w:val="214"/>
        </w:trPr>
        <w:tc>
          <w:tcPr>
            <w:tcW w:w="7000" w:type="dxa"/>
            <w:vAlign w:val="bottom"/>
          </w:tcPr>
          <w:p>
            <w:pPr>
              <w:spacing w:after="0"/>
              <w:rPr>
                <w:sz w:val="20"/>
                <w:szCs w:val="20"/>
                <w:color w:val="auto"/>
              </w:rPr>
            </w:pPr>
            <w:r>
              <w:rPr>
                <w:rFonts w:ascii="Arial" w:cs="Arial" w:eastAsia="Arial" w:hAnsi="Arial"/>
                <w:sz w:val="16"/>
                <w:szCs w:val="16"/>
                <w:color w:val="auto"/>
              </w:rPr>
              <w:t>Interest paid</w:t>
            </w:r>
          </w:p>
        </w:tc>
        <w:tc>
          <w:tcPr>
            <w:tcW w:w="1600" w:type="dxa"/>
            <w:vAlign w:val="bottom"/>
            <w:gridSpan w:val="3"/>
          </w:tcPr>
          <w:p>
            <w:pPr>
              <w:jc w:val="right"/>
              <w:ind w:right="80"/>
              <w:spacing w:after="0"/>
              <w:rPr>
                <w:sz w:val="20"/>
                <w:szCs w:val="20"/>
                <w:color w:val="auto"/>
              </w:rPr>
            </w:pPr>
            <w:r>
              <w:rPr>
                <w:rFonts w:ascii="Arial" w:cs="Arial" w:eastAsia="Arial" w:hAnsi="Arial"/>
                <w:sz w:val="16"/>
                <w:szCs w:val="16"/>
                <w:color w:val="auto"/>
              </w:rPr>
              <w:t>(5,160,077)</w:t>
            </w: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(5,852,580)</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(5,080,522)</w:t>
            </w:r>
          </w:p>
        </w:tc>
        <w:tc>
          <w:tcPr>
            <w:tcW w:w="0" w:type="dxa"/>
            <w:vAlign w:val="bottom"/>
          </w:tcPr>
          <w:p>
            <w:pPr>
              <w:spacing w:after="0"/>
              <w:rPr>
                <w:sz w:val="1"/>
                <w:szCs w:val="1"/>
                <w:color w:val="auto"/>
              </w:rPr>
            </w:pPr>
          </w:p>
        </w:tc>
      </w:tr>
      <w:tr>
        <w:trPr>
          <w:trHeight w:val="531"/>
        </w:trPr>
        <w:tc>
          <w:tcPr>
            <w:tcW w:w="7000" w:type="dxa"/>
            <w:vAlign w:val="bottom"/>
          </w:tcPr>
          <w:p>
            <w:pPr>
              <w:ind w:left="5440"/>
              <w:spacing w:after="0"/>
              <w:rPr>
                <w:sz w:val="20"/>
                <w:szCs w:val="20"/>
                <w:color w:val="auto"/>
              </w:rPr>
            </w:pPr>
            <w:r>
              <w:rPr>
                <w:rFonts w:ascii="Arial" w:cs="Arial" w:eastAsia="Arial" w:hAnsi="Arial"/>
                <w:sz w:val="16"/>
                <w:szCs w:val="16"/>
                <w:color w:val="auto"/>
              </w:rPr>
              <w:t>- 17 -</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CONSOLIDATED STATEMENT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2024 AND 2023 (CONTINUED)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60" w:type="dxa"/>
            <w:vAlign w:val="bottom"/>
            <w:gridSpan w:val="7"/>
          </w:tcPr>
          <w:p>
            <w:pPr>
              <w:spacing w:after="0"/>
              <w:rPr>
                <w:sz w:val="20"/>
                <w:szCs w:val="20"/>
                <w:color w:val="auto"/>
              </w:rPr>
            </w:pPr>
            <w:r>
              <w:rPr>
                <w:rFonts w:ascii="Arial" w:cs="Arial" w:eastAsia="Arial" w:hAnsi="Arial"/>
                <w:sz w:val="16"/>
                <w:szCs w:val="16"/>
                <w:b w:val="1"/>
                <w:bCs w:val="1"/>
                <w:color w:val="auto"/>
              </w:rPr>
              <w:t>Reconciliation of liabilities arising from financing activities: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4"/>
          </w:tcPr>
          <w:p>
            <w:pPr>
              <w:spacing w:after="0"/>
              <w:rPr>
                <w:sz w:val="20"/>
                <w:szCs w:val="20"/>
                <w:color w:val="auto"/>
              </w:rPr>
            </w:pPr>
            <w:r>
              <w:rPr>
                <w:rFonts w:ascii="Arial" w:cs="Arial" w:eastAsia="Arial" w:hAnsi="Arial"/>
                <w:sz w:val="16"/>
                <w:szCs w:val="16"/>
                <w:b w:val="1"/>
                <w:bCs w:val="1"/>
                <w:color w:val="auto"/>
              </w:rPr>
              <w:t>Changes that do not generate cash</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1680" w:type="dxa"/>
            <w:vAlign w:val="bottom"/>
            <w:gridSpan w:val="3"/>
            <w:vMerge w:val="restart"/>
          </w:tcPr>
          <w:p>
            <w:pPr>
              <w:jc w:val="right"/>
              <w:ind w:right="200"/>
              <w:spacing w:after="0"/>
              <w:rPr>
                <w:sz w:val="20"/>
                <w:szCs w:val="20"/>
                <w:color w:val="auto"/>
              </w:rPr>
            </w:pPr>
            <w:r>
              <w:rPr>
                <w:rFonts w:ascii="Arial" w:cs="Arial" w:eastAsia="Arial" w:hAnsi="Arial"/>
                <w:sz w:val="16"/>
                <w:szCs w:val="16"/>
                <w:b w:val="1"/>
                <w:bCs w:val="1"/>
                <w:color w:val="auto"/>
              </w:rPr>
              <w:t>As of January 1,</w:t>
            </w:r>
          </w:p>
        </w:tc>
        <w:tc>
          <w:tcPr>
            <w:tcW w:w="3320" w:type="dxa"/>
            <w:vAlign w:val="bottom"/>
            <w:gridSpan w:val="6"/>
          </w:tcPr>
          <w:p>
            <w:pPr>
              <w:ind w:left="180"/>
              <w:spacing w:after="0"/>
              <w:rPr>
                <w:sz w:val="20"/>
                <w:szCs w:val="20"/>
                <w:color w:val="auto"/>
              </w:rPr>
            </w:pPr>
            <w:r>
              <w:rPr>
                <w:rFonts w:ascii="Arial" w:cs="Arial" w:eastAsia="Arial" w:hAnsi="Arial"/>
                <w:sz w:val="16"/>
                <w:szCs w:val="16"/>
                <w:b w:val="1"/>
                <w:bCs w:val="1"/>
                <w:color w:val="auto"/>
              </w:rPr>
              <w:t>Changes that generate cash flows</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flows</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w w:val="98"/>
              </w:rPr>
              <w:t>As of December</w:t>
            </w: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Exchange</w:t>
            </w:r>
          </w:p>
        </w:tc>
        <w:tc>
          <w:tcPr>
            <w:tcW w:w="12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2025</w:t>
            </w: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580" w:type="dxa"/>
            <w:vAlign w:val="bottom"/>
            <w:gridSpan w:val="3"/>
          </w:tcPr>
          <w:p>
            <w:pPr>
              <w:ind w:left="180"/>
              <w:spacing w:after="0"/>
              <w:rPr>
                <w:sz w:val="20"/>
                <w:szCs w:val="20"/>
                <w:color w:val="auto"/>
              </w:rPr>
            </w:pPr>
            <w:r>
              <w:rPr>
                <w:rFonts w:ascii="Arial" w:cs="Arial" w:eastAsia="Arial" w:hAnsi="Arial"/>
                <w:sz w:val="16"/>
                <w:szCs w:val="16"/>
                <w:b w:val="1"/>
                <w:bCs w:val="1"/>
                <w:color w:val="auto"/>
              </w:rPr>
              <w:t>Received</w:t>
            </w:r>
          </w:p>
        </w:tc>
        <w:tc>
          <w:tcPr>
            <w:tcW w:w="1740" w:type="dxa"/>
            <w:vAlign w:val="bottom"/>
            <w:gridSpan w:val="3"/>
          </w:tcPr>
          <w:p>
            <w:pPr>
              <w:ind w:left="180"/>
              <w:spacing w:after="0"/>
              <w:rPr>
                <w:sz w:val="20"/>
                <w:szCs w:val="20"/>
                <w:color w:val="auto"/>
              </w:rPr>
            </w:pPr>
            <w:r>
              <w:rPr>
                <w:rFonts w:ascii="Arial" w:cs="Arial" w:eastAsia="Arial" w:hAnsi="Arial"/>
                <w:sz w:val="16"/>
                <w:szCs w:val="16"/>
                <w:b w:val="1"/>
                <w:bCs w:val="1"/>
                <w:color w:val="auto"/>
              </w:rPr>
              <w:t>Paid</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difference</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Others</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31, 2025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40" w:type="dxa"/>
            <w:vAlign w:val="bottom"/>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1800" w:type="dxa"/>
            <w:vAlign w:val="bottom"/>
          </w:tcPr>
          <w:p>
            <w:pPr>
              <w:ind w:left="40"/>
              <w:spacing w:after="0"/>
              <w:rPr>
                <w:sz w:val="20"/>
                <w:szCs w:val="20"/>
                <w:color w:val="auto"/>
              </w:rPr>
            </w:pPr>
            <w:r>
              <w:rPr>
                <w:rFonts w:ascii="Arial" w:cs="Arial" w:eastAsia="Arial" w:hAnsi="Arial"/>
                <w:sz w:val="16"/>
                <w:szCs w:val="16"/>
                <w:color w:val="auto"/>
              </w:rPr>
              <w:t>Subordinated bonds</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8,016,712</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4,842,529</w:t>
            </w:r>
          </w:p>
        </w:tc>
        <w:tc>
          <w:tcPr>
            <w:tcW w:w="1740" w:type="dxa"/>
            <w:vAlign w:val="bottom"/>
            <w:gridSpan w:val="3"/>
          </w:tcPr>
          <w:p>
            <w:pPr>
              <w:jc w:val="right"/>
              <w:ind w:right="240"/>
              <w:spacing w:after="0"/>
              <w:rPr>
                <w:sz w:val="20"/>
                <w:szCs w:val="20"/>
                <w:color w:val="auto"/>
              </w:rPr>
            </w:pPr>
            <w:r>
              <w:rPr>
                <w:rFonts w:ascii="Arial" w:cs="Arial" w:eastAsia="Arial" w:hAnsi="Arial"/>
                <w:sz w:val="16"/>
                <w:szCs w:val="16"/>
                <w:color w:val="auto"/>
              </w:rPr>
              <w:t>(3,050,546)</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(967,963)</w:t>
            </w: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(3,013)</w:t>
            </w: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8,837,719</w:t>
            </w:r>
          </w:p>
        </w:tc>
        <w:tc>
          <w:tcPr>
            <w:tcW w:w="0" w:type="dxa"/>
            <w:vAlign w:val="bottom"/>
          </w:tcPr>
          <w:p>
            <w:pPr>
              <w:spacing w:after="0"/>
              <w:rPr>
                <w:sz w:val="1"/>
                <w:szCs w:val="1"/>
                <w:color w:val="auto"/>
              </w:rPr>
            </w:pPr>
          </w:p>
        </w:tc>
      </w:tr>
      <w:tr>
        <w:trPr>
          <w:trHeight w:val="202"/>
        </w:trPr>
        <w:tc>
          <w:tcPr>
            <w:tcW w:w="1800" w:type="dxa"/>
            <w:vAlign w:val="bottom"/>
          </w:tcPr>
          <w:p>
            <w:pPr>
              <w:ind w:left="40"/>
              <w:spacing w:after="0"/>
              <w:rPr>
                <w:sz w:val="20"/>
                <w:szCs w:val="20"/>
                <w:color w:val="auto"/>
              </w:rPr>
            </w:pPr>
            <w:r>
              <w:rPr>
                <w:rFonts w:ascii="Arial" w:cs="Arial" w:eastAsia="Arial" w:hAnsi="Arial"/>
                <w:sz w:val="16"/>
                <w:szCs w:val="16"/>
                <w:color w:val="auto"/>
              </w:rPr>
              <w:t>Lease liabilities</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404,817</w:t>
            </w: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3"/>
          </w:tcPr>
          <w:p>
            <w:pPr>
              <w:jc w:val="right"/>
              <w:ind w:right="240"/>
              <w:spacing w:after="0"/>
              <w:rPr>
                <w:sz w:val="20"/>
                <w:szCs w:val="20"/>
                <w:color w:val="auto"/>
              </w:rPr>
            </w:pPr>
            <w:r>
              <w:rPr>
                <w:rFonts w:ascii="Arial" w:cs="Arial" w:eastAsia="Arial" w:hAnsi="Arial"/>
                <w:sz w:val="16"/>
                <w:szCs w:val="16"/>
                <w:color w:val="auto"/>
              </w:rPr>
              <w:t>(190,068)</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(31,727)</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429,237</w:t>
            </w: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612,259</w:t>
            </w: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8,421,529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4,842,529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(3,240,614</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(999,690</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12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426,224</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9,449,978</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4"/>
          </w:tcPr>
          <w:p>
            <w:pPr>
              <w:spacing w:after="0"/>
              <w:rPr>
                <w:sz w:val="20"/>
                <w:szCs w:val="20"/>
                <w:color w:val="auto"/>
              </w:rPr>
            </w:pPr>
            <w:r>
              <w:rPr>
                <w:rFonts w:ascii="Arial" w:cs="Arial" w:eastAsia="Arial" w:hAnsi="Arial"/>
                <w:sz w:val="16"/>
                <w:szCs w:val="16"/>
                <w:b w:val="1"/>
                <w:bCs w:val="1"/>
                <w:color w:val="auto"/>
              </w:rPr>
              <w:t>Changes that do not generate cash</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1680" w:type="dxa"/>
            <w:vAlign w:val="bottom"/>
            <w:gridSpan w:val="3"/>
            <w:vMerge w:val="restart"/>
          </w:tcPr>
          <w:p>
            <w:pPr>
              <w:jc w:val="right"/>
              <w:ind w:right="200"/>
              <w:spacing w:after="0"/>
              <w:rPr>
                <w:sz w:val="20"/>
                <w:szCs w:val="20"/>
                <w:color w:val="auto"/>
              </w:rPr>
            </w:pPr>
            <w:r>
              <w:rPr>
                <w:rFonts w:ascii="Arial" w:cs="Arial" w:eastAsia="Arial" w:hAnsi="Arial"/>
                <w:sz w:val="16"/>
                <w:szCs w:val="16"/>
                <w:b w:val="1"/>
                <w:bCs w:val="1"/>
                <w:color w:val="auto"/>
              </w:rPr>
              <w:t>As of January 1,</w:t>
            </w:r>
          </w:p>
        </w:tc>
        <w:tc>
          <w:tcPr>
            <w:tcW w:w="3320" w:type="dxa"/>
            <w:vAlign w:val="bottom"/>
            <w:gridSpan w:val="6"/>
          </w:tcPr>
          <w:p>
            <w:pPr>
              <w:ind w:left="180"/>
              <w:spacing w:after="0"/>
              <w:rPr>
                <w:sz w:val="20"/>
                <w:szCs w:val="20"/>
                <w:color w:val="auto"/>
              </w:rPr>
            </w:pPr>
            <w:r>
              <w:rPr>
                <w:rFonts w:ascii="Arial" w:cs="Arial" w:eastAsia="Arial" w:hAnsi="Arial"/>
                <w:sz w:val="16"/>
                <w:szCs w:val="16"/>
                <w:b w:val="1"/>
                <w:bCs w:val="1"/>
                <w:color w:val="auto"/>
              </w:rPr>
              <w:t>Changes that generate cash flows</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flows</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w w:val="98"/>
              </w:rPr>
              <w:t>As of December</w:t>
            </w: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Exchange</w:t>
            </w:r>
          </w:p>
        </w:tc>
        <w:tc>
          <w:tcPr>
            <w:tcW w:w="12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2024</w:t>
            </w: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580" w:type="dxa"/>
            <w:vAlign w:val="bottom"/>
            <w:gridSpan w:val="3"/>
          </w:tcPr>
          <w:p>
            <w:pPr>
              <w:ind w:left="180"/>
              <w:spacing w:after="0"/>
              <w:rPr>
                <w:sz w:val="20"/>
                <w:szCs w:val="20"/>
                <w:color w:val="auto"/>
              </w:rPr>
            </w:pPr>
            <w:r>
              <w:rPr>
                <w:rFonts w:ascii="Arial" w:cs="Arial" w:eastAsia="Arial" w:hAnsi="Arial"/>
                <w:sz w:val="16"/>
                <w:szCs w:val="16"/>
                <w:b w:val="1"/>
                <w:bCs w:val="1"/>
                <w:color w:val="auto"/>
              </w:rPr>
              <w:t>Received</w:t>
            </w:r>
          </w:p>
        </w:tc>
        <w:tc>
          <w:tcPr>
            <w:tcW w:w="1740" w:type="dxa"/>
            <w:vAlign w:val="bottom"/>
            <w:gridSpan w:val="3"/>
          </w:tcPr>
          <w:p>
            <w:pPr>
              <w:ind w:left="180"/>
              <w:spacing w:after="0"/>
              <w:rPr>
                <w:sz w:val="20"/>
                <w:szCs w:val="20"/>
                <w:color w:val="auto"/>
              </w:rPr>
            </w:pPr>
            <w:r>
              <w:rPr>
                <w:rFonts w:ascii="Arial" w:cs="Arial" w:eastAsia="Arial" w:hAnsi="Arial"/>
                <w:sz w:val="16"/>
                <w:szCs w:val="16"/>
                <w:b w:val="1"/>
                <w:bCs w:val="1"/>
                <w:color w:val="auto"/>
              </w:rPr>
              <w:t>Paid</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difference</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Others</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31, 2024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40" w:type="dxa"/>
            <w:vAlign w:val="bottom"/>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1800" w:type="dxa"/>
            <w:vAlign w:val="bottom"/>
          </w:tcPr>
          <w:p>
            <w:pPr>
              <w:ind w:left="40"/>
              <w:spacing w:after="0"/>
              <w:rPr>
                <w:sz w:val="20"/>
                <w:szCs w:val="20"/>
                <w:color w:val="auto"/>
              </w:rPr>
            </w:pPr>
            <w:r>
              <w:rPr>
                <w:rFonts w:ascii="Arial" w:cs="Arial" w:eastAsia="Arial" w:hAnsi="Arial"/>
                <w:sz w:val="16"/>
                <w:szCs w:val="16"/>
                <w:color w:val="auto"/>
              </w:rPr>
              <w:t>Subordinated bonds</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5,680,120</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2,284,200</w:t>
            </w:r>
          </w:p>
        </w:tc>
        <w:tc>
          <w:tcPr>
            <w:tcW w:w="180" w:type="dxa"/>
            <w:vAlign w:val="bottom"/>
          </w:tcPr>
          <w:p>
            <w:pPr>
              <w:spacing w:after="0"/>
              <w:rPr>
                <w:sz w:val="24"/>
                <w:szCs w:val="2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48,509</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3,883</w:t>
            </w: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8,016,712</w:t>
            </w:r>
          </w:p>
        </w:tc>
        <w:tc>
          <w:tcPr>
            <w:tcW w:w="0" w:type="dxa"/>
            <w:vAlign w:val="bottom"/>
          </w:tcPr>
          <w:p>
            <w:pPr>
              <w:spacing w:after="0"/>
              <w:rPr>
                <w:sz w:val="1"/>
                <w:szCs w:val="1"/>
                <w:color w:val="auto"/>
              </w:rPr>
            </w:pPr>
          </w:p>
        </w:tc>
      </w:tr>
      <w:tr>
        <w:trPr>
          <w:trHeight w:val="202"/>
        </w:trPr>
        <w:tc>
          <w:tcPr>
            <w:tcW w:w="1800" w:type="dxa"/>
            <w:vAlign w:val="bottom"/>
          </w:tcPr>
          <w:p>
            <w:pPr>
              <w:ind w:left="40"/>
              <w:spacing w:after="0"/>
              <w:rPr>
                <w:sz w:val="20"/>
                <w:szCs w:val="20"/>
                <w:color w:val="auto"/>
              </w:rPr>
            </w:pPr>
            <w:r>
              <w:rPr>
                <w:rFonts w:ascii="Arial" w:cs="Arial" w:eastAsia="Arial" w:hAnsi="Arial"/>
                <w:sz w:val="16"/>
                <w:szCs w:val="16"/>
                <w:color w:val="auto"/>
              </w:rPr>
              <w:t>Lease liabilities</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512,579</w:t>
            </w: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3"/>
          </w:tcPr>
          <w:p>
            <w:pPr>
              <w:jc w:val="right"/>
              <w:ind w:right="240"/>
              <w:spacing w:after="0"/>
              <w:rPr>
                <w:sz w:val="20"/>
                <w:szCs w:val="20"/>
                <w:color w:val="auto"/>
              </w:rPr>
            </w:pPr>
            <w:r>
              <w:rPr>
                <w:rFonts w:ascii="Arial" w:cs="Arial" w:eastAsia="Arial" w:hAnsi="Arial"/>
                <w:sz w:val="16"/>
                <w:szCs w:val="16"/>
                <w:color w:val="auto"/>
              </w:rPr>
              <w:t>(175,521)</w:t>
            </w: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3,986</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63,773</w:t>
            </w: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404,817</w:t>
            </w: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6,192,699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2,284,200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(175,521</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52,495</w:t>
            </w:r>
          </w:p>
        </w:tc>
        <w:tc>
          <w:tcPr>
            <w:tcW w:w="3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67,656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8,421,529</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4"/>
          </w:tcPr>
          <w:p>
            <w:pPr>
              <w:spacing w:after="0"/>
              <w:rPr>
                <w:sz w:val="20"/>
                <w:szCs w:val="20"/>
                <w:color w:val="auto"/>
              </w:rPr>
            </w:pPr>
            <w:r>
              <w:rPr>
                <w:rFonts w:ascii="Arial" w:cs="Arial" w:eastAsia="Arial" w:hAnsi="Arial"/>
                <w:sz w:val="16"/>
                <w:szCs w:val="16"/>
                <w:b w:val="1"/>
                <w:bCs w:val="1"/>
                <w:color w:val="auto"/>
              </w:rPr>
              <w:t>Changes that do not generate cash</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1680" w:type="dxa"/>
            <w:vAlign w:val="bottom"/>
            <w:gridSpan w:val="3"/>
            <w:vMerge w:val="restart"/>
          </w:tcPr>
          <w:p>
            <w:pPr>
              <w:jc w:val="right"/>
              <w:ind w:right="200"/>
              <w:spacing w:after="0"/>
              <w:rPr>
                <w:sz w:val="20"/>
                <w:szCs w:val="20"/>
                <w:color w:val="auto"/>
              </w:rPr>
            </w:pPr>
            <w:r>
              <w:rPr>
                <w:rFonts w:ascii="Arial" w:cs="Arial" w:eastAsia="Arial" w:hAnsi="Arial"/>
                <w:sz w:val="16"/>
                <w:szCs w:val="16"/>
                <w:b w:val="1"/>
                <w:bCs w:val="1"/>
                <w:color w:val="auto"/>
              </w:rPr>
              <w:t>As of January 1,</w:t>
            </w:r>
          </w:p>
        </w:tc>
        <w:tc>
          <w:tcPr>
            <w:tcW w:w="3320" w:type="dxa"/>
            <w:vAlign w:val="bottom"/>
            <w:gridSpan w:val="6"/>
          </w:tcPr>
          <w:p>
            <w:pPr>
              <w:ind w:left="180"/>
              <w:spacing w:after="0"/>
              <w:rPr>
                <w:sz w:val="20"/>
                <w:szCs w:val="20"/>
                <w:color w:val="auto"/>
              </w:rPr>
            </w:pPr>
            <w:r>
              <w:rPr>
                <w:rFonts w:ascii="Arial" w:cs="Arial" w:eastAsia="Arial" w:hAnsi="Arial"/>
                <w:sz w:val="16"/>
                <w:szCs w:val="16"/>
                <w:b w:val="1"/>
                <w:bCs w:val="1"/>
                <w:color w:val="auto"/>
              </w:rPr>
              <w:t>Changes that generate cash flows</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flows</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w w:val="98"/>
              </w:rPr>
              <w:t>As of December</w:t>
            </w: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Exchange</w:t>
            </w:r>
          </w:p>
        </w:tc>
        <w:tc>
          <w:tcPr>
            <w:tcW w:w="12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2023</w:t>
            </w: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1580" w:type="dxa"/>
            <w:vAlign w:val="bottom"/>
            <w:gridSpan w:val="3"/>
          </w:tcPr>
          <w:p>
            <w:pPr>
              <w:ind w:left="180"/>
              <w:spacing w:after="0"/>
              <w:rPr>
                <w:sz w:val="20"/>
                <w:szCs w:val="20"/>
                <w:color w:val="auto"/>
              </w:rPr>
            </w:pPr>
            <w:r>
              <w:rPr>
                <w:rFonts w:ascii="Arial" w:cs="Arial" w:eastAsia="Arial" w:hAnsi="Arial"/>
                <w:sz w:val="16"/>
                <w:szCs w:val="16"/>
                <w:b w:val="1"/>
                <w:bCs w:val="1"/>
                <w:color w:val="auto"/>
              </w:rPr>
              <w:t>Received</w:t>
            </w:r>
          </w:p>
        </w:tc>
        <w:tc>
          <w:tcPr>
            <w:tcW w:w="1740" w:type="dxa"/>
            <w:vAlign w:val="bottom"/>
            <w:gridSpan w:val="3"/>
          </w:tcPr>
          <w:p>
            <w:pPr>
              <w:ind w:left="180"/>
              <w:spacing w:after="0"/>
              <w:rPr>
                <w:sz w:val="20"/>
                <w:szCs w:val="20"/>
                <w:color w:val="auto"/>
              </w:rPr>
            </w:pPr>
            <w:r>
              <w:rPr>
                <w:rFonts w:ascii="Arial" w:cs="Arial" w:eastAsia="Arial" w:hAnsi="Arial"/>
                <w:sz w:val="16"/>
                <w:szCs w:val="16"/>
                <w:b w:val="1"/>
                <w:bCs w:val="1"/>
                <w:color w:val="auto"/>
              </w:rPr>
              <w:t>Paid</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difference</w:t>
            </w: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Others</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31, 2023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340" w:type="dxa"/>
            <w:vAlign w:val="bottom"/>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1800" w:type="dxa"/>
            <w:vAlign w:val="bottom"/>
          </w:tcPr>
          <w:p>
            <w:pPr>
              <w:ind w:left="40"/>
              <w:spacing w:after="0"/>
              <w:rPr>
                <w:sz w:val="20"/>
                <w:szCs w:val="20"/>
                <w:color w:val="auto"/>
              </w:rPr>
            </w:pPr>
            <w:r>
              <w:rPr>
                <w:rFonts w:ascii="Arial" w:cs="Arial" w:eastAsia="Arial" w:hAnsi="Arial"/>
                <w:sz w:val="16"/>
                <w:szCs w:val="16"/>
                <w:color w:val="auto"/>
              </w:rPr>
              <w:t>Subordinated bonds</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5,738,414</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284,944</w:t>
            </w:r>
          </w:p>
        </w:tc>
        <w:tc>
          <w:tcPr>
            <w:tcW w:w="1740" w:type="dxa"/>
            <w:vAlign w:val="bottom"/>
            <w:gridSpan w:val="3"/>
          </w:tcPr>
          <w:p>
            <w:pPr>
              <w:jc w:val="right"/>
              <w:ind w:right="240"/>
              <w:spacing w:after="0"/>
              <w:rPr>
                <w:sz w:val="20"/>
                <w:szCs w:val="20"/>
                <w:color w:val="auto"/>
              </w:rPr>
            </w:pPr>
            <w:r>
              <w:rPr>
                <w:rFonts w:ascii="Arial" w:cs="Arial" w:eastAsia="Arial" w:hAnsi="Arial"/>
                <w:sz w:val="16"/>
                <w:szCs w:val="16"/>
                <w:color w:val="auto"/>
              </w:rPr>
              <w:t>(222,900)</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(150,568)</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30,230</w:t>
            </w: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5,680,120</w:t>
            </w:r>
          </w:p>
        </w:tc>
        <w:tc>
          <w:tcPr>
            <w:tcW w:w="0" w:type="dxa"/>
            <w:vAlign w:val="bottom"/>
          </w:tcPr>
          <w:p>
            <w:pPr>
              <w:spacing w:after="0"/>
              <w:rPr>
                <w:sz w:val="1"/>
                <w:szCs w:val="1"/>
                <w:color w:val="auto"/>
              </w:rPr>
            </w:pPr>
          </w:p>
        </w:tc>
      </w:tr>
      <w:tr>
        <w:trPr>
          <w:trHeight w:val="202"/>
        </w:trPr>
        <w:tc>
          <w:tcPr>
            <w:tcW w:w="1800" w:type="dxa"/>
            <w:vAlign w:val="bottom"/>
          </w:tcPr>
          <w:p>
            <w:pPr>
              <w:ind w:left="40"/>
              <w:spacing w:after="0"/>
              <w:rPr>
                <w:sz w:val="20"/>
                <w:szCs w:val="20"/>
                <w:color w:val="auto"/>
              </w:rPr>
            </w:pPr>
            <w:r>
              <w:rPr>
                <w:rFonts w:ascii="Arial" w:cs="Arial" w:eastAsia="Arial" w:hAnsi="Arial"/>
                <w:sz w:val="16"/>
                <w:szCs w:val="16"/>
                <w:color w:val="auto"/>
              </w:rPr>
              <w:t>Lease liabilities</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578,074</w:t>
            </w: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3"/>
          </w:tcPr>
          <w:p>
            <w:pPr>
              <w:jc w:val="right"/>
              <w:ind w:right="240"/>
              <w:spacing w:after="0"/>
              <w:rPr>
                <w:sz w:val="20"/>
                <w:szCs w:val="20"/>
                <w:color w:val="auto"/>
              </w:rPr>
            </w:pPr>
            <w:r>
              <w:rPr>
                <w:rFonts w:ascii="Arial" w:cs="Arial" w:eastAsia="Arial" w:hAnsi="Arial"/>
                <w:sz w:val="16"/>
                <w:szCs w:val="16"/>
                <w:color w:val="auto"/>
              </w:rPr>
              <w:t>(182,960)</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(8,627)</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126,092</w:t>
            </w: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512,579</w:t>
            </w: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6,316,488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284,944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(405,860</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(159,195</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12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156,322</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6,192,699</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40"/>
          </w:cols>
          <w:pgMar w:left="320" w:top="316" w:right="439" w:bottom="1440" w:gutter="0" w:footer="0" w:header="0"/>
        </w:sectPr>
      </w:pPr>
    </w:p>
    <w:bookmarkStart w:id="23" w:name="page24"/>
    <w:bookmarkEnd w:id="23"/>
    <w:p>
      <w:pPr>
        <w:ind w:left="283"/>
        <w:spacing w:after="0"/>
        <w:rPr>
          <w:sz w:val="20"/>
          <w:szCs w:val="20"/>
          <w:color w:val="auto"/>
        </w:rPr>
      </w:pPr>
      <w:r>
        <w:rPr>
          <w:rFonts w:ascii="Arial" w:cs="Arial" w:eastAsia="Arial" w:hAnsi="Arial"/>
          <w:sz w:val="16"/>
          <w:szCs w:val="16"/>
          <w:b w:val="1"/>
          <w:bCs w:val="1"/>
          <w:color w:val="auto"/>
        </w:rPr>
        <w:t>CREDICORP LTD. AND SUBSIDIARIES</w:t>
      </w:r>
    </w:p>
    <w:p>
      <w:pPr>
        <w:spacing w:after="0" w:line="178"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NOTES TO THE CONSOLIDATED FINANCIAL STATEMENTS</w:t>
      </w:r>
    </w:p>
    <w:p>
      <w:pPr>
        <w:spacing w:after="0" w:line="13"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AS OF DECEMBER 31, 2025 AND 2024</w:t>
      </w:r>
    </w:p>
    <w:p>
      <w:pPr>
        <w:spacing w:after="0" w:line="162" w:lineRule="exact"/>
        <w:rPr>
          <w:sz w:val="20"/>
          <w:szCs w:val="20"/>
          <w:color w:val="auto"/>
        </w:rPr>
      </w:pPr>
    </w:p>
    <w:p>
      <w:pPr>
        <w:ind w:left="283" w:hanging="283"/>
        <w:spacing w:after="0"/>
        <w:tabs>
          <w:tab w:leader="none" w:pos="28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OPERATIONS</w:t>
      </w:r>
    </w:p>
    <w:p>
      <w:pPr>
        <w:spacing w:after="0" w:line="177" w:lineRule="exact"/>
        <w:rPr>
          <w:rFonts w:ascii="Arial" w:cs="Arial" w:eastAsia="Arial" w:hAnsi="Arial"/>
          <w:sz w:val="16"/>
          <w:szCs w:val="16"/>
          <w:b w:val="1"/>
          <w:bCs w:val="1"/>
          <w:color w:val="auto"/>
        </w:rPr>
      </w:pPr>
    </w:p>
    <w:p>
      <w:pPr>
        <w:ind w:left="283" w:right="34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Credicorp Ltd. (hereinafter “Credicorp” or the “Group”) is a limited liability company incorporated in Bermuda in 1995 to act as a holding company and according to Bermuda's economic substance regulation, Credicorp Ltd. as an independent legal entity, is considered a “Pure Equity Holding Entity” (PEHE). Credicorp's activity is to maintain equity interests and receive passive income such as dividends, capital gains and other income from investments in securities.</w:t>
      </w:r>
    </w:p>
    <w:p>
      <w:pPr>
        <w:spacing w:after="0" w:line="144" w:lineRule="exact"/>
        <w:rPr>
          <w:rFonts w:ascii="Arial" w:cs="Arial" w:eastAsia="Arial" w:hAnsi="Arial"/>
          <w:sz w:val="16"/>
          <w:szCs w:val="16"/>
          <w:b w:val="1"/>
          <w:bCs w:val="1"/>
          <w:color w:val="auto"/>
        </w:rPr>
      </w:pPr>
    </w:p>
    <w:p>
      <w:pPr>
        <w:ind w:left="283"/>
        <w:spacing w:after="0" w:line="243" w:lineRule="auto"/>
        <w:rPr>
          <w:rFonts w:ascii="Arial" w:cs="Arial" w:eastAsia="Arial" w:hAnsi="Arial"/>
          <w:sz w:val="16"/>
          <w:szCs w:val="16"/>
          <w:b w:val="1"/>
          <w:bCs w:val="1"/>
          <w:color w:val="auto"/>
        </w:rPr>
      </w:pPr>
      <w:r>
        <w:rPr>
          <w:rFonts w:ascii="Arial" w:cs="Arial" w:eastAsia="Arial" w:hAnsi="Arial"/>
          <w:sz w:val="16"/>
          <w:szCs w:val="16"/>
          <w:color w:val="auto"/>
        </w:rPr>
        <w:t>In order to keep Credicorp's structure and organization fully aligned with the new legislation on economic substance approved by the Government of Bermuda on January 11, 2019, the decisions of the Credicorp Board of Directors will be limited to issues related to Credicorp's strategy, objectives and goals, main action plans and policies, annual budgets, business plans and control of their implementation, supervision of the main expenses, investments, acquisitions and disposals, among other “passive” decisions related to Credicorp. The authority to make decisions applicable to Credicorp's subsidiaries, such as the adoption of relevant strategic or management decisions, the assumption of expenses for the benefit of its affiliates, the coordination of group activities, and the granting of credit facilities in favor of its affiliates, it has been transferred to Grupo Crédito S.A., a subsidiary of Credicorp.</w:t>
      </w:r>
    </w:p>
    <w:p>
      <w:pPr>
        <w:spacing w:after="0" w:line="148" w:lineRule="exact"/>
        <w:rPr>
          <w:rFonts w:ascii="Arial" w:cs="Arial" w:eastAsia="Arial" w:hAnsi="Arial"/>
          <w:sz w:val="16"/>
          <w:szCs w:val="16"/>
          <w:b w:val="1"/>
          <w:bCs w:val="1"/>
          <w:color w:val="auto"/>
        </w:rPr>
      </w:pPr>
    </w:p>
    <w:p>
      <w:pPr>
        <w:ind w:left="283" w:right="36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Credicorp, through its banking and non-banking subsidiaries and its subsidiary Pacífico S.A. Entidad Prestadora de Salud (hereinafter Pacífico EPS), offers a wide range of financial, insurance and health services and products, mainly throughout Peru and in other countries (see Note 3 (b). Its main subsidiary is Banco de Crédito del Perú (hereinafter “BCP” or the “Bank”), a multiple bank incorporated in Perú.</w:t>
      </w:r>
    </w:p>
    <w:p>
      <w:pPr>
        <w:spacing w:after="0" w:line="137" w:lineRule="exact"/>
        <w:rPr>
          <w:rFonts w:ascii="Arial" w:cs="Arial" w:eastAsia="Arial" w:hAnsi="Arial"/>
          <w:sz w:val="16"/>
          <w:szCs w:val="16"/>
          <w:b w:val="1"/>
          <w:bCs w:val="1"/>
          <w:color w:val="auto"/>
        </w:rPr>
      </w:pPr>
    </w:p>
    <w:p>
      <w:pPr>
        <w:ind w:left="283" w:right="380"/>
        <w:spacing w:after="0" w:line="274" w:lineRule="auto"/>
        <w:rPr>
          <w:rFonts w:ascii="Arial" w:cs="Arial" w:eastAsia="Arial" w:hAnsi="Arial"/>
          <w:sz w:val="16"/>
          <w:szCs w:val="16"/>
          <w:b w:val="1"/>
          <w:bCs w:val="1"/>
          <w:color w:val="auto"/>
        </w:rPr>
      </w:pPr>
      <w:r>
        <w:rPr>
          <w:rFonts w:ascii="Arial" w:cs="Arial" w:eastAsia="Arial" w:hAnsi="Arial"/>
          <w:sz w:val="16"/>
          <w:szCs w:val="16"/>
          <w:color w:val="auto"/>
        </w:rPr>
        <w:t>Credicorp's legal address is Clarendon House 2 Church Street Hamilton, Bermuda; likewise, the main offices from where Credicorp's businesses are managed are located at Calle Centenario N° 156, La Molina, Lima, Perú.</w:t>
      </w:r>
    </w:p>
    <w:p>
      <w:pPr>
        <w:spacing w:after="0" w:line="122" w:lineRule="exact"/>
        <w:rPr>
          <w:rFonts w:ascii="Arial" w:cs="Arial" w:eastAsia="Arial" w:hAnsi="Arial"/>
          <w:sz w:val="16"/>
          <w:szCs w:val="16"/>
          <w:b w:val="1"/>
          <w:bCs w:val="1"/>
          <w:color w:val="auto"/>
        </w:rPr>
      </w:pPr>
    </w:p>
    <w:p>
      <w:pPr>
        <w:ind w:left="283" w:right="180"/>
        <w:spacing w:after="0" w:line="245" w:lineRule="auto"/>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as of December 31, 2024, and for the year ended on that date were approved and authorized for issuance by the Board of Directors and Management on February 27, 2025, and presented for the Annual General Shareholders Meeting on March 27, 2025. The consolidated financial statements as of December 31, 2025, and for the year ended on that date, were approved by the Management on February 26,2025, and will be presented for final approval in the Annual General Meeting of Shareholders, which will be held within the deadlines established by law.</w:t>
      </w:r>
    </w:p>
    <w:p>
      <w:pPr>
        <w:spacing w:after="0" w:line="146"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Credicorp is listed on the Lima and New York Stock Exchanges.</w:t>
      </w:r>
    </w:p>
    <w:p>
      <w:pPr>
        <w:spacing w:after="0" w:line="346" w:lineRule="exact"/>
        <w:rPr>
          <w:rFonts w:ascii="Arial" w:cs="Arial" w:eastAsia="Arial" w:hAnsi="Arial"/>
          <w:sz w:val="16"/>
          <w:szCs w:val="16"/>
          <w:b w:val="1"/>
          <w:bCs w:val="1"/>
          <w:color w:val="auto"/>
        </w:rPr>
      </w:pPr>
    </w:p>
    <w:p>
      <w:pPr>
        <w:ind w:left="5543" w:hanging="104"/>
        <w:spacing w:after="0"/>
        <w:tabs>
          <w:tab w:leader="none" w:pos="5543" w:val="left"/>
        </w:tabs>
        <w:numPr>
          <w:ilvl w:val="1"/>
          <w:numId w:val="4"/>
        </w:numPr>
        <w:rPr>
          <w:rFonts w:ascii="Arial" w:cs="Arial" w:eastAsia="Arial" w:hAnsi="Arial"/>
          <w:sz w:val="16"/>
          <w:szCs w:val="16"/>
          <w:color w:val="auto"/>
        </w:rPr>
      </w:pPr>
      <w:r>
        <w:rPr>
          <w:rFonts w:ascii="Arial" w:cs="Arial" w:eastAsia="Arial" w:hAnsi="Arial"/>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3"/>
          </w:cols>
          <w:pgMar w:left="317" w:top="316" w:right="359" w:bottom="1440" w:gutter="0" w:footer="0" w:header="0"/>
        </w:sectPr>
      </w:pPr>
    </w:p>
    <w:bookmarkStart w:id="24" w:name="page25"/>
    <w:bookmarkEnd w:id="24"/>
    <w:p>
      <w:pPr>
        <w:ind w:left="283" w:hanging="283"/>
        <w:spacing w:after="0"/>
        <w:tabs>
          <w:tab w:leader="none" w:pos="28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BUSINESS ACQUISITIONS</w:t>
      </w:r>
    </w:p>
    <w:p>
      <w:pPr>
        <w:spacing w:after="0" w:line="177" w:lineRule="exact"/>
        <w:rPr>
          <w:rFonts w:ascii="Arial" w:cs="Arial" w:eastAsia="Arial" w:hAnsi="Arial"/>
          <w:sz w:val="16"/>
          <w:szCs w:val="16"/>
          <w:b w:val="1"/>
          <w:bCs w:val="1"/>
          <w:color w:val="auto"/>
        </w:rPr>
      </w:pPr>
    </w:p>
    <w:p>
      <w:pPr>
        <w:ind w:left="583" w:hanging="294"/>
        <w:spacing w:after="0"/>
        <w:tabs>
          <w:tab w:leader="none" w:pos="583" w:val="left"/>
        </w:tabs>
        <w:numPr>
          <w:ilvl w:val="1"/>
          <w:numId w:val="5"/>
        </w:numPr>
        <w:rPr>
          <w:rFonts w:ascii="Arial" w:cs="Arial" w:eastAsia="Arial" w:hAnsi="Arial"/>
          <w:sz w:val="16"/>
          <w:szCs w:val="16"/>
          <w:color w:val="auto"/>
        </w:rPr>
      </w:pPr>
      <w:r>
        <w:rPr>
          <w:rFonts w:ascii="Arial" w:cs="Arial" w:eastAsia="Arial" w:hAnsi="Arial"/>
          <w:sz w:val="16"/>
          <w:szCs w:val="16"/>
          <w:color w:val="auto"/>
        </w:rPr>
        <w:t>Acquisition of a majority interest in Pacífico EPS</w:t>
      </w:r>
    </w:p>
    <w:p>
      <w:pPr>
        <w:spacing w:after="0" w:line="178" w:lineRule="exact"/>
        <w:rPr>
          <w:sz w:val="20"/>
          <w:szCs w:val="20"/>
          <w:color w:val="auto"/>
        </w:rPr>
      </w:pPr>
    </w:p>
    <w:p>
      <w:pPr>
        <w:ind w:left="283" w:right="120"/>
        <w:spacing w:after="0" w:line="255" w:lineRule="auto"/>
        <w:rPr>
          <w:sz w:val="20"/>
          <w:szCs w:val="20"/>
          <w:color w:val="auto"/>
        </w:rPr>
      </w:pPr>
      <w:r>
        <w:rPr>
          <w:rFonts w:ascii="Arial" w:cs="Arial" w:eastAsia="Arial" w:hAnsi="Arial"/>
          <w:sz w:val="16"/>
          <w:szCs w:val="16"/>
          <w:color w:val="auto"/>
        </w:rPr>
        <w:t>On November 01, 2024 Credicorp entered into an agreement to acquire the 50.0 percent interest from Empresas Banmédica (“Banmédica” hereafter) in the partnership and participation agreement entered into in December 2014 between Pacifico Compañía de Seguros y Reaseguros S.A. (“Pacifico Seguros”) and Banmédica.</w:t>
      </w:r>
    </w:p>
    <w:p>
      <w:pPr>
        <w:spacing w:after="0" w:line="137" w:lineRule="exact"/>
        <w:rPr>
          <w:sz w:val="20"/>
          <w:szCs w:val="20"/>
          <w:color w:val="auto"/>
        </w:rPr>
      </w:pPr>
    </w:p>
    <w:p>
      <w:pPr>
        <w:ind w:left="283" w:right="80"/>
        <w:spacing w:after="0" w:line="255" w:lineRule="auto"/>
        <w:rPr>
          <w:sz w:val="20"/>
          <w:szCs w:val="20"/>
          <w:color w:val="auto"/>
        </w:rPr>
      </w:pPr>
      <w:r>
        <w:rPr>
          <w:rFonts w:ascii="Arial" w:cs="Arial" w:eastAsia="Arial" w:hAnsi="Arial"/>
          <w:sz w:val="16"/>
          <w:szCs w:val="16"/>
          <w:color w:val="auto"/>
        </w:rPr>
        <w:t>Pursuant to this acquisition, Banmédica trasnfered its 50.0 percent interest in the private health insurance business in Peru (Joint Venture Agreement) to Pacifico Seguros. In addition, Banmédica transfered its 50.0 percent interest in Pacifico S.A. Entidad Prestadora de Salud (“Pacifico EPS”), which manages the corporate employee health insurance and medical services businesses in Peru, to Credicorp's subsidiary, Grupo Crédito S.A.</w:t>
      </w:r>
    </w:p>
    <w:p>
      <w:pPr>
        <w:spacing w:after="0" w:line="137" w:lineRule="exact"/>
        <w:rPr>
          <w:sz w:val="20"/>
          <w:szCs w:val="20"/>
          <w:color w:val="auto"/>
        </w:rPr>
      </w:pPr>
    </w:p>
    <w:p>
      <w:pPr>
        <w:ind w:left="283" w:right="80"/>
        <w:spacing w:after="0" w:line="255" w:lineRule="auto"/>
        <w:rPr>
          <w:sz w:val="20"/>
          <w:szCs w:val="20"/>
          <w:color w:val="auto"/>
        </w:rPr>
      </w:pPr>
      <w:r>
        <w:rPr>
          <w:rFonts w:ascii="Arial" w:cs="Arial" w:eastAsia="Arial" w:hAnsi="Arial"/>
          <w:sz w:val="16"/>
          <w:szCs w:val="16"/>
          <w:color w:val="auto"/>
        </w:rPr>
        <w:t>As of March 13, 2025, the Company completed the acquisition of the remaining 50.0 percent interest in Pacífico EPS (representing 24,627,219 shares) and 50.0 percent of the co-investment agreement with Banmédica. The consideration paid for the acquisition of the interest in Pacífico EPS amounted to S/950.9 million.</w:t>
      </w:r>
    </w:p>
    <w:p>
      <w:pPr>
        <w:spacing w:after="0" w:line="137" w:lineRule="exact"/>
        <w:rPr>
          <w:sz w:val="20"/>
          <w:szCs w:val="20"/>
          <w:color w:val="auto"/>
        </w:rPr>
      </w:pPr>
    </w:p>
    <w:p>
      <w:pPr>
        <w:ind w:left="283"/>
        <w:spacing w:after="0" w:line="248" w:lineRule="auto"/>
        <w:rPr>
          <w:sz w:val="20"/>
          <w:szCs w:val="20"/>
          <w:color w:val="auto"/>
        </w:rPr>
      </w:pPr>
      <w:r>
        <w:rPr>
          <w:rFonts w:ascii="Arial" w:cs="Arial" w:eastAsia="Arial" w:hAnsi="Arial"/>
          <w:sz w:val="16"/>
          <w:szCs w:val="16"/>
          <w:color w:val="auto"/>
        </w:rPr>
        <w:t>The business combination was recognized using the acquisition method in accordance with IFRS 3 "Business Combinations". A business combination achieved in stages requires the acquirer to remeasure its previously held equity interest at fair value at the acquisition date, with any resulting gain or loss recognized in profit or loss. Accordingly, the Group remeasured its previously held interest in Pacifico EPS at fair value, recognizing a gain of S/235.5 million, see Note 25.</w:t>
      </w:r>
    </w:p>
    <w:p>
      <w:pPr>
        <w:spacing w:after="0" w:line="31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83"/>
          </w:cols>
          <w:pgMar w:left="317" w:top="292" w:right="39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At the date of acquisition, the carrying amount and fair value of the identified assets and liabilities of the entities purchased were the following:</w:t>
      </w:r>
    </w:p>
    <w:p>
      <w:pPr>
        <w:spacing w:after="0" w:line="175" w:lineRule="exact"/>
        <w:rPr>
          <w:sz w:val="20"/>
          <w:szCs w:val="20"/>
          <w:color w:val="auto"/>
        </w:rPr>
      </w:pPr>
    </w:p>
    <w:tbl>
      <w:tblPr>
        <w:tblLayout w:type="fixed"/>
        <w:tblInd w:w="69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Fair value</w:t>
            </w:r>
          </w:p>
        </w:tc>
      </w:tr>
      <w:tr>
        <w:trPr>
          <w:trHeight w:val="181"/>
        </w:trPr>
        <w:tc>
          <w:tcPr>
            <w:tcW w:w="128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Carrying</w:t>
            </w:r>
          </w:p>
        </w:tc>
        <w:tc>
          <w:tcPr>
            <w:tcW w:w="12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Fair value</w:t>
            </w:r>
          </w:p>
        </w:tc>
        <w:tc>
          <w:tcPr>
            <w:tcW w:w="1060" w:type="dxa"/>
            <w:vAlign w:val="bottom"/>
          </w:tcPr>
          <w:p>
            <w:pPr>
              <w:spacing w:after="0" w:line="181" w:lineRule="exact"/>
              <w:rPr>
                <w:sz w:val="20"/>
                <w:szCs w:val="20"/>
                <w:color w:val="auto"/>
              </w:rPr>
            </w:pPr>
            <w:r>
              <w:rPr>
                <w:rFonts w:ascii="Arial" w:cs="Arial" w:eastAsia="Arial" w:hAnsi="Arial"/>
                <w:sz w:val="16"/>
                <w:szCs w:val="16"/>
                <w:b w:val="1"/>
                <w:bCs w:val="1"/>
                <w:color w:val="auto"/>
              </w:rPr>
              <w:t>recognized at</w:t>
            </w:r>
          </w:p>
        </w:tc>
      </w:tr>
      <w:tr>
        <w:trPr>
          <w:trHeight w:val="198"/>
        </w:trPr>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adjustments</w:t>
            </w:r>
          </w:p>
        </w:tc>
        <w:tc>
          <w:tcPr>
            <w:tcW w:w="1060" w:type="dxa"/>
            <w:vAlign w:val="bottom"/>
          </w:tcPr>
          <w:p>
            <w:pPr>
              <w:spacing w:after="0"/>
              <w:rPr>
                <w:sz w:val="20"/>
                <w:szCs w:val="20"/>
                <w:color w:val="auto"/>
              </w:rPr>
            </w:pPr>
            <w:r>
              <w:rPr>
                <w:rFonts w:ascii="Arial" w:cs="Arial" w:eastAsia="Arial" w:hAnsi="Arial"/>
                <w:sz w:val="16"/>
                <w:szCs w:val="16"/>
                <w:b w:val="1"/>
                <w:bCs w:val="1"/>
                <w:color w:val="auto"/>
              </w:rPr>
              <w:t>acquisition</w:t>
            </w:r>
          </w:p>
        </w:tc>
      </w:tr>
      <w:tr>
        <w:trPr>
          <w:trHeight w:val="214"/>
        </w:trPr>
        <w:tc>
          <w:tcPr>
            <w:tcW w:w="2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bl>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9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6920" w:type="dxa"/>
            <w:vAlign w:val="bottom"/>
          </w:tcPr>
          <w:p>
            <w:pPr>
              <w:spacing w:after="0"/>
              <w:rPr>
                <w:sz w:val="20"/>
                <w:szCs w:val="20"/>
                <w:color w:val="auto"/>
              </w:rPr>
            </w:pPr>
            <w:r>
              <w:rPr>
                <w:rFonts w:ascii="Arial" w:cs="Arial" w:eastAsia="Arial" w:hAnsi="Arial"/>
                <w:sz w:val="16"/>
                <w:szCs w:val="16"/>
                <w:color w:val="auto"/>
              </w:rPr>
              <w:t>Cash</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223,670</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223,670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320,161</w:t>
            </w:r>
          </w:p>
        </w:tc>
        <w:tc>
          <w:tcPr>
            <w:tcW w:w="12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320,161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color w:val="auto"/>
              </w:rPr>
              <w:t>Property, furniture and equipment, net, Note 9(a)</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522,895</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208,821</w:t>
            </w:r>
          </w:p>
        </w:tc>
        <w:tc>
          <w:tcPr>
            <w:tcW w:w="2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731,716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color w:val="auto"/>
              </w:rPr>
              <w:t>Investment property, Note 12(g)</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948</w:t>
            </w:r>
          </w:p>
        </w:tc>
        <w:tc>
          <w:tcPr>
            <w:tcW w:w="22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5</w:t>
            </w:r>
          </w:p>
        </w:tc>
        <w:tc>
          <w:tcPr>
            <w:tcW w:w="2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953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color w:val="auto"/>
              </w:rPr>
              <w:t>Right-of-use assets, net, Note 11</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128,049</w:t>
            </w:r>
          </w:p>
        </w:tc>
        <w:tc>
          <w:tcPr>
            <w:tcW w:w="12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128,049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color w:val="auto"/>
              </w:rPr>
              <w:t>Intangible assets, Note 10(a)</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27,036</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681,571</w:t>
            </w:r>
          </w:p>
        </w:tc>
        <w:tc>
          <w:tcPr>
            <w:tcW w:w="2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708,607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6"/>
                <w:szCs w:val="16"/>
                <w:color w:val="auto"/>
              </w:rPr>
              <w:t>Other assets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484,974</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484,974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b w:val="1"/>
                <w:bCs w:val="1"/>
                <w:color w:val="auto"/>
              </w:rPr>
              <w:t>Total assets</w:t>
            </w: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1,707,733</w:t>
            </w:r>
          </w:p>
        </w:tc>
        <w:tc>
          <w:tcPr>
            <w:tcW w:w="2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890,397</w:t>
            </w:r>
          </w:p>
        </w:tc>
        <w:tc>
          <w:tcPr>
            <w:tcW w:w="2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2,598,130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69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920" w:type="dxa"/>
            <w:vAlign w:val="bottom"/>
          </w:tcPr>
          <w:p>
            <w:pPr>
              <w:spacing w:after="0"/>
              <w:rPr>
                <w:sz w:val="20"/>
                <w:szCs w:val="20"/>
                <w:color w:val="auto"/>
              </w:rPr>
            </w:pPr>
            <w:r>
              <w:rPr>
                <w:rFonts w:ascii="Arial" w:cs="Arial" w:eastAsia="Arial" w:hAnsi="Arial"/>
                <w:sz w:val="16"/>
                <w:szCs w:val="16"/>
                <w:color w:val="auto"/>
              </w:rPr>
              <w:t>Due to banks and correspondents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15,795</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color w:val="auto"/>
              </w:rPr>
              <w:t>Bonds and notes issued</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115,520</w:t>
            </w:r>
          </w:p>
        </w:tc>
        <w:tc>
          <w:tcPr>
            <w:tcW w:w="220" w:type="dxa"/>
            <w:vAlign w:val="bottom"/>
          </w:tcPr>
          <w:p>
            <w:pPr>
              <w:spacing w:after="0"/>
              <w:rPr>
                <w:sz w:val="15"/>
                <w:szCs w:val="15"/>
                <w:color w:val="auto"/>
              </w:rPr>
            </w:pPr>
          </w:p>
        </w:tc>
        <w:tc>
          <w:tcPr>
            <w:tcW w:w="12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115,520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color w:val="auto"/>
              </w:rPr>
              <w:t>Lease liabilities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156,245</w:t>
            </w:r>
          </w:p>
        </w:tc>
        <w:tc>
          <w:tcPr>
            <w:tcW w:w="12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156,245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color w:val="auto"/>
              </w:rPr>
              <w:t>Deferred tax liabilities, net</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2,375</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262,667</w:t>
            </w:r>
          </w:p>
        </w:tc>
        <w:tc>
          <w:tcPr>
            <w:tcW w:w="2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265,042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6"/>
                <w:szCs w:val="16"/>
                <w:color w:val="auto"/>
              </w:rPr>
              <w:t>Other liabilities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615,150</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615,150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920" w:type="dxa"/>
            <w:vAlign w:val="bottom"/>
          </w:tcPr>
          <w:p>
            <w:pPr>
              <w:spacing w:after="0" w:line="165" w:lineRule="exact"/>
              <w:rPr>
                <w:sz w:val="20"/>
                <w:szCs w:val="20"/>
                <w:color w:val="auto"/>
              </w:rPr>
            </w:pPr>
            <w:r>
              <w:rPr>
                <w:rFonts w:ascii="Arial" w:cs="Arial" w:eastAsia="Arial" w:hAnsi="Arial"/>
                <w:sz w:val="16"/>
                <w:szCs w:val="16"/>
                <w:b w:val="1"/>
                <w:bCs w:val="1"/>
                <w:color w:val="auto"/>
              </w:rPr>
              <w:t>Total liabilities</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905,085</w:t>
            </w:r>
          </w:p>
        </w:tc>
        <w:tc>
          <w:tcPr>
            <w:tcW w:w="2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262,667</w:t>
            </w:r>
          </w:p>
        </w:tc>
        <w:tc>
          <w:tcPr>
            <w:tcW w:w="2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1,167,752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6"/>
                <w:szCs w:val="16"/>
                <w:b w:val="1"/>
                <w:bCs w:val="1"/>
                <w:color w:val="auto"/>
              </w:rPr>
              <w:t>Total net assets identified at fair value</w:t>
            </w:r>
          </w:p>
        </w:tc>
        <w:tc>
          <w:tcPr>
            <w:tcW w:w="1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802,648</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627,730</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1,430,378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6920" w:type="dxa"/>
            <w:vAlign w:val="bottom"/>
          </w:tcPr>
          <w:p>
            <w:pPr>
              <w:spacing w:after="0"/>
              <w:rPr>
                <w:sz w:val="20"/>
                <w:szCs w:val="20"/>
                <w:color w:val="auto"/>
              </w:rPr>
            </w:pPr>
            <w:r>
              <w:rPr>
                <w:rFonts w:ascii="Arial" w:cs="Arial" w:eastAsia="Arial" w:hAnsi="Arial"/>
                <w:sz w:val="16"/>
                <w:szCs w:val="16"/>
                <w:color w:val="auto"/>
              </w:rPr>
              <w:t>Existing shareholding</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(950,850)</w:t>
            </w:r>
          </w:p>
        </w:tc>
        <w:tc>
          <w:tcPr>
            <w:tcW w:w="0" w:type="dxa"/>
            <w:vAlign w:val="bottom"/>
          </w:tcPr>
          <w:p>
            <w:pPr>
              <w:spacing w:after="0"/>
              <w:rPr>
                <w:sz w:val="1"/>
                <w:szCs w:val="1"/>
                <w:color w:val="auto"/>
              </w:rPr>
            </w:pPr>
          </w:p>
        </w:tc>
      </w:tr>
      <w:tr>
        <w:trPr>
          <w:trHeight w:val="362"/>
        </w:trPr>
        <w:tc>
          <w:tcPr>
            <w:tcW w:w="69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(57,177)</w:t>
            </w:r>
          </w:p>
        </w:tc>
        <w:tc>
          <w:tcPr>
            <w:tcW w:w="0" w:type="dxa"/>
            <w:vAlign w:val="bottom"/>
          </w:tcPr>
          <w:p>
            <w:pPr>
              <w:spacing w:after="0"/>
              <w:rPr>
                <w:sz w:val="1"/>
                <w:szCs w:val="1"/>
                <w:color w:val="auto"/>
              </w:rPr>
            </w:pPr>
          </w:p>
        </w:tc>
      </w:tr>
      <w:tr>
        <w:trPr>
          <w:trHeight w:val="362"/>
        </w:trPr>
        <w:tc>
          <w:tcPr>
            <w:tcW w:w="6920" w:type="dxa"/>
            <w:vAlign w:val="bottom"/>
          </w:tcPr>
          <w:p>
            <w:pPr>
              <w:spacing w:after="0"/>
              <w:rPr>
                <w:sz w:val="20"/>
                <w:szCs w:val="20"/>
                <w:color w:val="auto"/>
              </w:rPr>
            </w:pPr>
            <w:r>
              <w:rPr>
                <w:rFonts w:ascii="Arial" w:cs="Arial" w:eastAsia="Arial" w:hAnsi="Arial"/>
                <w:sz w:val="16"/>
                <w:szCs w:val="16"/>
                <w:color w:val="auto"/>
              </w:rPr>
              <w:t>Goodwill arising on acquisition, Note 10(b)</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528,499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920" w:type="dxa"/>
            <w:vAlign w:val="bottom"/>
            <w:vMerge w:val="restart"/>
          </w:tcPr>
          <w:p>
            <w:pPr>
              <w:spacing w:after="0"/>
              <w:rPr>
                <w:sz w:val="20"/>
                <w:szCs w:val="20"/>
                <w:color w:val="auto"/>
              </w:rPr>
            </w:pPr>
            <w:r>
              <w:rPr>
                <w:rFonts w:ascii="Arial" w:cs="Arial" w:eastAsia="Arial" w:hAnsi="Arial"/>
                <w:sz w:val="16"/>
                <w:szCs w:val="16"/>
                <w:b w:val="1"/>
                <w:bCs w:val="1"/>
                <w:color w:val="auto"/>
              </w:rPr>
              <w:t>Total purchase consideration</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9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950,850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6920" w:type="dxa"/>
            <w:vAlign w:val="bottom"/>
          </w:tcPr>
          <w:p>
            <w:pPr>
              <w:spacing w:after="0"/>
              <w:rPr>
                <w:sz w:val="20"/>
                <w:szCs w:val="20"/>
                <w:color w:val="auto"/>
              </w:rPr>
            </w:pPr>
            <w:r>
              <w:rPr>
                <w:rFonts w:ascii="Arial" w:cs="Arial" w:eastAsia="Arial" w:hAnsi="Arial"/>
                <w:sz w:val="16"/>
                <w:szCs w:val="16"/>
                <w:b w:val="1"/>
                <w:bCs w:val="1"/>
                <w:color w:val="auto"/>
              </w:rPr>
              <w:t>Analysis of cash flows on acquisition</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0640"/>
          </w:cols>
          <w:pgMar w:left="900" w:top="316" w:right="359" w:bottom="1440" w:gutter="0" w:footer="0" w:header="0"/>
        </w:sectPr>
      </w:pPr>
    </w:p>
    <w:p>
      <w:pPr>
        <w:ind w:left="40"/>
        <w:spacing w:after="0"/>
        <w:rPr>
          <w:sz w:val="20"/>
          <w:szCs w:val="20"/>
          <w:color w:val="auto"/>
        </w:rPr>
      </w:pPr>
      <w:r>
        <w:rPr>
          <w:rFonts w:ascii="Arial" w:cs="Arial" w:eastAsia="Arial" w:hAnsi="Arial"/>
          <w:sz w:val="16"/>
          <w:szCs w:val="16"/>
          <w:color w:val="auto"/>
        </w:rPr>
        <w:t>Net cash acquired with the subsidiary (included in investing cash flows)</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paid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flow on acquisition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6"/>
          <w:szCs w:val="16"/>
          <w:color w:val="auto"/>
        </w:rPr>
        <w:t>223,670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(950,850)</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(727,180)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13335</wp:posOffset>
            </wp:positionV>
            <wp:extent cx="67437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370" cy="1524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-108585</wp:posOffset>
            </wp:positionV>
            <wp:extent cx="6743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370" cy="76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240" w:space="720"/>
            <w:col w:w="680"/>
          </w:cols>
          <w:pgMar w:left="900" w:top="316" w:right="359" w:bottom="1440" w:gutter="0" w:footer="0" w:header="0"/>
          <w:type w:val="continuous"/>
        </w:sectPr>
      </w:pPr>
    </w:p>
    <w:p>
      <w:pPr>
        <w:spacing w:after="0" w:line="167"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40"/>
          </w:cols>
          <w:pgMar w:left="900" w:top="316" w:right="359" w:bottom="1440" w:gutter="0" w:footer="0" w:header="0"/>
          <w:type w:val="continuous"/>
        </w:sectPr>
      </w:pPr>
    </w:p>
    <w:bookmarkStart w:id="26" w:name="page27"/>
    <w:bookmarkEnd w:id="26"/>
    <w:p>
      <w:pPr>
        <w:ind w:left="294"/>
        <w:spacing w:after="0" w:line="274" w:lineRule="auto"/>
        <w:rPr>
          <w:sz w:val="20"/>
          <w:szCs w:val="20"/>
          <w:color w:val="auto"/>
        </w:rPr>
      </w:pPr>
      <w:r>
        <w:rPr>
          <w:rFonts w:ascii="Arial" w:cs="Arial" w:eastAsia="Arial" w:hAnsi="Arial"/>
          <w:sz w:val="16"/>
          <w:szCs w:val="16"/>
          <w:color w:val="auto"/>
        </w:rPr>
        <w:t>The fair value at the acquisition date and the carrying amount of trade receivables amount to S/271.2 million, which are included under “other assets”, and the full contractual amounts were collected.</w:t>
      </w:r>
    </w:p>
    <w:p>
      <w:pPr>
        <w:spacing w:after="0" w:line="123" w:lineRule="exact"/>
        <w:rPr>
          <w:sz w:val="20"/>
          <w:szCs w:val="20"/>
          <w:color w:val="auto"/>
        </w:rPr>
      </w:pPr>
    </w:p>
    <w:p>
      <w:pPr>
        <w:ind w:left="294"/>
        <w:spacing w:after="0" w:line="255" w:lineRule="auto"/>
        <w:rPr>
          <w:sz w:val="20"/>
          <w:szCs w:val="20"/>
          <w:color w:val="auto"/>
        </w:rPr>
      </w:pPr>
      <w:r>
        <w:rPr>
          <w:rFonts w:ascii="Arial" w:cs="Arial" w:eastAsia="Arial" w:hAnsi="Arial"/>
          <w:sz w:val="16"/>
          <w:szCs w:val="16"/>
          <w:color w:val="auto"/>
        </w:rPr>
        <w:t>From the date of acquisition, Pacifico EPS has contributed S/524.4 million of net operating income and S/153.4 million to net profit before tax from the continuing operations of the Group. If the acquisition had taken place at the beginning of the year, net operating income from continuing operations would have been S/611.4 million and the profit before tax from continuing operations for the period would have been S/190.3 million.</w:t>
      </w:r>
    </w:p>
    <w:p>
      <w:pPr>
        <w:spacing w:after="0" w:line="137" w:lineRule="exact"/>
        <w:rPr>
          <w:sz w:val="20"/>
          <w:szCs w:val="20"/>
          <w:color w:val="auto"/>
        </w:rPr>
      </w:pPr>
    </w:p>
    <w:p>
      <w:pPr>
        <w:ind w:left="294" w:right="20"/>
        <w:spacing w:after="0" w:line="274" w:lineRule="auto"/>
        <w:rPr>
          <w:sz w:val="20"/>
          <w:szCs w:val="20"/>
          <w:color w:val="auto"/>
        </w:rPr>
      </w:pPr>
      <w:r>
        <w:rPr>
          <w:rFonts w:ascii="Arial" w:cs="Arial" w:eastAsia="Arial" w:hAnsi="Arial"/>
          <w:sz w:val="16"/>
          <w:szCs w:val="16"/>
          <w:color w:val="auto"/>
        </w:rPr>
        <w:t>The goodwill recognized reflects the market position of the acquired business and the anticipated benefits associated with its continuing operations. It is not expected to be deductible for income tax purposes.</w:t>
      </w:r>
    </w:p>
    <w:p>
      <w:pPr>
        <w:spacing w:after="0" w:line="123" w:lineRule="exact"/>
        <w:rPr>
          <w:sz w:val="20"/>
          <w:szCs w:val="20"/>
          <w:color w:val="auto"/>
        </w:rPr>
      </w:pPr>
    </w:p>
    <w:p>
      <w:pPr>
        <w:ind w:left="294" w:hanging="294"/>
        <w:spacing w:after="0"/>
        <w:tabs>
          <w:tab w:leader="none" w:pos="294" w:val="left"/>
        </w:tabs>
        <w:numPr>
          <w:ilvl w:val="0"/>
          <w:numId w:val="6"/>
        </w:numPr>
        <w:rPr>
          <w:rFonts w:ascii="Arial" w:cs="Arial" w:eastAsia="Arial" w:hAnsi="Arial"/>
          <w:sz w:val="16"/>
          <w:szCs w:val="16"/>
          <w:color w:val="auto"/>
        </w:rPr>
      </w:pPr>
      <w:r>
        <w:rPr>
          <w:rFonts w:ascii="Arial" w:cs="Arial" w:eastAsia="Arial" w:hAnsi="Arial"/>
          <w:sz w:val="16"/>
          <w:szCs w:val="16"/>
          <w:color w:val="auto"/>
        </w:rPr>
        <w:t>Agreement to Acquire Shares of Helm Bank USA –</w:t>
      </w:r>
    </w:p>
    <w:p>
      <w:pPr>
        <w:spacing w:after="0" w:line="177" w:lineRule="exact"/>
        <w:rPr>
          <w:rFonts w:ascii="Arial" w:cs="Arial" w:eastAsia="Arial" w:hAnsi="Arial"/>
          <w:sz w:val="16"/>
          <w:szCs w:val="16"/>
          <w:color w:val="auto"/>
        </w:rPr>
      </w:pPr>
    </w:p>
    <w:p>
      <w:pPr>
        <w:ind w:left="294"/>
        <w:spacing w:after="0" w:line="255" w:lineRule="auto"/>
        <w:rPr>
          <w:rFonts w:ascii="Arial" w:cs="Arial" w:eastAsia="Arial" w:hAnsi="Arial"/>
          <w:sz w:val="16"/>
          <w:szCs w:val="16"/>
          <w:color w:val="auto"/>
        </w:rPr>
      </w:pPr>
      <w:r>
        <w:rPr>
          <w:rFonts w:ascii="Arial" w:cs="Arial" w:eastAsia="Arial" w:hAnsi="Arial"/>
          <w:sz w:val="16"/>
          <w:szCs w:val="16"/>
          <w:color w:val="auto"/>
        </w:rPr>
        <w:t>On December 29, 2025, Banco de Crédito del Perú (“BCP”) entered into a Stock Purchase Agreement (“SPA”) with the shareholders of Helm Bank USA to acquire 100.0 percent of the issued and outstanding shares of Helm Bank USA (“Helm Bank”). Pursuant to the terms of the SPA, BCP will pay an amount of US$180.0 million, subject to customary purchase price adjustments as of the closing date (“Purchase Price”).</w:t>
      </w:r>
    </w:p>
    <w:p>
      <w:pPr>
        <w:spacing w:after="0" w:line="137" w:lineRule="exact"/>
        <w:rPr>
          <w:rFonts w:ascii="Arial" w:cs="Arial" w:eastAsia="Arial" w:hAnsi="Arial"/>
          <w:sz w:val="16"/>
          <w:szCs w:val="16"/>
          <w:color w:val="auto"/>
        </w:rPr>
      </w:pPr>
    </w:p>
    <w:p>
      <w:pPr>
        <w:ind w:left="294" w:right="120"/>
        <w:spacing w:after="0" w:line="274" w:lineRule="auto"/>
        <w:rPr>
          <w:rFonts w:ascii="Arial" w:cs="Arial" w:eastAsia="Arial" w:hAnsi="Arial"/>
          <w:sz w:val="16"/>
          <w:szCs w:val="16"/>
          <w:color w:val="auto"/>
        </w:rPr>
      </w:pPr>
      <w:r>
        <w:rPr>
          <w:rFonts w:ascii="Arial" w:cs="Arial" w:eastAsia="Arial" w:hAnsi="Arial"/>
          <w:sz w:val="16"/>
          <w:szCs w:val="16"/>
          <w:color w:val="auto"/>
        </w:rPr>
        <w:t>Helm Bank is a community bank authorized to operate in the State of Florida, United States of America, by the Florida Office of Financial Regulation (“OFR”), regulated by the OFR, and is a member of the Federal Deposit Insurance Corporation (“FDIC”).</w:t>
      </w:r>
    </w:p>
    <w:p>
      <w:pPr>
        <w:spacing w:after="0" w:line="122" w:lineRule="exact"/>
        <w:rPr>
          <w:rFonts w:ascii="Arial" w:cs="Arial" w:eastAsia="Arial" w:hAnsi="Arial"/>
          <w:sz w:val="16"/>
          <w:szCs w:val="16"/>
          <w:color w:val="auto"/>
        </w:rPr>
      </w:pPr>
    </w:p>
    <w:p>
      <w:pPr>
        <w:jc w:val="both"/>
        <w:ind w:left="294" w:right="140"/>
        <w:spacing w:after="0" w:line="255" w:lineRule="auto"/>
        <w:rPr>
          <w:rFonts w:ascii="Arial" w:cs="Arial" w:eastAsia="Arial" w:hAnsi="Arial"/>
          <w:sz w:val="16"/>
          <w:szCs w:val="16"/>
          <w:color w:val="auto"/>
        </w:rPr>
      </w:pPr>
      <w:r>
        <w:rPr>
          <w:rFonts w:ascii="Arial" w:cs="Arial" w:eastAsia="Arial" w:hAnsi="Arial"/>
          <w:sz w:val="16"/>
          <w:szCs w:val="16"/>
          <w:color w:val="auto"/>
        </w:rPr>
        <w:t>The transaction is subject to obtaining the required regulatory approvals in the United States from the OFR and the Federal Reserve (“FED”), and in Peru from the Superintendencia de Banca, Seguros y AFP (“SBS”), as well as the fulfillment of other customary closing conditions. As of the date of this report, such approvals remain pending.</w:t>
      </w:r>
    </w:p>
    <w:p>
      <w:pPr>
        <w:spacing w:after="0" w:line="306" w:lineRule="exact"/>
        <w:rPr>
          <w:rFonts w:ascii="Arial" w:cs="Arial" w:eastAsia="Arial" w:hAnsi="Arial"/>
          <w:sz w:val="16"/>
          <w:szCs w:val="16"/>
          <w:color w:val="auto"/>
        </w:rPr>
      </w:pPr>
    </w:p>
    <w:p>
      <w:pPr>
        <w:ind w:left="5254" w:hanging="104"/>
        <w:spacing w:after="0"/>
        <w:tabs>
          <w:tab w:leader="none" w:pos="5254" w:val="left"/>
        </w:tabs>
        <w:numPr>
          <w:ilvl w:val="1"/>
          <w:numId w:val="6"/>
        </w:numPr>
        <w:rPr>
          <w:rFonts w:ascii="Arial" w:cs="Arial" w:eastAsia="Arial" w:hAnsi="Arial"/>
          <w:sz w:val="16"/>
          <w:szCs w:val="16"/>
          <w:color w:val="auto"/>
        </w:rPr>
      </w:pPr>
      <w:r>
        <w:rPr>
          <w:rFonts w:ascii="Arial" w:cs="Arial" w:eastAsia="Arial" w:hAnsi="Arial"/>
          <w:sz w:val="16"/>
          <w:szCs w:val="16"/>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39370</wp:posOffset>
            </wp:positionV>
            <wp:extent cx="714692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14"/>
          </w:cols>
          <w:pgMar w:left="606" w:top="316" w:right="379" w:bottom="1440" w:gutter="0" w:footer="0" w:header="0"/>
        </w:sectPr>
      </w:pPr>
    </w:p>
    <w:bookmarkStart w:id="27" w:name="page28"/>
    <w:bookmarkEnd w:id="27"/>
    <w:p>
      <w:pPr>
        <w:ind w:left="283" w:hanging="283"/>
        <w:spacing w:after="0"/>
        <w:tabs>
          <w:tab w:leader="none" w:pos="28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MATERIAL ACCOUNTING POLICIES</w:t>
      </w:r>
    </w:p>
    <w:p>
      <w:pPr>
        <w:spacing w:after="0" w:line="178"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material accounting policies used in the preparation of Credicorp’s consolidated financial statements are detailed below:</w:t>
      </w:r>
    </w:p>
    <w:p>
      <w:pPr>
        <w:spacing w:after="0" w:line="178" w:lineRule="exact"/>
        <w:rPr>
          <w:sz w:val="20"/>
          <w:szCs w:val="20"/>
          <w:color w:val="auto"/>
        </w:rPr>
      </w:pPr>
    </w:p>
    <w:p>
      <w:pPr>
        <w:ind w:left="623" w:hanging="334"/>
        <w:spacing w:after="0"/>
        <w:tabs>
          <w:tab w:leader="none" w:pos="623"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Basis of presentation, use of estimates and changes in accounting policies –</w:t>
      </w:r>
    </w:p>
    <w:p>
      <w:pPr>
        <w:spacing w:after="0" w:line="178" w:lineRule="exact"/>
        <w:rPr>
          <w:sz w:val="20"/>
          <w:szCs w:val="20"/>
          <w:color w:val="auto"/>
        </w:rPr>
      </w:pPr>
    </w:p>
    <w:p>
      <w:pPr>
        <w:ind w:left="283" w:right="80"/>
        <w:spacing w:after="0" w:line="274" w:lineRule="auto"/>
        <w:rPr>
          <w:sz w:val="20"/>
          <w:szCs w:val="20"/>
          <w:color w:val="auto"/>
        </w:rPr>
      </w:pPr>
      <w:r>
        <w:rPr>
          <w:rFonts w:ascii="Arial" w:cs="Arial" w:eastAsia="Arial" w:hAnsi="Arial"/>
          <w:sz w:val="16"/>
          <w:szCs w:val="16"/>
          <w:color w:val="auto"/>
        </w:rPr>
        <w:t>The accompanying consolidated financial statements have been prepared in accordance with IFRS Accounting Standards as issued by the International Accounting Standards Board (IASB).</w:t>
      </w:r>
    </w:p>
    <w:p>
      <w:pPr>
        <w:spacing w:after="0" w:line="123" w:lineRule="exact"/>
        <w:rPr>
          <w:sz w:val="20"/>
          <w:szCs w:val="20"/>
          <w:color w:val="auto"/>
        </w:rPr>
      </w:pPr>
    </w:p>
    <w:p>
      <w:pPr>
        <w:ind w:left="283" w:right="120"/>
        <w:spacing w:after="0" w:line="255" w:lineRule="auto"/>
        <w:rPr>
          <w:sz w:val="20"/>
          <w:szCs w:val="20"/>
          <w:color w:val="auto"/>
        </w:rPr>
      </w:pPr>
      <w:r>
        <w:rPr>
          <w:rFonts w:ascii="Arial" w:cs="Arial" w:eastAsia="Arial" w:hAnsi="Arial"/>
          <w:sz w:val="16"/>
          <w:szCs w:val="16"/>
          <w:color w:val="auto"/>
        </w:rPr>
        <w:t>The consolidated financial statements as of December 31, 2025, and 2024, have been prepared following the historical cost criteria, except for investments at fair value through profit or loss, investments at fair value through other comprehensive income, financial assets designated at fair value through profit or loss, derivative financial instruments, and financial liabilities at fair value through profit or loss, which have been measured at fair value.</w:t>
      </w:r>
    </w:p>
    <w:p>
      <w:pPr>
        <w:spacing w:after="0" w:line="137" w:lineRule="exact"/>
        <w:rPr>
          <w:sz w:val="20"/>
          <w:szCs w:val="20"/>
          <w:color w:val="auto"/>
        </w:rPr>
      </w:pPr>
    </w:p>
    <w:p>
      <w:pPr>
        <w:ind w:left="283" w:right="140"/>
        <w:spacing w:after="0" w:line="274" w:lineRule="auto"/>
        <w:rPr>
          <w:sz w:val="20"/>
          <w:szCs w:val="20"/>
          <w:color w:val="auto"/>
        </w:rPr>
      </w:pPr>
      <w:r>
        <w:rPr>
          <w:rFonts w:ascii="Arial" w:cs="Arial" w:eastAsia="Arial" w:hAnsi="Arial"/>
          <w:sz w:val="16"/>
          <w:szCs w:val="16"/>
          <w:color w:val="auto"/>
        </w:rPr>
        <w:t>The consolidated financial statements are presented in Soles (S/), which is the functional currency of Credicorp Ltd and subsidiaries, see paragraph (c) below, and values are rounded to thousands of soles, except when otherwise indicated.</w:t>
      </w:r>
    </w:p>
    <w:p>
      <w:pPr>
        <w:spacing w:after="0" w:line="123" w:lineRule="exact"/>
        <w:rPr>
          <w:sz w:val="20"/>
          <w:szCs w:val="20"/>
          <w:color w:val="auto"/>
        </w:rPr>
      </w:pPr>
    </w:p>
    <w:p>
      <w:pPr>
        <w:ind w:left="283" w:right="80"/>
        <w:spacing w:after="0" w:line="255" w:lineRule="auto"/>
        <w:rPr>
          <w:sz w:val="20"/>
          <w:szCs w:val="20"/>
          <w:color w:val="auto"/>
        </w:rPr>
      </w:pPr>
      <w:r>
        <w:rPr>
          <w:rFonts w:ascii="Arial" w:cs="Arial" w:eastAsia="Arial" w:hAnsi="Arial"/>
          <w:sz w:val="16"/>
          <w:szCs w:val="16"/>
          <w:color w:val="auto"/>
        </w:rPr>
        <w:t>The preparation of the consolidated financial statements in accordance with IFRS Accounting Standards requires Management to make estimates and use assumptions that affect the reported amounts of assets, liabilities, revenues and expenses, as well as the disclosure of significant events in notes to the consolidated financial statements.</w:t>
      </w:r>
    </w:p>
    <w:p>
      <w:pPr>
        <w:spacing w:after="0" w:line="137" w:lineRule="exact"/>
        <w:rPr>
          <w:sz w:val="20"/>
          <w:szCs w:val="20"/>
          <w:color w:val="auto"/>
        </w:rPr>
      </w:pPr>
    </w:p>
    <w:p>
      <w:pPr>
        <w:ind w:left="283" w:right="60"/>
        <w:spacing w:after="0" w:line="274"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w:t>
      </w:r>
    </w:p>
    <w:p>
      <w:pPr>
        <w:spacing w:after="0" w:line="123" w:lineRule="exact"/>
        <w:rPr>
          <w:sz w:val="20"/>
          <w:szCs w:val="20"/>
          <w:color w:val="auto"/>
        </w:rPr>
      </w:pPr>
    </w:p>
    <w:p>
      <w:pPr>
        <w:ind w:left="283"/>
        <w:spacing w:after="0" w:line="255" w:lineRule="auto"/>
        <w:rPr>
          <w:sz w:val="20"/>
          <w:szCs w:val="20"/>
          <w:color w:val="auto"/>
        </w:rPr>
      </w:pPr>
      <w:r>
        <w:rPr>
          <w:rFonts w:ascii="Arial" w:cs="Arial" w:eastAsia="Arial" w:hAnsi="Arial"/>
          <w:sz w:val="16"/>
          <w:szCs w:val="16"/>
          <w:color w:val="auto"/>
        </w:rPr>
        <w:t>The most significant estimates included in the consolidated financial statements relate to the calculation of the expected credit loss allowance for the loan portfolio, in accordance with IFRS 9; the uncertainty regarding income tax treatments, in accordance with IFRIC 23; and the estimation of the liability for life insurance contracts under the General Measurement Model, as established in IFRS 17.</w:t>
      </w:r>
    </w:p>
    <w:p>
      <w:pPr>
        <w:spacing w:after="0" w:line="137" w:lineRule="exact"/>
        <w:rPr>
          <w:sz w:val="20"/>
          <w:szCs w:val="20"/>
          <w:color w:val="auto"/>
        </w:rPr>
      </w:pPr>
    </w:p>
    <w:p>
      <w:pPr>
        <w:ind w:left="583" w:right="480"/>
        <w:spacing w:after="0" w:line="248" w:lineRule="auto"/>
        <w:rPr>
          <w:sz w:val="20"/>
          <w:szCs w:val="20"/>
          <w:color w:val="auto"/>
        </w:rPr>
      </w:pPr>
      <w:r>
        <w:rPr>
          <w:rFonts w:ascii="Arial" w:cs="Arial" w:eastAsia="Arial" w:hAnsi="Arial"/>
          <w:sz w:val="16"/>
          <w:szCs w:val="16"/>
          <w:color w:val="auto"/>
        </w:rPr>
        <w:t>Furthermore, other estimates exist, such as: valuation of investments, liabilities for incurred but not reported claims, useful life of intangibles, impairment of goodwill, of the allowance of the expected credit loss on investments at fair value through other comprehensive income and investments at amortized cost, the valuation of derivative financial instruments and deferred income tax. The accounting criteria used for these estimates are described below.</w:t>
      </w:r>
    </w:p>
    <w:p>
      <w:pPr>
        <w:spacing w:after="0" w:line="144" w:lineRule="exact"/>
        <w:rPr>
          <w:sz w:val="20"/>
          <w:szCs w:val="20"/>
          <w:color w:val="auto"/>
        </w:rPr>
      </w:pPr>
    </w:p>
    <w:p>
      <w:pPr>
        <w:ind w:left="583" w:right="320"/>
        <w:spacing w:after="0" w:line="274" w:lineRule="auto"/>
        <w:rPr>
          <w:sz w:val="20"/>
          <w:szCs w:val="20"/>
          <w:color w:val="auto"/>
        </w:rPr>
      </w:pPr>
      <w:r>
        <w:rPr>
          <w:rFonts w:ascii="Arial" w:cs="Arial" w:eastAsia="Arial" w:hAnsi="Arial"/>
          <w:sz w:val="16"/>
          <w:szCs w:val="16"/>
          <w:color w:val="auto"/>
        </w:rPr>
        <w:t>The Group has adopted the following standards and amendments for the first time for its annual period beginning on or after January 1, 2025, as described below:</w:t>
      </w:r>
    </w:p>
    <w:p>
      <w:pPr>
        <w:spacing w:after="0" w:line="123" w:lineRule="exact"/>
        <w:rPr>
          <w:sz w:val="20"/>
          <w:szCs w:val="20"/>
          <w:color w:val="auto"/>
        </w:rPr>
      </w:pPr>
    </w:p>
    <w:p>
      <w:pPr>
        <w:ind w:left="863" w:hanging="284"/>
        <w:spacing w:after="0"/>
        <w:tabs>
          <w:tab w:leader="none" w:pos="863" w:val="left"/>
        </w:tabs>
        <w:numPr>
          <w:ilvl w:val="0"/>
          <w:numId w:val="9"/>
        </w:numPr>
        <w:rPr>
          <w:rFonts w:ascii="Arial" w:cs="Arial" w:eastAsia="Arial" w:hAnsi="Arial"/>
          <w:sz w:val="16"/>
          <w:szCs w:val="16"/>
          <w:color w:val="auto"/>
        </w:rPr>
      </w:pPr>
      <w:r>
        <w:rPr>
          <w:rFonts w:ascii="Arial" w:cs="Arial" w:eastAsia="Arial" w:hAnsi="Arial"/>
          <w:sz w:val="16"/>
          <w:szCs w:val="16"/>
          <w:color w:val="auto"/>
        </w:rPr>
        <w:t>Amendments to IAS 21: Lack of Exchangeability</w:t>
      </w:r>
    </w:p>
    <w:p>
      <w:pPr>
        <w:spacing w:after="0" w:line="177" w:lineRule="exact"/>
        <w:rPr>
          <w:rFonts w:ascii="Arial" w:cs="Arial" w:eastAsia="Arial" w:hAnsi="Arial"/>
          <w:sz w:val="16"/>
          <w:szCs w:val="16"/>
          <w:color w:val="auto"/>
        </w:rPr>
      </w:pPr>
    </w:p>
    <w:p>
      <w:pPr>
        <w:ind w:left="863" w:right="200"/>
        <w:spacing w:after="0" w:line="248" w:lineRule="auto"/>
        <w:rPr>
          <w:rFonts w:ascii="Arial" w:cs="Arial" w:eastAsia="Arial" w:hAnsi="Arial"/>
          <w:sz w:val="16"/>
          <w:szCs w:val="16"/>
          <w:color w:val="auto"/>
        </w:rPr>
      </w:pPr>
      <w:r>
        <w:rPr>
          <w:rFonts w:ascii="Arial" w:cs="Arial" w:eastAsia="Arial" w:hAnsi="Arial"/>
          <w:sz w:val="16"/>
          <w:szCs w:val="16"/>
          <w:color w:val="auto"/>
        </w:rPr>
        <w:t>The amendments to IAS 21 “The Effects of Changes in Foreign Exchange Rates” specify how an entity should assess whether a currency is exchangeable and how it should determine a spot exchange rate when exchangeability does not exist. The amendments also require the disclosure of information that enables users of the financial statements to understand how the lack of exchangeability affects, or is expected to affect, the entity’s financial performance, financial position, and cash flows.</w:t>
      </w:r>
    </w:p>
    <w:p>
      <w:pPr>
        <w:spacing w:after="0" w:line="313" w:lineRule="exact"/>
        <w:rPr>
          <w:rFonts w:ascii="Arial" w:cs="Arial" w:eastAsia="Arial" w:hAnsi="Arial"/>
          <w:sz w:val="16"/>
          <w:szCs w:val="16"/>
          <w:color w:val="auto"/>
        </w:rPr>
      </w:pPr>
    </w:p>
    <w:p>
      <w:pPr>
        <w:ind w:left="5543" w:hanging="104"/>
        <w:spacing w:after="0"/>
        <w:tabs>
          <w:tab w:leader="none" w:pos="5543" w:val="left"/>
        </w:tabs>
        <w:numPr>
          <w:ilvl w:val="1"/>
          <w:numId w:val="9"/>
        </w:numPr>
        <w:rPr>
          <w:rFonts w:ascii="Arial" w:cs="Arial" w:eastAsia="Arial" w:hAnsi="Arial"/>
          <w:sz w:val="16"/>
          <w:szCs w:val="16"/>
          <w:color w:val="auto"/>
        </w:rPr>
      </w:pPr>
      <w:r>
        <w:rPr>
          <w:rFonts w:ascii="Arial" w:cs="Arial" w:eastAsia="Arial" w:hAnsi="Arial"/>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3"/>
          </w:cols>
          <w:pgMar w:left="317" w:top="292" w:right="419" w:bottom="1440" w:gutter="0" w:footer="0" w:header="0"/>
        </w:sectPr>
      </w:pPr>
    </w:p>
    <w:bookmarkStart w:id="28" w:name="page29"/>
    <w:bookmarkEnd w:id="28"/>
    <w:p>
      <w:pPr>
        <w:ind w:left="580" w:right="520"/>
        <w:spacing w:after="0" w:line="274" w:lineRule="auto"/>
        <w:rPr>
          <w:sz w:val="20"/>
          <w:szCs w:val="20"/>
          <w:color w:val="auto"/>
        </w:rPr>
      </w:pPr>
      <w:r>
        <w:rPr>
          <w:rFonts w:ascii="Arial" w:cs="Arial" w:eastAsia="Arial" w:hAnsi="Arial"/>
          <w:sz w:val="16"/>
          <w:szCs w:val="16"/>
          <w:color w:val="auto"/>
        </w:rPr>
        <w:t>Management has estimated the exchange rate for the Bolivian subsidiaries by applying the commission established by the regulator to the exchange rate. See Note 30.2(a)(ii).</w:t>
      </w:r>
    </w:p>
    <w:p>
      <w:pPr>
        <w:spacing w:after="0" w:line="123" w:lineRule="exact"/>
        <w:rPr>
          <w:sz w:val="20"/>
          <w:szCs w:val="20"/>
          <w:color w:val="auto"/>
        </w:rPr>
      </w:pPr>
    </w:p>
    <w:p>
      <w:pPr>
        <w:ind w:left="300" w:right="8660" w:hanging="294"/>
        <w:spacing w:after="0" w:line="472"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Basis of consolidation – Investment in subsidiaries -</w:t>
      </w:r>
    </w:p>
    <w:p>
      <w:pPr>
        <w:ind w:left="300"/>
        <w:spacing w:after="0"/>
        <w:rPr>
          <w:rFonts w:ascii="Arial" w:cs="Arial" w:eastAsia="Arial" w:hAnsi="Arial"/>
          <w:sz w:val="16"/>
          <w:szCs w:val="16"/>
          <w:color w:val="auto"/>
        </w:rPr>
      </w:pPr>
      <w:r>
        <w:rPr>
          <w:rFonts w:ascii="Arial" w:cs="Arial" w:eastAsia="Arial" w:hAnsi="Arial"/>
          <w:sz w:val="16"/>
          <w:szCs w:val="16"/>
          <w:color w:val="auto"/>
        </w:rPr>
        <w:t>The consolidated financial statements comprise the financial statements of Credicorp and its Subsidiaries for all the years presented.</w:t>
      </w:r>
    </w:p>
    <w:p>
      <w:pPr>
        <w:spacing w:after="0" w:line="177" w:lineRule="exact"/>
        <w:rPr>
          <w:rFonts w:ascii="Arial" w:cs="Arial" w:eastAsia="Arial" w:hAnsi="Arial"/>
          <w:sz w:val="16"/>
          <w:szCs w:val="16"/>
          <w:color w:val="auto"/>
        </w:rPr>
      </w:pPr>
    </w:p>
    <w:p>
      <w:pPr>
        <w:ind w:left="300" w:right="60"/>
        <w:spacing w:after="0" w:line="255" w:lineRule="auto"/>
        <w:rPr>
          <w:rFonts w:ascii="Arial" w:cs="Arial" w:eastAsia="Arial" w:hAnsi="Arial"/>
          <w:sz w:val="16"/>
          <w:szCs w:val="16"/>
          <w:color w:val="auto"/>
        </w:rPr>
      </w:pPr>
      <w:r>
        <w:rPr>
          <w:rFonts w:ascii="Arial" w:cs="Arial" w:eastAsia="Arial" w:hAnsi="Arial"/>
          <w:sz w:val="16"/>
          <w:szCs w:val="16"/>
          <w:color w:val="auto"/>
        </w:rPr>
        <w:t>In accordance with IFRS 10 “‘Consolidated Financial Statements”, all entities over which the Group has control are subsidiaries. Control is achieved when the Group is exposed, or has rights, to variable returns from its involvement with the investee and has the ability to affect those returns through its power over the investee. The Group controls an investee if, and only if, it has:</w:t>
      </w:r>
    </w:p>
    <w:p>
      <w:pPr>
        <w:spacing w:after="0" w:line="137" w:lineRule="exact"/>
        <w:rPr>
          <w:rFonts w:ascii="Arial" w:cs="Arial" w:eastAsia="Arial" w:hAnsi="Arial"/>
          <w:sz w:val="16"/>
          <w:szCs w:val="16"/>
          <w:color w:val="auto"/>
        </w:rPr>
      </w:pPr>
    </w:p>
    <w:p>
      <w:pPr>
        <w:ind w:left="580" w:hanging="284"/>
        <w:spacing w:after="0"/>
        <w:tabs>
          <w:tab w:leader="none" w:pos="5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Power over the investee (i.e., existing rights that give it the current ability to direct the relevant activities of the investee),</w:t>
      </w:r>
    </w:p>
    <w:p>
      <w:pPr>
        <w:spacing w:after="0" w:line="12" w:lineRule="exact"/>
        <w:rPr>
          <w:rFonts w:ascii="Arial" w:cs="Arial" w:eastAsia="Arial" w:hAnsi="Arial"/>
          <w:sz w:val="16"/>
          <w:szCs w:val="16"/>
          <w:color w:val="auto"/>
        </w:rPr>
      </w:pPr>
    </w:p>
    <w:p>
      <w:pPr>
        <w:ind w:left="580" w:hanging="284"/>
        <w:spacing w:after="0" w:line="236" w:lineRule="auto"/>
        <w:tabs>
          <w:tab w:leader="none" w:pos="5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Exposure, or rights, to variable returns from its involvement with the investee, and</w:t>
      </w:r>
    </w:p>
    <w:p>
      <w:pPr>
        <w:ind w:left="580" w:hanging="284"/>
        <w:spacing w:after="0"/>
        <w:tabs>
          <w:tab w:leader="none" w:pos="5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ability to use its power over the investee to affect its returns.</w:t>
      </w:r>
    </w:p>
    <w:p>
      <w:pPr>
        <w:spacing w:after="0" w:line="162" w:lineRule="exact"/>
        <w:rPr>
          <w:sz w:val="20"/>
          <w:szCs w:val="20"/>
          <w:color w:val="auto"/>
        </w:rPr>
      </w:pPr>
    </w:p>
    <w:p>
      <w:pPr>
        <w:ind w:left="300" w:right="200"/>
        <w:spacing w:after="0" w:line="255" w:lineRule="auto"/>
        <w:rPr>
          <w:sz w:val="20"/>
          <w:szCs w:val="20"/>
          <w:color w:val="auto"/>
        </w:rPr>
      </w:pPr>
      <w:r>
        <w:rPr>
          <w:rFonts w:ascii="Arial" w:cs="Arial" w:eastAsia="Arial" w:hAnsi="Arial"/>
          <w:sz w:val="16"/>
          <w:szCs w:val="16"/>
          <w:color w:val="auto"/>
        </w:rPr>
        <w:t>Generally, there is a presumption that a majority of voting rights results in control. To support this presumption and when the Group has less than a majority of the voting rights or similar rights of an investee, the Group considers all relevant facts and circumstances in assessing whether it has power over the investee, including:</w:t>
      </w:r>
    </w:p>
    <w:p>
      <w:pPr>
        <w:spacing w:after="0" w:line="137" w:lineRule="exact"/>
        <w:rPr>
          <w:sz w:val="20"/>
          <w:szCs w:val="20"/>
          <w:color w:val="auto"/>
        </w:rPr>
      </w:pP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contractual arrangement with the other holders of voting rights over the investee.</w:t>
      </w:r>
    </w:p>
    <w:p>
      <w:pPr>
        <w:spacing w:after="0" w:line="12" w:lineRule="exact"/>
        <w:rPr>
          <w:rFonts w:ascii="Arial" w:cs="Arial" w:eastAsia="Arial" w:hAnsi="Arial"/>
          <w:sz w:val="16"/>
          <w:szCs w:val="16"/>
          <w:color w:val="auto"/>
        </w:rPr>
      </w:pPr>
    </w:p>
    <w:p>
      <w:pPr>
        <w:ind w:left="580" w:hanging="284"/>
        <w:spacing w:after="0" w:line="236"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Rights arising from other contractual arrangements.</w:t>
      </w: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Group’s voting rights and potential voting rights.</w:t>
      </w:r>
    </w:p>
    <w:p>
      <w:pPr>
        <w:spacing w:after="0" w:line="162" w:lineRule="exact"/>
        <w:rPr>
          <w:sz w:val="20"/>
          <w:szCs w:val="20"/>
          <w:color w:val="auto"/>
        </w:rPr>
      </w:pPr>
    </w:p>
    <w:p>
      <w:pPr>
        <w:ind w:left="300" w:right="240"/>
        <w:spacing w:after="0" w:line="255" w:lineRule="auto"/>
        <w:rPr>
          <w:sz w:val="20"/>
          <w:szCs w:val="20"/>
          <w:color w:val="auto"/>
        </w:rPr>
      </w:pPr>
      <w:r>
        <w:rPr>
          <w:rFonts w:ascii="Arial" w:cs="Arial" w:eastAsia="Arial" w:hAnsi="Arial"/>
          <w:sz w:val="16"/>
          <w:szCs w:val="16"/>
          <w:color w:val="auto"/>
        </w:rPr>
        <w:t>The Group assesses whether or not it controls an investee if the facts and circumstances indicate that there are changes in any of the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137" w:lineRule="exact"/>
        <w:rPr>
          <w:sz w:val="20"/>
          <w:szCs w:val="20"/>
          <w:color w:val="auto"/>
        </w:rPr>
      </w:pPr>
    </w:p>
    <w:p>
      <w:pPr>
        <w:ind w:left="300" w:right="40"/>
        <w:spacing w:after="0" w:line="255" w:lineRule="auto"/>
        <w:rPr>
          <w:sz w:val="20"/>
          <w:szCs w:val="20"/>
          <w:color w:val="auto"/>
        </w:rPr>
      </w:pPr>
      <w:r>
        <w:rPr>
          <w:rFonts w:ascii="Arial" w:cs="Arial" w:eastAsia="Arial" w:hAnsi="Arial"/>
          <w:sz w:val="16"/>
          <w:szCs w:val="16"/>
          <w:color w:val="auto"/>
        </w:rPr>
        <w:t>The profit or loss for the period and each component of other comprehensive income are attributed to the owners of the parent and to non-controlling interests, even if this results in non-controlling interests having a negative balance. When necessary, adjustments are made to the financial statements of subsidiaries to align their accounting policies with those of the Group.</w:t>
      </w:r>
    </w:p>
    <w:p>
      <w:pPr>
        <w:spacing w:after="0" w:line="137" w:lineRule="exact"/>
        <w:rPr>
          <w:sz w:val="20"/>
          <w:szCs w:val="20"/>
          <w:color w:val="auto"/>
        </w:rPr>
      </w:pPr>
    </w:p>
    <w:p>
      <w:pPr>
        <w:ind w:left="300"/>
        <w:spacing w:after="0" w:line="255" w:lineRule="auto"/>
        <w:rPr>
          <w:sz w:val="20"/>
          <w:szCs w:val="20"/>
          <w:color w:val="auto"/>
        </w:rPr>
      </w:pPr>
      <w:r>
        <w:rPr>
          <w:rFonts w:ascii="Arial" w:cs="Arial" w:eastAsia="Arial" w:hAnsi="Arial"/>
          <w:sz w:val="16"/>
          <w:szCs w:val="16"/>
          <w:color w:val="auto"/>
        </w:rPr>
        <w:t>All assets and liabilities, equity, income, expenses, and cash flows relating to transactions between members of the Group are fully eliminated on consolidation. Assets held in custody or under management by the Group, such as investment funds, private pension funds (AFP Funds), and others, are not part of the Group’s consolidated financial statements (see Note 3(w)).</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Transactions with non-controlling interests -</w:t>
      </w:r>
    </w:p>
    <w:p>
      <w:pPr>
        <w:spacing w:after="0" w:line="178" w:lineRule="exact"/>
        <w:rPr>
          <w:sz w:val="20"/>
          <w:szCs w:val="20"/>
          <w:color w:val="auto"/>
        </w:rPr>
      </w:pPr>
    </w:p>
    <w:p>
      <w:pPr>
        <w:jc w:val="both"/>
        <w:ind w:left="300" w:right="260"/>
        <w:spacing w:after="0" w:line="255" w:lineRule="auto"/>
        <w:rPr>
          <w:sz w:val="20"/>
          <w:szCs w:val="20"/>
          <w:color w:val="auto"/>
        </w:rPr>
      </w:pPr>
      <w:r>
        <w:rPr>
          <w:rFonts w:ascii="Arial" w:cs="Arial" w:eastAsia="Arial" w:hAnsi="Arial"/>
          <w:sz w:val="16"/>
          <w:szCs w:val="16"/>
          <w:color w:val="auto"/>
        </w:rPr>
        <w:t>A change in the ownership interest of a subsidiary, without a loss of control, is accounted for as an equity transaction and any resulting difference between the price paid and the amount by [which] the non-controlling interests are adjusted is recognized directly in the consolidated statement of changes in equity.</w:t>
      </w:r>
    </w:p>
    <w:p>
      <w:pPr>
        <w:spacing w:after="0" w:line="137" w:lineRule="exact"/>
        <w:rPr>
          <w:sz w:val="20"/>
          <w:szCs w:val="20"/>
          <w:color w:val="auto"/>
        </w:rPr>
      </w:pPr>
    </w:p>
    <w:p>
      <w:pPr>
        <w:ind w:left="300"/>
        <w:spacing w:after="0" w:line="274" w:lineRule="auto"/>
        <w:rPr>
          <w:sz w:val="20"/>
          <w:szCs w:val="20"/>
          <w:color w:val="auto"/>
        </w:rPr>
      </w:pPr>
      <w:r>
        <w:rPr>
          <w:rFonts w:ascii="Arial" w:cs="Arial" w:eastAsia="Arial" w:hAnsi="Arial"/>
          <w:sz w:val="16"/>
          <w:szCs w:val="16"/>
          <w:color w:val="auto"/>
        </w:rPr>
        <w:t>The Group does not record any additional goodwill after the purchase of the non-controlling interest, nor does it recognize a gain or loss from the sale of the non-controlling interest.</w:t>
      </w:r>
    </w:p>
    <w:p>
      <w:pPr>
        <w:spacing w:after="0" w:line="29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00"/>
          </w:cols>
          <w:pgMar w:left="600" w:top="316" w:right="39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Loss of control -</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associates -</w:t>
      </w:r>
    </w:p>
    <w:p>
      <w:pPr>
        <w:spacing w:after="0" w:line="17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Group’s investments in its associates are initially recognized at cost and subsequently accounted for using the equity method. These investments are included in “Other assets” in the consolidated statement of financial position; the results arising from the application of the equity method are included in “Net gain on securities” in the consolidated statement of income.</w:t>
      </w:r>
    </w:p>
    <w:p>
      <w:pPr>
        <w:spacing w:after="0" w:line="30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20"/>
          </w:cols>
          <w:pgMar w:left="900" w:top="316" w:right="379" w:bottom="1440" w:gutter="0" w:footer="0" w:header="0"/>
        </w:sectPr>
      </w:pPr>
    </w:p>
    <w:bookmarkStart w:id="30" w:name="page31"/>
    <w:bookmarkEnd w:id="30"/>
    <w:p>
      <w:pPr>
        <w:ind w:left="3" w:right="580"/>
        <w:spacing w:after="0" w:line="255" w:lineRule="auto"/>
        <w:rPr>
          <w:sz w:val="20"/>
          <w:szCs w:val="20"/>
          <w:color w:val="auto"/>
        </w:rPr>
      </w:pPr>
      <w:r>
        <w:rPr>
          <w:rFonts w:ascii="Arial" w:cs="Arial" w:eastAsia="Arial" w:hAnsi="Arial"/>
          <w:sz w:val="16"/>
          <w:szCs w:val="16"/>
          <w:color w:val="auto"/>
        </w:rPr>
        <w:t>As of December 31, 2025 and 2024, the following entities comprise the Group (the individual or consolidated figures of their financial statements are presented in accordance with IFRS Accounting Standards and before eliminations for consolidation purposes, except for the elimination of Credicorp’s treasury shares and its related dividends):</w:t>
      </w:r>
    </w:p>
    <w:p>
      <w:pPr>
        <w:spacing w:after="0" w:line="142"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040" w:type="dxa"/>
            <w:vAlign w:val="bottom"/>
            <w:gridSpan w:val="3"/>
          </w:tcPr>
          <w:p>
            <w:pPr>
              <w:ind w:left="80"/>
              <w:spacing w:after="0"/>
              <w:rPr>
                <w:sz w:val="20"/>
                <w:szCs w:val="20"/>
                <w:color w:val="auto"/>
              </w:rPr>
            </w:pPr>
            <w:r>
              <w:rPr>
                <w:rFonts w:ascii="Arial" w:cs="Arial" w:eastAsia="Arial" w:hAnsi="Arial"/>
                <w:sz w:val="13"/>
                <w:szCs w:val="13"/>
                <w:b w:val="1"/>
                <w:bCs w:val="1"/>
                <w:color w:val="auto"/>
              </w:rPr>
              <w:t>Activity and</w:t>
            </w:r>
          </w:p>
        </w:tc>
        <w:tc>
          <w:tcPr>
            <w:tcW w:w="1360" w:type="dxa"/>
            <w:vAlign w:val="bottom"/>
            <w:gridSpan w:val="5"/>
          </w:tcPr>
          <w:p>
            <w:pPr>
              <w:spacing w:after="0"/>
              <w:rPr>
                <w:sz w:val="20"/>
                <w:szCs w:val="20"/>
                <w:color w:val="auto"/>
              </w:rPr>
            </w:pPr>
            <w:r>
              <w:rPr>
                <w:rFonts w:ascii="Arial" w:cs="Arial" w:eastAsia="Arial" w:hAnsi="Arial"/>
                <w:sz w:val="13"/>
                <w:szCs w:val="13"/>
                <w:b w:val="1"/>
                <w:bCs w:val="1"/>
                <w:color w:val="auto"/>
              </w:rPr>
              <w:t>Percentage of</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5"/>
        </w:trPr>
        <w:tc>
          <w:tcPr>
            <w:tcW w:w="1280" w:type="dxa"/>
            <w:vAlign w:val="bottom"/>
          </w:tcPr>
          <w:p>
            <w:pPr>
              <w:spacing w:after="0"/>
              <w:rPr>
                <w:sz w:val="12"/>
                <w:szCs w:val="12"/>
                <w:color w:val="auto"/>
              </w:rPr>
            </w:pPr>
          </w:p>
        </w:tc>
        <w:tc>
          <w:tcPr>
            <w:tcW w:w="104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country of</w:t>
            </w:r>
          </w:p>
        </w:tc>
        <w:tc>
          <w:tcPr>
            <w:tcW w:w="1360" w:type="dxa"/>
            <w:vAlign w:val="bottom"/>
            <w:gridSpan w:val="5"/>
          </w:tcPr>
          <w:p>
            <w:pPr>
              <w:spacing w:after="0" w:line="145" w:lineRule="exact"/>
              <w:rPr>
                <w:sz w:val="20"/>
                <w:szCs w:val="20"/>
                <w:color w:val="auto"/>
              </w:rPr>
            </w:pPr>
            <w:r>
              <w:rPr>
                <w:rFonts w:ascii="Arial" w:cs="Arial" w:eastAsia="Arial" w:hAnsi="Arial"/>
                <w:sz w:val="13"/>
                <w:szCs w:val="13"/>
                <w:b w:val="1"/>
                <w:bCs w:val="1"/>
                <w:color w:val="auto"/>
              </w:rPr>
              <w:t>interest (direct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280" w:type="dxa"/>
            <w:vAlign w:val="bottom"/>
          </w:tcPr>
          <w:p>
            <w:pPr>
              <w:spacing w:after="0"/>
              <w:rPr>
                <w:sz w:val="20"/>
                <w:szCs w:val="20"/>
                <w:color w:val="auto"/>
              </w:rPr>
            </w:pPr>
            <w:r>
              <w:rPr>
                <w:rFonts w:ascii="Arial" w:cs="Arial" w:eastAsia="Arial" w:hAnsi="Arial"/>
                <w:sz w:val="13"/>
                <w:szCs w:val="13"/>
                <w:b w:val="1"/>
                <w:bCs w:val="1"/>
                <w:color w:val="auto"/>
              </w:rPr>
              <w:t>Entity</w:t>
            </w:r>
          </w:p>
        </w:tc>
        <w:tc>
          <w:tcPr>
            <w:tcW w:w="104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incorporation</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indirect)</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w w:val="95"/>
              </w:rPr>
              <w:t>Net profit (loss)</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1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2025</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2"/>
                <w:szCs w:val="12"/>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2025</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2"/>
                <w:szCs w:val="12"/>
                <w:color w:val="auto"/>
              </w:rPr>
            </w:pPr>
          </w:p>
        </w:tc>
      </w:tr>
      <w:tr>
        <w:trPr>
          <w:trHeight w:val="168"/>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3"/>
                <w:szCs w:val="13"/>
                <w:color w:val="auto"/>
              </w:rPr>
              <w:t>Grupo Crédito S.A.</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and Subsidiaries (i)</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Holding, Peru</w:t>
            </w:r>
          </w:p>
        </w:tc>
        <w:tc>
          <w:tcPr>
            <w:tcW w:w="6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100.00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w w:val="96"/>
              </w:rPr>
              <w:t>241,448,365</w:t>
            </w: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w w:val="96"/>
              </w:rPr>
              <w:t>231,724,646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w w:val="99"/>
              </w:rPr>
              <w:t>203,624,697</w:t>
            </w: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197,418,592</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37,823,668</w:t>
            </w:r>
          </w:p>
        </w:tc>
        <w:tc>
          <w:tcPr>
            <w:tcW w:w="100" w:type="dxa"/>
            <w:vAlign w:val="bottom"/>
          </w:tcPr>
          <w:p>
            <w:pPr>
              <w:spacing w:after="0"/>
              <w:rPr>
                <w:sz w:val="12"/>
                <w:szCs w:val="12"/>
                <w:color w:val="auto"/>
              </w:rPr>
            </w:pPr>
          </w:p>
        </w:tc>
        <w:tc>
          <w:tcPr>
            <w:tcW w:w="94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34,306,054</w:t>
            </w:r>
          </w:p>
        </w:tc>
        <w:tc>
          <w:tcPr>
            <w:tcW w:w="76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w w:val="96"/>
              </w:rPr>
              <w:t>6,475,332</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w w:val="96"/>
              </w:rPr>
              <w:t>5,179,505</w:t>
            </w: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6"/>
              </w:rPr>
              <w:t>4,562,831</w:t>
            </w: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Pacífico Compañía</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de Seguros y</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Reaseguros S.A</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Insurance,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and Subsidiaries (ii)</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Peru</w:t>
            </w:r>
          </w:p>
        </w:tc>
        <w:tc>
          <w:tcPr>
            <w:tcW w:w="6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98.86</w:t>
            </w:r>
          </w:p>
        </w:tc>
        <w:tc>
          <w:tcPr>
            <w:tcW w:w="76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98.86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20,619,872</w:t>
            </w: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17,890,138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16,309,989</w:t>
            </w: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14,504,765</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4,309,883</w:t>
            </w:r>
          </w:p>
        </w:tc>
        <w:tc>
          <w:tcPr>
            <w:tcW w:w="100" w:type="dxa"/>
            <w:vAlign w:val="bottom"/>
          </w:tcPr>
          <w:p>
            <w:pPr>
              <w:spacing w:after="0"/>
              <w:rPr>
                <w:sz w:val="12"/>
                <w:szCs w:val="12"/>
                <w:color w:val="auto"/>
              </w:rPr>
            </w:pP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3,385,373</w:t>
            </w:r>
          </w:p>
        </w:tc>
        <w:tc>
          <w:tcPr>
            <w:tcW w:w="200" w:type="dxa"/>
            <w:vAlign w:val="bottom"/>
          </w:tcPr>
          <w:p>
            <w:pPr>
              <w:spacing w:after="0"/>
              <w:rPr>
                <w:sz w:val="12"/>
                <w:szCs w:val="12"/>
                <w:color w:val="auto"/>
              </w:rPr>
            </w:pPr>
          </w:p>
        </w:tc>
        <w:tc>
          <w:tcPr>
            <w:tcW w:w="76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784,502</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765,767</w:t>
            </w: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803,384</w:t>
            </w: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Atlantic Security</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Capital</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Holding Corporation</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Markets,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and</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Cayman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Subsidiaries (iii)</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Islands</w:t>
            </w:r>
          </w:p>
        </w:tc>
        <w:tc>
          <w:tcPr>
            <w:tcW w:w="6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100.00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5,390,195</w:t>
            </w: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6,014,937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4,040,240</w:t>
            </w: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5,026,510</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1,349,955</w:t>
            </w:r>
          </w:p>
        </w:tc>
        <w:tc>
          <w:tcPr>
            <w:tcW w:w="100" w:type="dxa"/>
            <w:vAlign w:val="bottom"/>
          </w:tcPr>
          <w:p>
            <w:pPr>
              <w:spacing w:after="0"/>
              <w:rPr>
                <w:sz w:val="12"/>
                <w:szCs w:val="12"/>
                <w:color w:val="auto"/>
              </w:rPr>
            </w:pPr>
          </w:p>
        </w:tc>
        <w:tc>
          <w:tcPr>
            <w:tcW w:w="94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988,427</w:t>
            </w:r>
          </w:p>
        </w:tc>
        <w:tc>
          <w:tcPr>
            <w:tcW w:w="76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737,562</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569,689</w:t>
            </w: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474,780</w:t>
            </w:r>
          </w:p>
        </w:tc>
      </w:tr>
      <w:tr>
        <w:trPr>
          <w:trHeight w:val="145"/>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Capital</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Markets and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Credicorp Capital</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asset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Ltd. and Subsidiaries</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management,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ind w:left="40"/>
              <w:spacing w:after="0" w:line="145" w:lineRule="exact"/>
              <w:rPr>
                <w:sz w:val="20"/>
                <w:szCs w:val="20"/>
                <w:color w:val="auto"/>
              </w:rPr>
            </w:pPr>
            <w:r>
              <w:rPr>
                <w:rFonts w:ascii="Arial" w:cs="Arial" w:eastAsia="Arial" w:hAnsi="Arial"/>
                <w:sz w:val="13"/>
                <w:szCs w:val="13"/>
                <w:color w:val="auto"/>
              </w:rPr>
              <w:t>(iv)</w:t>
            </w: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Bermudas</w:t>
            </w:r>
          </w:p>
        </w:tc>
        <w:tc>
          <w:tcPr>
            <w:tcW w:w="6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100.00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6,707,397</w:t>
            </w: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5,235,733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5,395,856</w:t>
            </w: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4,070,432</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1,311,541</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1,165,301</w:t>
            </w:r>
          </w:p>
        </w:tc>
        <w:tc>
          <w:tcPr>
            <w:tcW w:w="200" w:type="dxa"/>
            <w:vAlign w:val="bottom"/>
          </w:tcPr>
          <w:p>
            <w:pPr>
              <w:spacing w:after="0"/>
              <w:rPr>
                <w:sz w:val="12"/>
                <w:szCs w:val="12"/>
                <w:color w:val="auto"/>
              </w:rPr>
            </w:pPr>
          </w:p>
        </w:tc>
        <w:tc>
          <w:tcPr>
            <w:tcW w:w="76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100,479</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58,501</w:t>
            </w:r>
          </w:p>
        </w:tc>
        <w:tc>
          <w:tcPr>
            <w:tcW w:w="6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(135,495)</w:t>
            </w:r>
          </w:p>
        </w:tc>
      </w:tr>
      <w:tr>
        <w:trPr>
          <w:trHeight w:val="145"/>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Special</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purpose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Entity,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8"/>
        </w:trPr>
        <w:tc>
          <w:tcPr>
            <w:tcW w:w="1280" w:type="dxa"/>
            <w:vAlign w:val="bottom"/>
          </w:tcPr>
          <w:p>
            <w:pPr>
              <w:ind w:left="40"/>
              <w:spacing w:after="0"/>
              <w:rPr>
                <w:sz w:val="20"/>
                <w:szCs w:val="20"/>
                <w:color w:val="auto"/>
              </w:rPr>
            </w:pPr>
            <w:r>
              <w:rPr>
                <w:rFonts w:ascii="Arial" w:cs="Arial" w:eastAsia="Arial" w:hAnsi="Arial"/>
                <w:sz w:val="13"/>
                <w:szCs w:val="13"/>
                <w:color w:val="auto"/>
              </w:rPr>
              <w:t>CCR Inc.(v)</w:t>
            </w:r>
          </w:p>
        </w:tc>
        <w:tc>
          <w:tcPr>
            <w:tcW w:w="8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Bahamas</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100.00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202</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260</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4</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201</w:t>
            </w: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256</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(55)</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(22)</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(106)</w:t>
            </w:r>
          </w:p>
        </w:tc>
      </w:tr>
    </w:tbl>
    <w:p>
      <w:pPr>
        <w:spacing w:after="0" w:line="136" w:lineRule="exact"/>
        <w:rPr>
          <w:sz w:val="20"/>
          <w:szCs w:val="20"/>
          <w:color w:val="auto"/>
        </w:rPr>
      </w:pPr>
    </w:p>
    <w:p>
      <w:pPr>
        <w:jc w:val="both"/>
        <w:ind w:left="283" w:hanging="283"/>
        <w:spacing w:after="0" w:line="255" w:lineRule="auto"/>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Grupo Crédito is a company whose main activities are to carry out management and administration activities of the Credicorp Group's subsidiaries and invest in shares listed on the Peruvian Stock Exchange and unlisted shares of Peruvian companies. we present the individual or consolidated figures of their financial statements are presented in accordance with IFRS Accounting Standards and before eliminations for consolidation purposes:</w:t>
      </w:r>
    </w:p>
    <w:p>
      <w:pPr>
        <w:spacing w:after="0" w:line="142" w:lineRule="exact"/>
        <w:rPr>
          <w:sz w:val="20"/>
          <w:szCs w:val="20"/>
          <w:color w:val="auto"/>
        </w:rPr>
      </w:pPr>
    </w:p>
    <w:tbl>
      <w:tblPr>
        <w:tblLayout w:type="fixed"/>
        <w:tblInd w:w="283"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3"/>
                <w:szCs w:val="13"/>
                <w:b w:val="1"/>
                <w:bCs w:val="1"/>
                <w:color w:val="auto"/>
              </w:rPr>
              <w:t>Activity and</w:t>
            </w:r>
          </w:p>
        </w:tc>
        <w:tc>
          <w:tcPr>
            <w:tcW w:w="1320" w:type="dxa"/>
            <w:vAlign w:val="bottom"/>
            <w:gridSpan w:val="5"/>
          </w:tcPr>
          <w:p>
            <w:pPr>
              <w:ind w:left="80"/>
              <w:spacing w:after="0"/>
              <w:rPr>
                <w:sz w:val="20"/>
                <w:szCs w:val="20"/>
                <w:color w:val="auto"/>
              </w:rPr>
            </w:pPr>
            <w:r>
              <w:rPr>
                <w:rFonts w:ascii="Arial" w:cs="Arial" w:eastAsia="Arial" w:hAnsi="Arial"/>
                <w:sz w:val="13"/>
                <w:szCs w:val="13"/>
                <w:b w:val="1"/>
                <w:bCs w:val="1"/>
                <w:color w:val="auto"/>
              </w:rPr>
              <w:t>Percentage of</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line="145" w:lineRule="exact"/>
              <w:rPr>
                <w:sz w:val="20"/>
                <w:szCs w:val="20"/>
                <w:color w:val="auto"/>
              </w:rPr>
            </w:pPr>
            <w:r>
              <w:rPr>
                <w:rFonts w:ascii="Arial" w:cs="Arial" w:eastAsia="Arial" w:hAnsi="Arial"/>
                <w:sz w:val="13"/>
                <w:szCs w:val="13"/>
                <w:b w:val="1"/>
                <w:bCs w:val="1"/>
                <w:color w:val="auto"/>
              </w:rPr>
              <w:t>country of</w:t>
            </w:r>
          </w:p>
        </w:tc>
        <w:tc>
          <w:tcPr>
            <w:tcW w:w="1320" w:type="dxa"/>
            <w:vAlign w:val="bottom"/>
            <w:gridSpan w:val="5"/>
          </w:tcPr>
          <w:p>
            <w:pPr>
              <w:ind w:left="80"/>
              <w:spacing w:after="0" w:line="145" w:lineRule="exact"/>
              <w:rPr>
                <w:sz w:val="20"/>
                <w:szCs w:val="20"/>
                <w:color w:val="auto"/>
              </w:rPr>
            </w:pPr>
            <w:r>
              <w:rPr>
                <w:rFonts w:ascii="Arial" w:cs="Arial" w:eastAsia="Arial" w:hAnsi="Arial"/>
                <w:sz w:val="13"/>
                <w:szCs w:val="13"/>
                <w:b w:val="1"/>
                <w:bCs w:val="1"/>
                <w:color w:val="auto"/>
              </w:rPr>
              <w:t>interest (direct and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Entity</w:t>
            </w: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incorporation</w:t>
            </w:r>
          </w:p>
        </w:tc>
        <w:tc>
          <w:tcPr>
            <w:tcW w:w="80" w:type="dxa"/>
            <w:vAlign w:val="bottom"/>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indirect)</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Assets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w w:val="96"/>
              </w:rPr>
              <w:t>Liabilities</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Equity</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Net profit (loss)</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2"/>
                <w:szCs w:val="12"/>
                <w:color w:val="auto"/>
              </w:rPr>
            </w:pPr>
          </w:p>
        </w:tc>
        <w:tc>
          <w:tcPr>
            <w:tcW w:w="66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Banco de Crédito</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del Perú and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Subsidiaries (a)</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w w:val="97"/>
              </w:rPr>
              <w:t>Banking, Peru</w:t>
            </w:r>
          </w:p>
        </w:tc>
        <w:tc>
          <w:tcPr>
            <w:tcW w:w="7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97.74</w:t>
            </w: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97.74</w:t>
            </w:r>
          </w:p>
        </w:tc>
        <w:tc>
          <w:tcPr>
            <w:tcW w:w="9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219,933,373</w:t>
            </w:r>
          </w:p>
        </w:tc>
        <w:tc>
          <w:tcPr>
            <w:tcW w:w="8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211,086,260</w:t>
            </w: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191,487,370</w:t>
            </w: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w w:val="96"/>
              </w:rPr>
              <w:t>184,934,666</w:t>
            </w:r>
          </w:p>
        </w:tc>
        <w:tc>
          <w:tcPr>
            <w:tcW w:w="90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28,446,003</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w w:val="98"/>
              </w:rPr>
              <w:t>26,151,594</w:t>
            </w:r>
          </w:p>
        </w:tc>
        <w:tc>
          <w:tcPr>
            <w:tcW w:w="58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93"/>
              </w:rPr>
              <w:t>6,500,570</w:t>
            </w:r>
          </w:p>
        </w:tc>
        <w:tc>
          <w:tcPr>
            <w:tcW w:w="12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5,311,804</w:t>
            </w:r>
          </w:p>
        </w:tc>
        <w:tc>
          <w:tcPr>
            <w:tcW w:w="18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6"/>
              </w:rPr>
              <w:t>4,583,662</w:t>
            </w: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Inversiones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Credicorp Bolivia</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S.A. and</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Banking,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Subsidiaries (b)</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Bolivia</w:t>
            </w:r>
          </w:p>
        </w:tc>
        <w:tc>
          <w:tcPr>
            <w:tcW w:w="7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99.92</w:t>
            </w: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99.96</w:t>
            </w:r>
          </w:p>
        </w:tc>
        <w:tc>
          <w:tcPr>
            <w:tcW w:w="9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10,910,443</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14,028,528</w:t>
            </w:r>
          </w:p>
        </w:tc>
        <w:tc>
          <w:tcPr>
            <w:tcW w:w="80" w:type="dxa"/>
            <w:vAlign w:val="bottom"/>
          </w:tcPr>
          <w:p>
            <w:pPr>
              <w:spacing w:after="0"/>
              <w:rPr>
                <w:sz w:val="12"/>
                <w:szCs w:val="12"/>
                <w:color w:val="auto"/>
              </w:rPr>
            </w:pP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10,144,528</w:t>
            </w: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13,106,538</w:t>
            </w:r>
          </w:p>
        </w:tc>
        <w:tc>
          <w:tcPr>
            <w:tcW w:w="90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765,915</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921,990</w:t>
            </w:r>
          </w:p>
        </w:tc>
        <w:tc>
          <w:tcPr>
            <w:tcW w:w="70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85,379</w:t>
            </w:r>
          </w:p>
        </w:tc>
        <w:tc>
          <w:tcPr>
            <w:tcW w:w="82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92,781</w:t>
            </w: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84,898</w:t>
            </w: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Private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pension fund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administrator,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Prima AFP (c)</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Peru</w:t>
            </w:r>
          </w:p>
        </w:tc>
        <w:tc>
          <w:tcPr>
            <w:tcW w:w="7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100.00</w:t>
            </w: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9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684,509</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657,971</w:t>
            </w:r>
          </w:p>
        </w:tc>
        <w:tc>
          <w:tcPr>
            <w:tcW w:w="80" w:type="dxa"/>
            <w:vAlign w:val="bottom"/>
          </w:tcPr>
          <w:p>
            <w:pPr>
              <w:spacing w:after="0"/>
              <w:rPr>
                <w:sz w:val="12"/>
                <w:szCs w:val="12"/>
                <w:color w:val="auto"/>
              </w:rPr>
            </w:pP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231,235</w:t>
            </w: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182,419</w:t>
            </w:r>
          </w:p>
        </w:tc>
        <w:tc>
          <w:tcPr>
            <w:tcW w:w="90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453,274</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475,552</w:t>
            </w:r>
          </w:p>
        </w:tc>
        <w:tc>
          <w:tcPr>
            <w:tcW w:w="70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146,543</w:t>
            </w: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132,926</w:t>
            </w:r>
          </w:p>
        </w:tc>
        <w:tc>
          <w:tcPr>
            <w:tcW w:w="18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149,549</w:t>
            </w: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Tenpo SpA and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Subsidiaries (d)</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w w:val="98"/>
              </w:rPr>
              <w:t>Holding, Chile</w:t>
            </w:r>
          </w:p>
        </w:tc>
        <w:tc>
          <w:tcPr>
            <w:tcW w:w="7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100.00</w:t>
            </w: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9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2,063,256</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903,698</w:t>
            </w:r>
          </w:p>
        </w:tc>
        <w:tc>
          <w:tcPr>
            <w:tcW w:w="80" w:type="dxa"/>
            <w:vAlign w:val="bottom"/>
          </w:tcPr>
          <w:p>
            <w:pPr>
              <w:spacing w:after="0"/>
              <w:rPr>
                <w:sz w:val="12"/>
                <w:szCs w:val="12"/>
                <w:color w:val="auto"/>
              </w:rPr>
            </w:pP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1,708,824</w:t>
            </w: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646,952</w:t>
            </w:r>
          </w:p>
        </w:tc>
        <w:tc>
          <w:tcPr>
            <w:tcW w:w="90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354,432</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256,746</w:t>
            </w:r>
          </w:p>
        </w:tc>
        <w:tc>
          <w:tcPr>
            <w:tcW w:w="7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(148,391)</w:t>
            </w:r>
          </w:p>
        </w:tc>
        <w:tc>
          <w:tcPr>
            <w:tcW w:w="82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(118,344)</w:t>
            </w:r>
          </w:p>
        </w:tc>
        <w:tc>
          <w:tcPr>
            <w:tcW w:w="6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(111,692)</w:t>
            </w: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Digital</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w w:val="98"/>
              </w:rPr>
              <w:t>platform for 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Yape Market (e)</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commerce</w:t>
            </w:r>
          </w:p>
        </w:tc>
        <w:tc>
          <w:tcPr>
            <w:tcW w:w="7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100.00</w:t>
            </w: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9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149,960</w:t>
            </w:r>
          </w:p>
        </w:tc>
        <w:tc>
          <w:tcPr>
            <w:tcW w:w="8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119,137</w:t>
            </w: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69,283</w:t>
            </w: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60,567</w:t>
            </w:r>
          </w:p>
        </w:tc>
        <w:tc>
          <w:tcPr>
            <w:tcW w:w="90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80,677</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58,570</w:t>
            </w:r>
          </w:p>
        </w:tc>
        <w:tc>
          <w:tcPr>
            <w:tcW w:w="7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(7,993)</w:t>
            </w:r>
          </w:p>
        </w:tc>
        <w:tc>
          <w:tcPr>
            <w:tcW w:w="82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(35,190)</w:t>
            </w:r>
          </w:p>
        </w:tc>
        <w:tc>
          <w:tcPr>
            <w:tcW w:w="6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(8,345)</w:t>
            </w: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Management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and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development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of digital</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businesses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Krealo Management</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and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(f)</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innovation</w:t>
            </w:r>
          </w:p>
        </w:tc>
        <w:tc>
          <w:tcPr>
            <w:tcW w:w="7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99.99</w:t>
            </w: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99.99</w:t>
            </w:r>
          </w:p>
        </w:tc>
        <w:tc>
          <w:tcPr>
            <w:tcW w:w="9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89,338</w:t>
            </w:r>
          </w:p>
        </w:tc>
        <w:tc>
          <w:tcPr>
            <w:tcW w:w="8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54,414</w:t>
            </w: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51,766</w:t>
            </w: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7,175</w:t>
            </w:r>
          </w:p>
        </w:tc>
        <w:tc>
          <w:tcPr>
            <w:tcW w:w="90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37,572</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47,239</w:t>
            </w:r>
          </w:p>
        </w:tc>
        <w:tc>
          <w:tcPr>
            <w:tcW w:w="7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(72,029)</w:t>
            </w:r>
          </w:p>
        </w:tc>
        <w:tc>
          <w:tcPr>
            <w:tcW w:w="82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(55,679)</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Compañía</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Incubadora de</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Payment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Soluciones Móviles</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Processing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S.A - Culqi (g)</w:t>
            </w:r>
          </w:p>
        </w:tc>
        <w:tc>
          <w:tcPr>
            <w:tcW w:w="860" w:type="dxa"/>
            <w:vAlign w:val="bottom"/>
          </w:tcPr>
          <w:p>
            <w:pPr>
              <w:ind w:left="40"/>
              <w:spacing w:after="0" w:line="145" w:lineRule="exact"/>
              <w:rPr>
                <w:sz w:val="20"/>
                <w:szCs w:val="20"/>
                <w:color w:val="auto"/>
              </w:rPr>
            </w:pPr>
            <w:r>
              <w:rPr>
                <w:rFonts w:ascii="Arial" w:cs="Arial" w:eastAsia="Arial" w:hAnsi="Arial"/>
                <w:sz w:val="13"/>
                <w:szCs w:val="13"/>
                <w:color w:val="auto"/>
              </w:rPr>
              <w:t>Services</w:t>
            </w:r>
          </w:p>
        </w:tc>
        <w:tc>
          <w:tcPr>
            <w:tcW w:w="7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100.00</w:t>
            </w: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9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225,546</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200,890</w:t>
            </w:r>
          </w:p>
        </w:tc>
        <w:tc>
          <w:tcPr>
            <w:tcW w:w="80" w:type="dxa"/>
            <w:vAlign w:val="bottom"/>
          </w:tcPr>
          <w:p>
            <w:pPr>
              <w:spacing w:after="0"/>
              <w:rPr>
                <w:sz w:val="12"/>
                <w:szCs w:val="12"/>
                <w:color w:val="auto"/>
              </w:rPr>
            </w:pP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171,339</w:t>
            </w: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134,725</w:t>
            </w:r>
          </w:p>
        </w:tc>
        <w:tc>
          <w:tcPr>
            <w:tcW w:w="90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54,207</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66,165</w:t>
            </w:r>
          </w:p>
        </w:tc>
        <w:tc>
          <w:tcPr>
            <w:tcW w:w="7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(62,458)</w:t>
            </w:r>
          </w:p>
        </w:tc>
        <w:tc>
          <w:tcPr>
            <w:tcW w:w="82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(90,040)</w:t>
            </w:r>
          </w:p>
        </w:tc>
        <w:tc>
          <w:tcPr>
            <w:tcW w:w="6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(89,075)</w:t>
            </w:r>
          </w:p>
        </w:tc>
        <w:tc>
          <w:tcPr>
            <w:tcW w:w="0" w:type="dxa"/>
            <w:vAlign w:val="bottom"/>
          </w:tcPr>
          <w:p>
            <w:pPr>
              <w:spacing w:after="0"/>
              <w:rPr>
                <w:sz w:val="1"/>
                <w:szCs w:val="1"/>
                <w:color w:val="auto"/>
              </w:rPr>
            </w:pPr>
          </w:p>
        </w:tc>
      </w:tr>
      <w:tr>
        <w:trPr>
          <w:trHeight w:val="145"/>
        </w:trPr>
        <w:tc>
          <w:tcPr>
            <w:tcW w:w="13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Other minors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Subsidiaries (h)</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3,054</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2,715</w:t>
            </w: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1,105</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570</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1,949</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2,145</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(836)</w:t>
            </w: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(1,194)</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316" w:right="339" w:bottom="1440" w:gutter="0" w:footer="0" w:header="0"/>
        </w:sectPr>
      </w:pPr>
    </w:p>
    <w:bookmarkStart w:id="31" w:name="page32"/>
    <w:bookmarkEnd w:id="31"/>
    <w:p>
      <w:pPr>
        <w:ind w:left="583" w:hanging="294"/>
        <w:spacing w:after="0" w:line="274" w:lineRule="auto"/>
        <w:tabs>
          <w:tab w:leader="none" w:pos="5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BCP was established in 1889 and its activities are regulated by the Superintendency of Banks, Insurance and Pension Funds -Perú (the authority that regulates banking, insurance and pension funds activities in Perú, hereinafter “the SBS").</w:t>
      </w:r>
    </w:p>
    <w:p>
      <w:pPr>
        <w:spacing w:after="0" w:line="122" w:lineRule="exact"/>
        <w:rPr>
          <w:rFonts w:ascii="Arial" w:cs="Arial" w:eastAsia="Arial" w:hAnsi="Arial"/>
          <w:sz w:val="16"/>
          <w:szCs w:val="16"/>
          <w:color w:val="auto"/>
        </w:rPr>
      </w:pPr>
    </w:p>
    <w:p>
      <w:pPr>
        <w:ind w:left="583" w:right="40"/>
        <w:spacing w:after="0" w:line="248" w:lineRule="auto"/>
        <w:rPr>
          <w:rFonts w:ascii="Arial" w:cs="Arial" w:eastAsia="Arial" w:hAnsi="Arial"/>
          <w:sz w:val="16"/>
          <w:szCs w:val="16"/>
          <w:color w:val="auto"/>
        </w:rPr>
      </w:pPr>
      <w:r>
        <w:rPr>
          <w:rFonts w:ascii="Arial" w:cs="Arial" w:eastAsia="Arial" w:hAnsi="Arial"/>
          <w:sz w:val="16"/>
          <w:szCs w:val="16"/>
          <w:color w:val="auto"/>
        </w:rPr>
        <w:t>Its main Subsidiary is Mibanco, Banco de la Microempresa S.A. (hereinafter “Mibanco”), a banking entity in Perú oriented towards the micro and small business sector. As of December 31, 2025, the assets, liabilities, equity and net result of Mibanco amount to approximately S/18,372.4 million, S/15,570.4 million, S/2,802.0 million and S/455.3 million, respectively (S/16,947.3 million, S/14,279.3 million, S/2,668.0 million and S/309.1 million, respectively December 31, 2024).</w:t>
      </w:r>
    </w:p>
    <w:p>
      <w:pPr>
        <w:spacing w:after="0" w:line="144" w:lineRule="exact"/>
        <w:rPr>
          <w:rFonts w:ascii="Arial" w:cs="Arial" w:eastAsia="Arial" w:hAnsi="Arial"/>
          <w:sz w:val="16"/>
          <w:szCs w:val="16"/>
          <w:color w:val="auto"/>
        </w:rPr>
      </w:pPr>
    </w:p>
    <w:p>
      <w:pPr>
        <w:ind w:left="583" w:right="80" w:hanging="294"/>
        <w:spacing w:after="0" w:line="248" w:lineRule="auto"/>
        <w:tabs>
          <w:tab w:leader="none" w:pos="5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Inversiones Credicorp Bolivia S.A. (hereinafter “ICBSA”) was established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44" w:lineRule="exact"/>
        <w:rPr>
          <w:rFonts w:ascii="Arial" w:cs="Arial" w:eastAsia="Arial" w:hAnsi="Arial"/>
          <w:sz w:val="16"/>
          <w:szCs w:val="16"/>
          <w:color w:val="auto"/>
        </w:rPr>
      </w:pPr>
    </w:p>
    <w:p>
      <w:pPr>
        <w:ind w:left="583" w:right="280"/>
        <w:spacing w:after="0" w:line="255" w:lineRule="auto"/>
        <w:rPr>
          <w:rFonts w:ascii="Arial" w:cs="Arial" w:eastAsia="Arial" w:hAnsi="Arial"/>
          <w:sz w:val="16"/>
          <w:szCs w:val="16"/>
          <w:color w:val="auto"/>
        </w:rPr>
      </w:pPr>
      <w:r>
        <w:rPr>
          <w:rFonts w:ascii="Arial" w:cs="Arial" w:eastAsia="Arial" w:hAnsi="Arial"/>
          <w:sz w:val="16"/>
          <w:szCs w:val="16"/>
          <w:color w:val="auto"/>
        </w:rPr>
        <w:t>Its principal Subsidiary is Banco de Crédito de Bolivia (hereinafter “BCB”), a commercial bank which operates in Bolivia. As of December 31, 2025, the assets, liabilities, equity and net result of BCB were approximately S/10,865.5 million, S/10,046.5 million, S/819.0 million and S/85.9million, respectively (S/13,974.7 million, S/12,968.7 million, S/1,006.0 million and S/93.5 million, respectively as of December 31, 2024).</w:t>
      </w:r>
    </w:p>
    <w:p>
      <w:pPr>
        <w:spacing w:after="0" w:line="137" w:lineRule="exact"/>
        <w:rPr>
          <w:rFonts w:ascii="Arial" w:cs="Arial" w:eastAsia="Arial" w:hAnsi="Arial"/>
          <w:sz w:val="16"/>
          <w:szCs w:val="16"/>
          <w:color w:val="auto"/>
        </w:rPr>
      </w:pPr>
    </w:p>
    <w:p>
      <w:pPr>
        <w:ind w:left="583" w:hanging="294"/>
        <w:spacing w:after="0"/>
        <w:tabs>
          <w:tab w:leader="none" w:pos="5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Prima AFP is a private pension fund administrator, and its activities are regulated by the SBS.</w:t>
      </w:r>
    </w:p>
    <w:p>
      <w:pPr>
        <w:spacing w:after="0" w:line="177" w:lineRule="exact"/>
        <w:rPr>
          <w:rFonts w:ascii="Arial" w:cs="Arial" w:eastAsia="Arial" w:hAnsi="Arial"/>
          <w:sz w:val="16"/>
          <w:szCs w:val="16"/>
          <w:color w:val="auto"/>
        </w:rPr>
      </w:pPr>
    </w:p>
    <w:p>
      <w:pPr>
        <w:ind w:left="583" w:right="80" w:hanging="294"/>
        <w:spacing w:after="0" w:line="248" w:lineRule="auto"/>
        <w:tabs>
          <w:tab w:leader="none" w:pos="5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Tenpo SpA (hereinafter “Tenpo", before “Krealo SpA”) was established in Chile in January 2019; and is oriented to make capital investments outside the country. On July 1, 2019, Tenpo (Krealo SpA) acquired Tenpo Technologies SpA (before “Tenpo SpA”) and Tenpo Prepago S.A. (before “Multicaja Prepago S.A.”). This group of companies offers certain financial products and is currently undergoing the regulatory approval process before the Chilean Superintendency of Banks and Financial Institutions for the granting of a banking license and the establishment of Tenpo Bank.</w:t>
      </w:r>
    </w:p>
    <w:p>
      <w:pPr>
        <w:spacing w:after="0" w:line="144" w:lineRule="exact"/>
        <w:rPr>
          <w:rFonts w:ascii="Arial" w:cs="Arial" w:eastAsia="Arial" w:hAnsi="Arial"/>
          <w:sz w:val="16"/>
          <w:szCs w:val="16"/>
          <w:color w:val="auto"/>
        </w:rPr>
      </w:pPr>
    </w:p>
    <w:p>
      <w:pPr>
        <w:ind w:left="583" w:right="160" w:hanging="294"/>
        <w:spacing w:after="0" w:line="274" w:lineRule="auto"/>
        <w:tabs>
          <w:tab w:leader="none" w:pos="5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Yape Market S.A.C. (“Yape Market”) was incorporated on July 1, 2022, and its main activity is to offering promotion, sales management, and product and service placement solutions through a digital commerce platform.</w:t>
      </w:r>
    </w:p>
    <w:p>
      <w:pPr>
        <w:spacing w:after="0" w:line="122" w:lineRule="exact"/>
        <w:rPr>
          <w:rFonts w:ascii="Arial" w:cs="Arial" w:eastAsia="Arial" w:hAnsi="Arial"/>
          <w:sz w:val="16"/>
          <w:szCs w:val="16"/>
          <w:color w:val="auto"/>
        </w:rPr>
      </w:pPr>
    </w:p>
    <w:p>
      <w:pPr>
        <w:ind w:left="583" w:right="320" w:hanging="294"/>
        <w:spacing w:after="0" w:line="274" w:lineRule="auto"/>
        <w:tabs>
          <w:tab w:leader="none" w:pos="5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Krealo Management S.A. (hereinafter, “Krealo Management”) was incorporated in September 2022 and its objective is to make investments and participate in the equity of other domestic and foreign companies. Its subsidiaries are Wally POS S.A.C., Sami Shop S.A.C., and Monokera S.A.C.</w:t>
      </w:r>
    </w:p>
    <w:p>
      <w:pPr>
        <w:spacing w:after="0" w:line="122" w:lineRule="exact"/>
        <w:rPr>
          <w:rFonts w:ascii="Arial" w:cs="Arial" w:eastAsia="Arial" w:hAnsi="Arial"/>
          <w:sz w:val="16"/>
          <w:szCs w:val="16"/>
          <w:color w:val="auto"/>
        </w:rPr>
      </w:pPr>
    </w:p>
    <w:p>
      <w:pPr>
        <w:ind w:left="583" w:right="120" w:hanging="294"/>
        <w:spacing w:after="0" w:line="274" w:lineRule="auto"/>
        <w:tabs>
          <w:tab w:leader="none" w:pos="5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Culqi (hereinafter, “Culqi”) was created in December 2013, and its principal activity is to provide digital payment processing services, which consist of collecting consumer payments through online or physical platforms.</w:t>
      </w:r>
    </w:p>
    <w:p>
      <w:pPr>
        <w:spacing w:after="0" w:line="122" w:lineRule="exact"/>
        <w:rPr>
          <w:rFonts w:ascii="Arial" w:cs="Arial" w:eastAsia="Arial" w:hAnsi="Arial"/>
          <w:sz w:val="16"/>
          <w:szCs w:val="16"/>
          <w:color w:val="auto"/>
        </w:rPr>
      </w:pPr>
    </w:p>
    <w:p>
      <w:pPr>
        <w:ind w:left="583" w:hanging="294"/>
        <w:spacing w:after="0"/>
        <w:tabs>
          <w:tab w:leader="none" w:pos="5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Other minor subsidiaries include Inversiones 2020 S.A, and Soluciones en Procesamiento S.A.</w:t>
      </w:r>
    </w:p>
    <w:p>
      <w:pPr>
        <w:spacing w:after="0" w:line="177" w:lineRule="exact"/>
        <w:rPr>
          <w:rFonts w:ascii="Arial" w:cs="Arial" w:eastAsia="Arial" w:hAnsi="Arial"/>
          <w:sz w:val="16"/>
          <w:szCs w:val="16"/>
          <w:color w:val="auto"/>
        </w:rPr>
      </w:pPr>
    </w:p>
    <w:p>
      <w:pPr>
        <w:ind w:left="283" w:right="160" w:hanging="283"/>
        <w:spacing w:after="0" w:line="248" w:lineRule="auto"/>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Pacífico Seguros is an entity supervised by the SBS, whose economic activities include the underwriting and administration of general and life insurance policies, reinsurance operations, as well as real estate and financial investments. It has subsidiaries including Crediseguro Seguros Personales, Crediseguro Seguros Generales, Pacífico Asiste, and Pacífico EPS and its subsidiaries, which actively participate in the multiple insurance and health insurance businesses, respectively.</w:t>
      </w:r>
    </w:p>
    <w:p>
      <w:pPr>
        <w:spacing w:after="0" w:line="144" w:lineRule="exact"/>
        <w:rPr>
          <w:rFonts w:ascii="Arial" w:cs="Arial" w:eastAsia="Arial" w:hAnsi="Arial"/>
          <w:sz w:val="16"/>
          <w:szCs w:val="16"/>
          <w:color w:val="auto"/>
        </w:rPr>
      </w:pPr>
    </w:p>
    <w:p>
      <w:pPr>
        <w:ind w:left="283" w:right="340" w:hanging="283"/>
        <w:spacing w:after="0" w:line="274" w:lineRule="auto"/>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Its most important subsidiary is ASB Bank Corp. (merged with Atlantic Security Bank on August 2021, was established in September 9, 2020 in the Republic of Panama; its main activities are private and institutional banking services and trustee administration, mainly for BCP’s Peruvian customers.</w:t>
      </w:r>
    </w:p>
    <w:p>
      <w:pPr>
        <w:spacing w:after="0" w:line="122" w:lineRule="exact"/>
        <w:rPr>
          <w:rFonts w:ascii="Arial" w:cs="Arial" w:eastAsia="Arial" w:hAnsi="Arial"/>
          <w:sz w:val="16"/>
          <w:szCs w:val="16"/>
          <w:color w:val="auto"/>
        </w:rPr>
      </w:pPr>
    </w:p>
    <w:p>
      <w:pPr>
        <w:ind w:left="283" w:right="180" w:hanging="283"/>
        <w:spacing w:after="0" w:line="248" w:lineRule="auto"/>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Credicorp Capital Ltd. was formed in 2012, and its main subsidiaries are Credicorp Capital Holding Peru (owner of Credicorp Capital Perú S.A.A.), Credicorp Holding Colombia (owner of Credicorp Capital Colombia and Mibanco – Banco de la Microempresa de Colombia S.A.), and Credicorp Capital Holding Chile (owner of Credicorp Capital Chile), which carry out their activities in Peru, Colombia and Chile, respectively. We present below the consolidated financial statements in accordance with IFRS and before eliminations for consolidation purposes:</w:t>
      </w:r>
    </w:p>
    <w:p>
      <w:pPr>
        <w:spacing w:after="0" w:line="149" w:lineRule="exact"/>
        <w:rPr>
          <w:sz w:val="20"/>
          <w:szCs w:val="20"/>
          <w:color w:val="auto"/>
        </w:rPr>
      </w:pPr>
    </w:p>
    <w:tbl>
      <w:tblPr>
        <w:tblLayout w:type="fixed"/>
        <w:tblInd w:w="283"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520" w:type="dxa"/>
            <w:vAlign w:val="bottom"/>
            <w:gridSpan w:val="6"/>
          </w:tcPr>
          <w:p>
            <w:pPr>
              <w:ind w:left="120"/>
              <w:spacing w:after="0"/>
              <w:rPr>
                <w:sz w:val="20"/>
                <w:szCs w:val="20"/>
                <w:color w:val="auto"/>
              </w:rPr>
            </w:pPr>
            <w:r>
              <w:rPr>
                <w:rFonts w:ascii="Arial" w:cs="Arial" w:eastAsia="Arial" w:hAnsi="Arial"/>
                <w:sz w:val="13"/>
                <w:szCs w:val="13"/>
                <w:b w:val="1"/>
                <w:bCs w:val="1"/>
                <w:color w:val="auto"/>
              </w:rPr>
              <w:t>Percentage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460" w:type="dxa"/>
            <w:vAlign w:val="bottom"/>
          </w:tcPr>
          <w:p>
            <w:pPr>
              <w:spacing w:after="0"/>
              <w:rPr>
                <w:sz w:val="12"/>
                <w:szCs w:val="12"/>
                <w:color w:val="auto"/>
              </w:rPr>
            </w:pPr>
          </w:p>
        </w:tc>
        <w:tc>
          <w:tcPr>
            <w:tcW w:w="1520" w:type="dxa"/>
            <w:vAlign w:val="bottom"/>
            <w:gridSpan w:val="6"/>
          </w:tcPr>
          <w:p>
            <w:pPr>
              <w:ind w:left="120"/>
              <w:spacing w:after="0" w:line="145" w:lineRule="exact"/>
              <w:rPr>
                <w:sz w:val="20"/>
                <w:szCs w:val="20"/>
                <w:color w:val="auto"/>
              </w:rPr>
            </w:pPr>
            <w:r>
              <w:rPr>
                <w:rFonts w:ascii="Arial" w:cs="Arial" w:eastAsia="Arial" w:hAnsi="Arial"/>
                <w:sz w:val="13"/>
                <w:szCs w:val="13"/>
                <w:b w:val="1"/>
                <w:bCs w:val="1"/>
                <w:color w:val="auto"/>
              </w:rPr>
              <w:t>interest (direct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460" w:type="dxa"/>
            <w:vAlign w:val="bottom"/>
          </w:tcPr>
          <w:p>
            <w:pPr>
              <w:spacing w:after="0"/>
              <w:rPr>
                <w:sz w:val="20"/>
                <w:szCs w:val="20"/>
                <w:color w:val="auto"/>
              </w:rPr>
            </w:pPr>
            <w:r>
              <w:rPr>
                <w:rFonts w:ascii="Arial" w:cs="Arial" w:eastAsia="Arial" w:hAnsi="Arial"/>
                <w:sz w:val="13"/>
                <w:szCs w:val="13"/>
                <w:b w:val="1"/>
                <w:bCs w:val="1"/>
                <w:color w:val="auto"/>
              </w:rPr>
              <w:t>Entity</w:t>
            </w: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rPr>
              <w:t>indirect)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ind w:left="120"/>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ind w:left="100"/>
              <w:spacing w:after="0"/>
              <w:rPr>
                <w:sz w:val="20"/>
                <w:szCs w:val="20"/>
                <w:color w:val="auto"/>
              </w:rPr>
            </w:pPr>
            <w:r>
              <w:rPr>
                <w:rFonts w:ascii="Arial" w:cs="Arial" w:eastAsia="Arial" w:hAnsi="Arial"/>
                <w:sz w:val="13"/>
                <w:szCs w:val="13"/>
                <w:b w:val="1"/>
                <w:bCs w:val="1"/>
                <w:color w:val="auto"/>
              </w:rPr>
              <w:t>Liabilities</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Equity</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w w:val="97"/>
              </w:rPr>
              <w:t>Net profit (loss)</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246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700" w:type="dxa"/>
            <w:vAlign w:val="bottom"/>
            <w:gridSpan w:val="2"/>
          </w:tcPr>
          <w:p>
            <w:pPr>
              <w:jc w:val="right"/>
              <w:ind w:right="236"/>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2"/>
                <w:szCs w:val="12"/>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2"/>
                <w:szCs w:val="12"/>
                <w:color w:val="auto"/>
              </w:rPr>
            </w:pPr>
          </w:p>
        </w:tc>
      </w:tr>
      <w:tr>
        <w:trPr>
          <w:trHeight w:val="168"/>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3"/>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r>
      <w:tr>
        <w:trPr>
          <w:trHeight w:val="250"/>
        </w:trPr>
        <w:tc>
          <w:tcPr>
            <w:tcW w:w="2460" w:type="dxa"/>
            <w:vAlign w:val="bottom"/>
          </w:tcPr>
          <w:p>
            <w:pPr>
              <w:ind w:left="60"/>
              <w:spacing w:after="0"/>
              <w:rPr>
                <w:sz w:val="20"/>
                <w:szCs w:val="20"/>
                <w:color w:val="auto"/>
              </w:rPr>
            </w:pPr>
            <w:r>
              <w:rPr>
                <w:rFonts w:ascii="Arial" w:cs="Arial" w:eastAsia="Arial" w:hAnsi="Arial"/>
                <w:sz w:val="13"/>
                <w:szCs w:val="13"/>
                <w:color w:val="auto"/>
              </w:rPr>
              <w:t>Credicorp Holding Colombia S.A.S. and</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45"/>
        </w:trPr>
        <w:tc>
          <w:tcPr>
            <w:tcW w:w="2460" w:type="dxa"/>
            <w:vAlign w:val="bottom"/>
          </w:tcPr>
          <w:p>
            <w:pPr>
              <w:ind w:left="60"/>
              <w:spacing w:after="0" w:line="145" w:lineRule="exact"/>
              <w:rPr>
                <w:sz w:val="20"/>
                <w:szCs w:val="20"/>
                <w:color w:val="auto"/>
              </w:rPr>
            </w:pPr>
            <w:r>
              <w:rPr>
                <w:rFonts w:ascii="Arial" w:cs="Arial" w:eastAsia="Arial" w:hAnsi="Arial"/>
                <w:sz w:val="13"/>
                <w:szCs w:val="13"/>
                <w:color w:val="auto"/>
              </w:rPr>
              <w:t>Subsidiaries (a)</w:t>
            </w:r>
          </w:p>
        </w:tc>
        <w:tc>
          <w:tcPr>
            <w:tcW w:w="760" w:type="dxa"/>
            <w:vAlign w:val="bottom"/>
            <w:gridSpan w:val="3"/>
          </w:tcPr>
          <w:p>
            <w:pPr>
              <w:ind w:left="260"/>
              <w:spacing w:after="0" w:line="145" w:lineRule="exact"/>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8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5,518,459</w:t>
            </w:r>
          </w:p>
        </w:tc>
        <w:tc>
          <w:tcPr>
            <w:tcW w:w="7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4,204,281</w:t>
            </w:r>
          </w:p>
        </w:tc>
        <w:tc>
          <w:tcPr>
            <w:tcW w:w="1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4,591,242</w:t>
            </w:r>
          </w:p>
        </w:tc>
        <w:tc>
          <w:tcPr>
            <w:tcW w:w="22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3"/>
                <w:szCs w:val="13"/>
                <w:color w:val="auto"/>
                <w:w w:val="96"/>
              </w:rPr>
              <w:t>3,404,834</w:t>
            </w:r>
          </w:p>
        </w:tc>
        <w:tc>
          <w:tcPr>
            <w:tcW w:w="220" w:type="dxa"/>
            <w:vAlign w:val="bottom"/>
          </w:tcPr>
          <w:p>
            <w:pPr>
              <w:spacing w:after="0"/>
              <w:rPr>
                <w:sz w:val="12"/>
                <w:szCs w:val="12"/>
                <w:color w:val="auto"/>
              </w:rPr>
            </w:pPr>
          </w:p>
        </w:tc>
        <w:tc>
          <w:tcPr>
            <w:tcW w:w="7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927,217</w:t>
            </w:r>
          </w:p>
        </w:tc>
        <w:tc>
          <w:tcPr>
            <w:tcW w:w="7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799,447</w:t>
            </w:r>
          </w:p>
        </w:tc>
        <w:tc>
          <w:tcPr>
            <w:tcW w:w="66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88,288</w:t>
            </w:r>
          </w:p>
        </w:tc>
        <w:tc>
          <w:tcPr>
            <w:tcW w:w="86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27,913</w:t>
            </w:r>
          </w:p>
        </w:tc>
        <w:tc>
          <w:tcPr>
            <w:tcW w:w="5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(163,342)</w:t>
            </w:r>
          </w:p>
        </w:tc>
      </w:tr>
      <w:tr>
        <w:trPr>
          <w:trHeight w:val="145"/>
        </w:trPr>
        <w:tc>
          <w:tcPr>
            <w:tcW w:w="2460" w:type="dxa"/>
            <w:vAlign w:val="bottom"/>
          </w:tcPr>
          <w:p>
            <w:pPr>
              <w:ind w:left="60"/>
              <w:spacing w:after="0" w:line="145" w:lineRule="exact"/>
              <w:rPr>
                <w:sz w:val="20"/>
                <w:szCs w:val="20"/>
                <w:color w:val="auto"/>
              </w:rPr>
            </w:pPr>
            <w:r>
              <w:rPr>
                <w:rFonts w:ascii="Arial" w:cs="Arial" w:eastAsia="Arial" w:hAnsi="Arial"/>
                <w:sz w:val="13"/>
                <w:szCs w:val="13"/>
                <w:color w:val="auto"/>
              </w:rPr>
              <w:t>Credicorp Capital Holding Chile and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460" w:type="dxa"/>
            <w:vAlign w:val="bottom"/>
          </w:tcPr>
          <w:p>
            <w:pPr>
              <w:ind w:left="60"/>
              <w:spacing w:after="0" w:line="145" w:lineRule="exact"/>
              <w:rPr>
                <w:sz w:val="20"/>
                <w:szCs w:val="20"/>
                <w:color w:val="auto"/>
              </w:rPr>
            </w:pPr>
            <w:r>
              <w:rPr>
                <w:rFonts w:ascii="Arial" w:cs="Arial" w:eastAsia="Arial" w:hAnsi="Arial"/>
                <w:sz w:val="13"/>
                <w:szCs w:val="13"/>
                <w:color w:val="auto"/>
              </w:rPr>
              <w:t>Subsidiaries (b)</w:t>
            </w:r>
          </w:p>
        </w:tc>
        <w:tc>
          <w:tcPr>
            <w:tcW w:w="760" w:type="dxa"/>
            <w:vAlign w:val="bottom"/>
            <w:gridSpan w:val="3"/>
          </w:tcPr>
          <w:p>
            <w:pPr>
              <w:ind w:left="260"/>
              <w:spacing w:after="0" w:line="145" w:lineRule="exact"/>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8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841,116</w:t>
            </w:r>
          </w:p>
        </w:tc>
        <w:tc>
          <w:tcPr>
            <w:tcW w:w="8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717,727</w:t>
            </w:r>
          </w:p>
        </w:tc>
        <w:tc>
          <w:tcPr>
            <w:tcW w:w="6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673,028</w:t>
            </w:r>
          </w:p>
        </w:tc>
        <w:tc>
          <w:tcPr>
            <w:tcW w:w="22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3"/>
                <w:szCs w:val="13"/>
                <w:color w:val="auto"/>
              </w:rPr>
              <w:t>548,753</w:t>
            </w:r>
          </w:p>
        </w:tc>
        <w:tc>
          <w:tcPr>
            <w:tcW w:w="220" w:type="dxa"/>
            <w:vAlign w:val="bottom"/>
          </w:tcPr>
          <w:p>
            <w:pPr>
              <w:spacing w:after="0"/>
              <w:rPr>
                <w:sz w:val="12"/>
                <w:szCs w:val="12"/>
                <w:color w:val="auto"/>
              </w:rPr>
            </w:pPr>
          </w:p>
        </w:tc>
        <w:tc>
          <w:tcPr>
            <w:tcW w:w="7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168,088</w:t>
            </w:r>
          </w:p>
        </w:tc>
        <w:tc>
          <w:tcPr>
            <w:tcW w:w="7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168,974</w:t>
            </w:r>
          </w:p>
        </w:tc>
        <w:tc>
          <w:tcPr>
            <w:tcW w:w="66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1,345</w:t>
            </w:r>
          </w:p>
        </w:tc>
        <w:tc>
          <w:tcPr>
            <w:tcW w:w="86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9,460</w:t>
            </w:r>
          </w:p>
        </w:tc>
        <w:tc>
          <w:tcPr>
            <w:tcW w:w="5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(10,716)</w:t>
            </w:r>
          </w:p>
        </w:tc>
      </w:tr>
      <w:tr>
        <w:trPr>
          <w:trHeight w:val="145"/>
        </w:trPr>
        <w:tc>
          <w:tcPr>
            <w:tcW w:w="2460" w:type="dxa"/>
            <w:vAlign w:val="bottom"/>
          </w:tcPr>
          <w:p>
            <w:pPr>
              <w:ind w:left="60"/>
              <w:spacing w:after="0" w:line="145" w:lineRule="exact"/>
              <w:rPr>
                <w:sz w:val="20"/>
                <w:szCs w:val="20"/>
                <w:color w:val="auto"/>
              </w:rPr>
            </w:pPr>
            <w:r>
              <w:rPr>
                <w:rFonts w:ascii="Arial" w:cs="Arial" w:eastAsia="Arial" w:hAnsi="Arial"/>
                <w:sz w:val="13"/>
                <w:szCs w:val="13"/>
                <w:color w:val="auto"/>
              </w:rPr>
              <w:t>Credicorp Capital Holding Perú S.A. and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8"/>
        </w:trPr>
        <w:tc>
          <w:tcPr>
            <w:tcW w:w="2460" w:type="dxa"/>
            <w:vAlign w:val="bottom"/>
          </w:tcPr>
          <w:p>
            <w:pPr>
              <w:ind w:left="60"/>
              <w:spacing w:after="0"/>
              <w:rPr>
                <w:sz w:val="20"/>
                <w:szCs w:val="20"/>
                <w:color w:val="auto"/>
              </w:rPr>
            </w:pPr>
            <w:r>
              <w:rPr>
                <w:rFonts w:ascii="Arial" w:cs="Arial" w:eastAsia="Arial" w:hAnsi="Arial"/>
                <w:sz w:val="13"/>
                <w:szCs w:val="13"/>
                <w:color w:val="auto"/>
              </w:rPr>
              <w:t>Subsidiaries (c)</w:t>
            </w:r>
          </w:p>
        </w:tc>
        <w:tc>
          <w:tcPr>
            <w:tcW w:w="760" w:type="dxa"/>
            <w:vAlign w:val="bottom"/>
            <w:gridSpan w:val="3"/>
          </w:tcPr>
          <w:p>
            <w:pPr>
              <w:ind w:left="260"/>
              <w:spacing w:after="0"/>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100.00</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293,616</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278,115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124,127</w:t>
            </w:r>
          </w:p>
        </w:tc>
        <w:tc>
          <w:tcPr>
            <w:tcW w:w="2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111,448</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169,489</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166,667</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21,215</w:t>
            </w:r>
          </w:p>
        </w:tc>
        <w:tc>
          <w:tcPr>
            <w:tcW w:w="860" w:type="dxa"/>
            <w:vAlign w:val="bottom"/>
            <w:gridSpan w:val="3"/>
          </w:tcPr>
          <w:p>
            <w:pPr>
              <w:jc w:val="right"/>
              <w:ind w:right="220"/>
              <w:spacing w:after="0"/>
              <w:rPr>
                <w:sz w:val="20"/>
                <w:szCs w:val="20"/>
                <w:color w:val="auto"/>
              </w:rPr>
            </w:pPr>
            <w:r>
              <w:rPr>
                <w:rFonts w:ascii="Arial" w:cs="Arial" w:eastAsia="Arial" w:hAnsi="Arial"/>
                <w:sz w:val="13"/>
                <w:szCs w:val="13"/>
                <w:color w:val="auto"/>
              </w:rPr>
              <w:t>21,958</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4,318</w:t>
            </w:r>
          </w:p>
        </w:tc>
      </w:tr>
    </w:tbl>
    <w:p>
      <w:pPr>
        <w:spacing w:after="0" w:line="136" w:lineRule="exact"/>
        <w:rPr>
          <w:sz w:val="20"/>
          <w:szCs w:val="20"/>
          <w:color w:val="auto"/>
        </w:rPr>
      </w:pPr>
    </w:p>
    <w:p>
      <w:pPr>
        <w:ind w:left="623" w:right="120" w:hanging="286"/>
        <w:spacing w:after="0" w:line="274" w:lineRule="auto"/>
        <w:tabs>
          <w:tab w:leader="none" w:pos="6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Credicorp Holding Colombia was incorporated in Colombia on March 5, 2012, and its main purpose is the administration, management and increase of its equity through the promotion of industrial and commercial activity, through investment in other companies or legal persons.</w:t>
      </w:r>
    </w:p>
    <w:p>
      <w:pPr>
        <w:spacing w:after="0" w:line="122" w:lineRule="exact"/>
        <w:rPr>
          <w:rFonts w:ascii="Arial" w:cs="Arial" w:eastAsia="Arial" w:hAnsi="Arial"/>
          <w:sz w:val="16"/>
          <w:szCs w:val="16"/>
          <w:color w:val="auto"/>
        </w:rPr>
      </w:pPr>
    </w:p>
    <w:p>
      <w:pPr>
        <w:ind w:left="623" w:right="80"/>
        <w:spacing w:after="0" w:line="245" w:lineRule="auto"/>
        <w:rPr>
          <w:rFonts w:ascii="Arial" w:cs="Arial" w:eastAsia="Arial" w:hAnsi="Arial"/>
          <w:sz w:val="16"/>
          <w:szCs w:val="16"/>
          <w:color w:val="auto"/>
        </w:rPr>
      </w:pPr>
      <w:r>
        <w:rPr>
          <w:rFonts w:ascii="Arial" w:cs="Arial" w:eastAsia="Arial" w:hAnsi="Arial"/>
          <w:sz w:val="16"/>
          <w:szCs w:val="16"/>
          <w:color w:val="auto"/>
        </w:rPr>
        <w:t>Its main subsidiaries are Credicorp Capital Colombia S.A, which was acquired in Colombia in 2012 and merged with Ultraserfinco S.A. In June 2020, this subsidiary is oriented to the activities of commission agents and securities brokers. Likewise, Mibanco Colombia (before Banco Compartir S.A.) was acquired in 2019 and merged with Edyficar S.A.S. in October 2020, this subsidiary is oriented to grant credits to the micro and small business sector. As of December 31, 2023, Credicorp Holding Colombia has recognized an impairment of the goodwill of Mibanco Colombia for S/64.1 million (Credicorp’s equity holders), see Note 10(b).</w:t>
      </w:r>
    </w:p>
    <w:p>
      <w:pPr>
        <w:spacing w:after="0" w:line="315" w:lineRule="exact"/>
        <w:rPr>
          <w:rFonts w:ascii="Arial" w:cs="Arial" w:eastAsia="Arial" w:hAnsi="Arial"/>
          <w:sz w:val="16"/>
          <w:szCs w:val="16"/>
          <w:color w:val="auto"/>
        </w:rPr>
      </w:pPr>
    </w:p>
    <w:p>
      <w:pPr>
        <w:ind w:left="5543" w:hanging="104"/>
        <w:spacing w:after="0"/>
        <w:tabs>
          <w:tab w:leader="none" w:pos="5543" w:val="left"/>
        </w:tabs>
        <w:numPr>
          <w:ilvl w:val="1"/>
          <w:numId w:val="15"/>
        </w:numPr>
        <w:rPr>
          <w:rFonts w:ascii="Arial" w:cs="Arial" w:eastAsia="Arial" w:hAnsi="Arial"/>
          <w:sz w:val="16"/>
          <w:szCs w:val="16"/>
          <w:color w:val="auto"/>
        </w:rPr>
      </w:pPr>
      <w:r>
        <w:rPr>
          <w:rFonts w:ascii="Arial" w:cs="Arial" w:eastAsia="Arial" w:hAnsi="Arial"/>
          <w:sz w:val="16"/>
          <w:szCs w:val="16"/>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316" w:right="319" w:bottom="1440" w:gutter="0" w:footer="0" w:header="0"/>
        </w:sectPr>
      </w:pPr>
    </w:p>
    <w:bookmarkStart w:id="32" w:name="page33"/>
    <w:bookmarkEnd w:id="32"/>
    <w:p>
      <w:pPr>
        <w:ind w:left="3"/>
        <w:spacing w:after="0"/>
        <w:rPr>
          <w:sz w:val="20"/>
          <w:szCs w:val="20"/>
          <w:color w:val="auto"/>
        </w:rPr>
      </w:pPr>
      <w:r>
        <w:rPr>
          <w:rFonts w:ascii="Arial" w:cs="Arial" w:eastAsia="Arial" w:hAnsi="Arial"/>
          <w:sz w:val="16"/>
          <w:szCs w:val="16"/>
          <w:color w:val="auto"/>
        </w:rPr>
        <w:t>As of December 31, 2025, and 2024, the direct and indirect interest held by Credicorp and the assets, liabilities, equity and net income were:</w:t>
      </w:r>
    </w:p>
    <w:p>
      <w:pPr>
        <w:spacing w:after="0" w:line="182" w:lineRule="exact"/>
        <w:rPr>
          <w:sz w:val="20"/>
          <w:szCs w:val="20"/>
          <w:color w:val="auto"/>
        </w:rPr>
      </w:pPr>
    </w:p>
    <w:tbl>
      <w:tblPr>
        <w:tblLayout w:type="fixed"/>
        <w:tblInd w:w="723"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spacing w:after="0"/>
              <w:rPr>
                <w:sz w:val="20"/>
                <w:szCs w:val="20"/>
                <w:color w:val="auto"/>
              </w:rPr>
            </w:pPr>
            <w:r>
              <w:rPr>
                <w:rFonts w:ascii="Arial" w:cs="Arial" w:eastAsia="Arial" w:hAnsi="Arial"/>
                <w:sz w:val="13"/>
                <w:szCs w:val="13"/>
                <w:b w:val="1"/>
                <w:bCs w:val="1"/>
                <w:color w:val="auto"/>
              </w:rPr>
              <w:t>Percentage of</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5"/>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spacing w:after="0" w:line="145" w:lineRule="exact"/>
              <w:rPr>
                <w:sz w:val="20"/>
                <w:szCs w:val="20"/>
                <w:color w:val="auto"/>
              </w:rPr>
            </w:pPr>
            <w:r>
              <w:rPr>
                <w:rFonts w:ascii="Arial" w:cs="Arial" w:eastAsia="Arial" w:hAnsi="Arial"/>
                <w:sz w:val="13"/>
                <w:szCs w:val="13"/>
                <w:b w:val="1"/>
                <w:bCs w:val="1"/>
                <w:color w:val="auto"/>
              </w:rPr>
              <w:t>interest (direct and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Entity</w:t>
            </w:r>
          </w:p>
        </w:tc>
        <w:tc>
          <w:tcPr>
            <w:tcW w:w="120" w:type="dxa"/>
            <w:vAlign w:val="bottom"/>
          </w:tcPr>
          <w:p>
            <w:pPr>
              <w:spacing w:after="0"/>
              <w:rPr>
                <w:sz w:val="13"/>
                <w:szCs w:val="13"/>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indirect)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Liabilities</w:t>
            </w: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Equity</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w w:val="95"/>
              </w:rPr>
              <w:t>Net profit (loss)</w:t>
            </w: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2024</w:t>
            </w:r>
          </w:p>
        </w:tc>
        <w:tc>
          <w:tcPr>
            <w:tcW w:w="760" w:type="dxa"/>
            <w:vAlign w:val="bottom"/>
            <w:gridSpan w:val="2"/>
          </w:tcPr>
          <w:p>
            <w:pPr>
              <w:ind w:left="180"/>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2"/>
                <w:szCs w:val="12"/>
                <w:color w:val="auto"/>
              </w:rPr>
            </w:pPr>
          </w:p>
        </w:tc>
      </w:tr>
      <w:tr>
        <w:trPr>
          <w:trHeight w:val="168"/>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r>
      <w:tr>
        <w:trPr>
          <w:trHeight w:val="250"/>
        </w:trPr>
        <w:tc>
          <w:tcPr>
            <w:tcW w:w="2540" w:type="dxa"/>
            <w:vAlign w:val="bottom"/>
            <w:gridSpan w:val="2"/>
          </w:tcPr>
          <w:p>
            <w:pPr>
              <w:ind w:left="40"/>
              <w:spacing w:after="0"/>
              <w:rPr>
                <w:sz w:val="20"/>
                <w:szCs w:val="20"/>
                <w:color w:val="auto"/>
              </w:rPr>
            </w:pPr>
            <w:r>
              <w:rPr>
                <w:rFonts w:ascii="Arial" w:cs="Arial" w:eastAsia="Arial" w:hAnsi="Arial"/>
                <w:sz w:val="13"/>
                <w:szCs w:val="13"/>
                <w:color w:val="auto"/>
              </w:rPr>
              <w:t>Credicorp Capital Colombia S.A.</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100.00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2,317,332</w:t>
            </w:r>
          </w:p>
        </w:tc>
        <w:tc>
          <w:tcPr>
            <w:tcW w:w="680" w:type="dxa"/>
            <w:vAlign w:val="bottom"/>
            <w:gridSpan w:val="2"/>
          </w:tcPr>
          <w:p>
            <w:pPr>
              <w:ind w:left="100"/>
              <w:spacing w:after="0"/>
              <w:rPr>
                <w:sz w:val="20"/>
                <w:szCs w:val="20"/>
                <w:color w:val="auto"/>
              </w:rPr>
            </w:pPr>
            <w:r>
              <w:rPr>
                <w:rFonts w:ascii="Arial" w:cs="Arial" w:eastAsia="Arial" w:hAnsi="Arial"/>
                <w:sz w:val="13"/>
                <w:szCs w:val="13"/>
                <w:color w:val="auto"/>
                <w:w w:val="96"/>
              </w:rPr>
              <w:t>1,591,003</w:t>
            </w:r>
          </w:p>
        </w:tc>
        <w:tc>
          <w:tcPr>
            <w:tcW w:w="960" w:type="dxa"/>
            <w:vAlign w:val="bottom"/>
            <w:gridSpan w:val="3"/>
          </w:tcPr>
          <w:p>
            <w:pPr>
              <w:ind w:left="200"/>
              <w:spacing w:after="0"/>
              <w:rPr>
                <w:sz w:val="20"/>
                <w:szCs w:val="20"/>
                <w:color w:val="auto"/>
              </w:rPr>
            </w:pPr>
            <w:r>
              <w:rPr>
                <w:rFonts w:ascii="Arial" w:cs="Arial" w:eastAsia="Arial" w:hAnsi="Arial"/>
                <w:sz w:val="13"/>
                <w:szCs w:val="13"/>
                <w:color w:val="auto"/>
              </w:rPr>
              <w:t>2,130,702</w:t>
            </w:r>
          </w:p>
        </w:tc>
        <w:tc>
          <w:tcPr>
            <w:tcW w:w="760" w:type="dxa"/>
            <w:vAlign w:val="bottom"/>
            <w:gridSpan w:val="2"/>
          </w:tcPr>
          <w:p>
            <w:pPr>
              <w:spacing w:after="0"/>
              <w:rPr>
                <w:sz w:val="20"/>
                <w:szCs w:val="20"/>
                <w:color w:val="auto"/>
              </w:rPr>
            </w:pPr>
            <w:r>
              <w:rPr>
                <w:rFonts w:ascii="Arial" w:cs="Arial" w:eastAsia="Arial" w:hAnsi="Arial"/>
                <w:sz w:val="13"/>
                <w:szCs w:val="13"/>
                <w:color w:val="auto"/>
              </w:rPr>
              <w:t>1,408,214</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186,630</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182,789</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70,622</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75,050</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37,120</w:t>
            </w:r>
          </w:p>
        </w:tc>
      </w:tr>
      <w:tr>
        <w:trPr>
          <w:trHeight w:val="145"/>
        </w:trPr>
        <w:tc>
          <w:tcPr>
            <w:tcW w:w="25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Mibanco – Banco de la Microempresa de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8"/>
        </w:trPr>
        <w:tc>
          <w:tcPr>
            <w:tcW w:w="2540" w:type="dxa"/>
            <w:vAlign w:val="bottom"/>
            <w:gridSpan w:val="2"/>
          </w:tcPr>
          <w:p>
            <w:pPr>
              <w:ind w:left="40"/>
              <w:spacing w:after="0"/>
              <w:rPr>
                <w:sz w:val="20"/>
                <w:szCs w:val="20"/>
                <w:color w:val="auto"/>
              </w:rPr>
            </w:pPr>
            <w:r>
              <w:rPr>
                <w:rFonts w:ascii="Arial" w:cs="Arial" w:eastAsia="Arial" w:hAnsi="Arial"/>
                <w:sz w:val="13"/>
                <w:szCs w:val="13"/>
                <w:color w:val="auto"/>
              </w:rPr>
              <w:t>Colombia S.A.</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99.97</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99.97</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2,811,815</w:t>
            </w:r>
          </w:p>
        </w:tc>
        <w:tc>
          <w:tcPr>
            <w:tcW w:w="680" w:type="dxa"/>
            <w:vAlign w:val="bottom"/>
            <w:gridSpan w:val="2"/>
          </w:tcPr>
          <w:p>
            <w:pPr>
              <w:ind w:left="100"/>
              <w:spacing w:after="0"/>
              <w:rPr>
                <w:sz w:val="20"/>
                <w:szCs w:val="20"/>
                <w:color w:val="auto"/>
              </w:rPr>
            </w:pPr>
            <w:r>
              <w:rPr>
                <w:rFonts w:ascii="Arial" w:cs="Arial" w:eastAsia="Arial" w:hAnsi="Arial"/>
                <w:sz w:val="13"/>
                <w:szCs w:val="13"/>
                <w:color w:val="auto"/>
                <w:w w:val="96"/>
              </w:rPr>
              <w:t>2,278,827</w:t>
            </w:r>
          </w:p>
        </w:tc>
        <w:tc>
          <w:tcPr>
            <w:tcW w:w="960" w:type="dxa"/>
            <w:vAlign w:val="bottom"/>
            <w:gridSpan w:val="3"/>
          </w:tcPr>
          <w:p>
            <w:pPr>
              <w:ind w:left="200"/>
              <w:spacing w:after="0"/>
              <w:rPr>
                <w:sz w:val="20"/>
                <w:szCs w:val="20"/>
                <w:color w:val="auto"/>
              </w:rPr>
            </w:pPr>
            <w:r>
              <w:rPr>
                <w:rFonts w:ascii="Arial" w:cs="Arial" w:eastAsia="Arial" w:hAnsi="Arial"/>
                <w:sz w:val="13"/>
                <w:szCs w:val="13"/>
                <w:color w:val="auto"/>
              </w:rPr>
              <w:t>2,368,964</w:t>
            </w:r>
          </w:p>
        </w:tc>
        <w:tc>
          <w:tcPr>
            <w:tcW w:w="760" w:type="dxa"/>
            <w:vAlign w:val="bottom"/>
            <w:gridSpan w:val="2"/>
          </w:tcPr>
          <w:p>
            <w:pPr>
              <w:spacing w:after="0"/>
              <w:rPr>
                <w:sz w:val="20"/>
                <w:szCs w:val="20"/>
                <w:color w:val="auto"/>
              </w:rPr>
            </w:pPr>
            <w:r>
              <w:rPr>
                <w:rFonts w:ascii="Arial" w:cs="Arial" w:eastAsia="Arial" w:hAnsi="Arial"/>
                <w:sz w:val="13"/>
                <w:szCs w:val="13"/>
                <w:color w:val="auto"/>
              </w:rPr>
              <w:t>1,900,048</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442,851</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378,779</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47,037</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(9,521)</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(72,608)</w:t>
            </w:r>
          </w:p>
        </w:tc>
      </w:tr>
    </w:tbl>
    <w:p>
      <w:pPr>
        <w:spacing w:after="0" w:line="136" w:lineRule="exact"/>
        <w:rPr>
          <w:sz w:val="20"/>
          <w:szCs w:val="20"/>
          <w:color w:val="auto"/>
        </w:rPr>
      </w:pPr>
    </w:p>
    <w:p>
      <w:pPr>
        <w:ind w:left="563" w:hanging="226"/>
        <w:spacing w:after="0" w:line="274" w:lineRule="auto"/>
        <w:tabs>
          <w:tab w:leader="none" w:pos="563" w:val="left"/>
        </w:tabs>
        <w:numPr>
          <w:ilvl w:val="1"/>
          <w:numId w:val="16"/>
        </w:numPr>
        <w:rPr>
          <w:rFonts w:ascii="Arial" w:cs="Arial" w:eastAsia="Arial" w:hAnsi="Arial"/>
          <w:sz w:val="16"/>
          <w:szCs w:val="16"/>
          <w:color w:val="auto"/>
        </w:rPr>
      </w:pPr>
      <w:r>
        <w:rPr>
          <w:rFonts w:ascii="Arial" w:cs="Arial" w:eastAsia="Arial" w:hAnsi="Arial"/>
          <w:sz w:val="16"/>
          <w:szCs w:val="16"/>
          <w:color w:val="auto"/>
        </w:rPr>
        <w:t>Credicorp Holding Chile was incorporated in Chile on July 18, 2012, and aims to invest for long-term profitable purposes, in corporeal goods (movable and immovable property) and incorporeal, located in Chile or abroad. Its main subsidiary is Credicorp Capital Chile S.A.</w:t>
      </w:r>
    </w:p>
    <w:p>
      <w:pPr>
        <w:spacing w:after="0" w:line="122" w:lineRule="exact"/>
        <w:rPr>
          <w:rFonts w:ascii="Arial" w:cs="Arial" w:eastAsia="Arial" w:hAnsi="Arial"/>
          <w:sz w:val="16"/>
          <w:szCs w:val="16"/>
          <w:color w:val="auto"/>
        </w:rPr>
      </w:pPr>
    </w:p>
    <w:p>
      <w:pPr>
        <w:ind w:left="563" w:right="100" w:hanging="226"/>
        <w:spacing w:after="0" w:line="255" w:lineRule="auto"/>
        <w:tabs>
          <w:tab w:leader="none" w:pos="563" w:val="left"/>
        </w:tabs>
        <w:numPr>
          <w:ilvl w:val="1"/>
          <w:numId w:val="16"/>
        </w:numPr>
        <w:rPr>
          <w:rFonts w:ascii="Arial" w:cs="Arial" w:eastAsia="Arial" w:hAnsi="Arial"/>
          <w:sz w:val="16"/>
          <w:szCs w:val="16"/>
          <w:color w:val="auto"/>
        </w:rPr>
      </w:pPr>
      <w:r>
        <w:rPr>
          <w:rFonts w:ascii="Arial" w:cs="Arial" w:eastAsia="Arial" w:hAnsi="Arial"/>
          <w:sz w:val="16"/>
          <w:szCs w:val="16"/>
          <w:color w:val="auto"/>
        </w:rPr>
        <w:t>Credicorp Capital Holding Perú S.A. was incorporated in Peru on October 30, 2014, and aims to be the Peruvian holding of investment banking. Its main subsidiary Credicorp Capital Perú S.A.A.; which has as its main activity the function of holding shares, participations and transferable securities in general, providing advisory services in corporate and financial matters, and investment in real estate.</w:t>
      </w:r>
    </w:p>
    <w:p>
      <w:pPr>
        <w:spacing w:after="0" w:line="137" w:lineRule="exact"/>
        <w:rPr>
          <w:rFonts w:ascii="Arial" w:cs="Arial" w:eastAsia="Arial" w:hAnsi="Arial"/>
          <w:sz w:val="16"/>
          <w:szCs w:val="16"/>
          <w:color w:val="auto"/>
        </w:rPr>
      </w:pPr>
    </w:p>
    <w:p>
      <w:pPr>
        <w:ind w:left="343" w:right="100" w:hanging="343"/>
        <w:spacing w:after="0" w:line="274" w:lineRule="auto"/>
        <w:tabs>
          <w:tab w:leader="none" w:pos="3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CCR Inc. was incorporated in the year 2000. Its main activity is to manage funding granted to BCP by foreign financial entities or investors. These loans matured in the course of 2022 and were guaranteed by transactions carried out by BCP.</w:t>
      </w:r>
    </w:p>
    <w:p>
      <w:pPr>
        <w:spacing w:after="0" w:line="291" w:lineRule="exact"/>
        <w:rPr>
          <w:rFonts w:ascii="Arial" w:cs="Arial" w:eastAsia="Arial" w:hAnsi="Arial"/>
          <w:sz w:val="16"/>
          <w:szCs w:val="16"/>
          <w:color w:val="auto"/>
        </w:rPr>
      </w:pPr>
    </w:p>
    <w:p>
      <w:pPr>
        <w:ind w:left="5543" w:hanging="104"/>
        <w:spacing w:after="0"/>
        <w:tabs>
          <w:tab w:leader="none" w:pos="5543" w:val="left"/>
        </w:tabs>
        <w:numPr>
          <w:ilvl w:val="2"/>
          <w:numId w:val="17"/>
        </w:numPr>
        <w:rPr>
          <w:rFonts w:ascii="Arial" w:cs="Arial" w:eastAsia="Arial" w:hAnsi="Arial"/>
          <w:sz w:val="16"/>
          <w:szCs w:val="16"/>
          <w:color w:val="auto"/>
        </w:rPr>
      </w:pPr>
      <w:r>
        <w:rPr>
          <w:rFonts w:ascii="Arial" w:cs="Arial" w:eastAsia="Arial" w:hAnsi="Arial"/>
          <w:sz w:val="16"/>
          <w:szCs w:val="16"/>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03"/>
          </w:cols>
          <w:pgMar w:left="317" w:top="316" w:right="379" w:bottom="1440" w:gutter="0" w:footer="0" w:header="0"/>
        </w:sectPr>
      </w:pPr>
    </w:p>
    <w:bookmarkStart w:id="33" w:name="page34"/>
    <w:bookmarkEnd w:id="33"/>
    <w:p>
      <w:pPr>
        <w:ind w:left="4"/>
        <w:spacing w:after="0"/>
        <w:rPr>
          <w:sz w:val="20"/>
          <w:szCs w:val="20"/>
          <w:color w:val="auto"/>
        </w:rPr>
      </w:pPr>
      <w:r>
        <w:rPr>
          <w:rFonts w:ascii="Arial" w:cs="Arial" w:eastAsia="Arial" w:hAnsi="Arial"/>
          <w:sz w:val="16"/>
          <w:szCs w:val="16"/>
          <w:color w:val="auto"/>
        </w:rPr>
        <w:t>c) Functional, presentation and foreign currency transactions –</w:t>
      </w:r>
    </w:p>
    <w:p>
      <w:pPr>
        <w:spacing w:after="0" w:line="202" w:lineRule="exact"/>
        <w:rPr>
          <w:sz w:val="20"/>
          <w:szCs w:val="20"/>
          <w:color w:val="auto"/>
        </w:rPr>
      </w:pPr>
    </w:p>
    <w:p>
      <w:pPr>
        <w:ind w:left="684" w:hanging="395"/>
        <w:spacing w:after="0"/>
        <w:tabs>
          <w:tab w:leader="none" w:pos="6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Functional and presentation currency -</w:t>
      </w:r>
    </w:p>
    <w:p>
      <w:pPr>
        <w:spacing w:after="0" w:line="202" w:lineRule="exact"/>
        <w:rPr>
          <w:sz w:val="20"/>
          <w:szCs w:val="20"/>
          <w:color w:val="auto"/>
        </w:rPr>
      </w:pPr>
    </w:p>
    <w:p>
      <w:pPr>
        <w:ind w:left="584" w:right="60"/>
        <w:spacing w:after="0" w:line="248" w:lineRule="auto"/>
        <w:rPr>
          <w:sz w:val="20"/>
          <w:szCs w:val="20"/>
          <w:color w:val="auto"/>
        </w:rPr>
      </w:pPr>
      <w:r>
        <w:rPr>
          <w:rFonts w:ascii="Arial" w:cs="Arial" w:eastAsia="Arial" w:hAnsi="Arial"/>
          <w:sz w:val="16"/>
          <w:szCs w:val="16"/>
          <w:color w:val="auto"/>
        </w:rPr>
        <w:t>Credicorp and its subsidiaries which operate in Peru consider the sol as their functional and presentation currency, since it reflects the nature of the economic events and relevant circumstances for most of the Group´s entities, given the fact their major transactions and operations, such as: loans granted, financing obtained, sale of insurance premiums, interests and similar income, interest and similar expenses, as well as a significant percentage of their purchases; are entered into and settled in soles.</w:t>
      </w:r>
    </w:p>
    <w:p>
      <w:pPr>
        <w:spacing w:after="0" w:line="144" w:lineRule="exact"/>
        <w:rPr>
          <w:sz w:val="20"/>
          <w:szCs w:val="20"/>
          <w:color w:val="auto"/>
        </w:rPr>
      </w:pPr>
    </w:p>
    <w:p>
      <w:pPr>
        <w:ind w:left="684" w:hanging="395"/>
        <w:spacing w:after="0"/>
        <w:tabs>
          <w:tab w:leader="none" w:pos="6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Transactions and balances in foreign currency -</w:t>
      </w:r>
    </w:p>
    <w:p>
      <w:pPr>
        <w:spacing w:after="0" w:line="202" w:lineRule="exact"/>
        <w:rPr>
          <w:sz w:val="20"/>
          <w:szCs w:val="20"/>
          <w:color w:val="auto"/>
        </w:rPr>
      </w:pPr>
    </w:p>
    <w:p>
      <w:pPr>
        <w:ind w:left="584" w:right="220"/>
        <w:spacing w:after="0" w:line="255" w:lineRule="auto"/>
        <w:rPr>
          <w:sz w:val="20"/>
          <w:szCs w:val="20"/>
          <w:color w:val="auto"/>
        </w:rPr>
      </w:pPr>
      <w:r>
        <w:rPr>
          <w:rFonts w:ascii="Arial" w:cs="Arial" w:eastAsia="Arial" w:hAnsi="Arial"/>
          <w:sz w:val="16"/>
          <w:szCs w:val="16"/>
          <w:color w:val="auto"/>
        </w:rPr>
        <w:t>Foreign currency transactions are those entered into in currencies other than the functional currency of the entity. These transactions are initially recorded by Group entities at the exchange rates prevailing at the transaction dates. Monetary assets and liabilities denominated in foreign currency are adjusted at the exchange rate of the functional currency prevailing at each reporting date.</w:t>
      </w:r>
    </w:p>
    <w:p>
      <w:pPr>
        <w:spacing w:after="0" w:line="137" w:lineRule="exact"/>
        <w:rPr>
          <w:sz w:val="20"/>
          <w:szCs w:val="20"/>
          <w:color w:val="auto"/>
        </w:rPr>
      </w:pPr>
    </w:p>
    <w:p>
      <w:pPr>
        <w:ind w:left="584"/>
        <w:spacing w:after="0" w:line="243" w:lineRule="auto"/>
        <w:rPr>
          <w:sz w:val="20"/>
          <w:szCs w:val="20"/>
          <w:color w:val="auto"/>
        </w:rPr>
      </w:pPr>
      <w:r>
        <w:rPr>
          <w:rFonts w:ascii="Arial" w:cs="Arial" w:eastAsia="Arial" w:hAnsi="Arial"/>
          <w:sz w:val="16"/>
          <w:szCs w:val="16"/>
          <w:color w:val="auto"/>
        </w:rPr>
        <w:t>The differences arising from the exchange rate prevailing at each reporting date and the exchange rate initially used in recording transactions are recognized in the consolidated statement of income in the period in which they occur, in “Exchange differences result”, except for those that correspond to monetary items that are part of a hedging strategy of a net investment in a foreign operation, said accumulated difference is recognized within “Exchange differences on translation of foreign operations” in the consolidated statement of comprehensive income. Non-monetary assets and liabilities acquired in foreign currency are recorded at the exchange rate prevailing at the initial transaction date and are not subsequently adjusted.</w:t>
      </w:r>
    </w:p>
    <w:p>
      <w:pPr>
        <w:spacing w:after="0" w:line="149" w:lineRule="exact"/>
        <w:rPr>
          <w:sz w:val="20"/>
          <w:szCs w:val="20"/>
          <w:color w:val="auto"/>
        </w:rPr>
      </w:pPr>
    </w:p>
    <w:p>
      <w:pPr>
        <w:ind w:left="684" w:hanging="395"/>
        <w:spacing w:after="0"/>
        <w:tabs>
          <w:tab w:leader="none" w:pos="6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Group entities with functional currency other than the presentation currency -</w:t>
      </w:r>
    </w:p>
    <w:p>
      <w:pPr>
        <w:spacing w:after="0" w:line="202" w:lineRule="exact"/>
        <w:rPr>
          <w:sz w:val="20"/>
          <w:szCs w:val="20"/>
          <w:color w:val="auto"/>
        </w:rPr>
      </w:pPr>
    </w:p>
    <w:p>
      <w:pPr>
        <w:jc w:val="both"/>
        <w:ind w:left="584" w:right="60"/>
        <w:spacing w:after="0" w:line="255" w:lineRule="auto"/>
        <w:rPr>
          <w:sz w:val="20"/>
          <w:szCs w:val="20"/>
          <w:color w:val="auto"/>
        </w:rPr>
      </w:pPr>
      <w:r>
        <w:rPr>
          <w:rFonts w:ascii="Arial" w:cs="Arial" w:eastAsia="Arial" w:hAnsi="Arial"/>
          <w:sz w:val="16"/>
          <w:szCs w:val="16"/>
          <w:color w:val="auto"/>
        </w:rPr>
        <w:t>Given that the Group’s entities in Colombia, Chile, Cayman Islands, Bermuda, Panama, Bolivia, United States of America and Mexico have a functional currency different from the sol, the balances were translated into Soles for consolidation purposes in accordance with IAS 21, “The Effects of Changes in Foreign Exchange Rates” as follows:</w:t>
      </w:r>
    </w:p>
    <w:p>
      <w:pPr>
        <w:spacing w:after="0" w:line="137" w:lineRule="exact"/>
        <w:rPr>
          <w:sz w:val="20"/>
          <w:szCs w:val="20"/>
          <w:color w:val="auto"/>
        </w:rPr>
      </w:pPr>
    </w:p>
    <w:p>
      <w:pPr>
        <w:ind w:left="864" w:hanging="285"/>
        <w:spacing w:after="0"/>
        <w:tabs>
          <w:tab w:leader="none" w:pos="8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Assets and liabilities, at the closing rate prevailing at each reporting date.</w:t>
      </w:r>
    </w:p>
    <w:p>
      <w:pPr>
        <w:spacing w:after="0" w:line="29" w:lineRule="exact"/>
        <w:rPr>
          <w:rFonts w:ascii="Arial" w:cs="Arial" w:eastAsia="Arial" w:hAnsi="Arial"/>
          <w:sz w:val="16"/>
          <w:szCs w:val="16"/>
          <w:color w:val="auto"/>
        </w:rPr>
      </w:pPr>
    </w:p>
    <w:p>
      <w:pPr>
        <w:ind w:left="864" w:hanging="285"/>
        <w:spacing w:after="0"/>
        <w:tabs>
          <w:tab w:leader="none" w:pos="8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Income and expenses, at the average exchange rate for each month of the year.</w:t>
      </w:r>
    </w:p>
    <w:p>
      <w:pPr>
        <w:spacing w:after="0" w:line="194" w:lineRule="exact"/>
        <w:rPr>
          <w:sz w:val="20"/>
          <w:szCs w:val="20"/>
          <w:color w:val="auto"/>
        </w:rPr>
      </w:pPr>
    </w:p>
    <w:p>
      <w:pPr>
        <w:ind w:left="584" w:right="240"/>
        <w:spacing w:after="0" w:line="255" w:lineRule="auto"/>
        <w:rPr>
          <w:sz w:val="20"/>
          <w:szCs w:val="20"/>
          <w:color w:val="auto"/>
        </w:rPr>
      </w:pPr>
      <w:r>
        <w:rPr>
          <w:rFonts w:ascii="Arial" w:cs="Arial" w:eastAsia="Arial" w:hAnsi="Arial"/>
          <w:sz w:val="16"/>
          <w:szCs w:val="16"/>
          <w:color w:val="auto"/>
        </w:rPr>
        <w:t>All resulting exchange differences were recognized within “Exchange differences on translation of foreign operations”, including the differences in financial instruments designated as accounting hedges of said investments, in the consolidated statement of comprehensive income.</w:t>
      </w:r>
    </w:p>
    <w:p>
      <w:pPr>
        <w:spacing w:after="0" w:line="137" w:lineRule="exact"/>
        <w:rPr>
          <w:sz w:val="20"/>
          <w:szCs w:val="20"/>
          <w:color w:val="auto"/>
        </w:rPr>
      </w:pPr>
    </w:p>
    <w:p>
      <w:pPr>
        <w:ind w:left="284" w:right="7620" w:hanging="284"/>
        <w:spacing w:after="0" w:line="487" w:lineRule="auto"/>
        <w:tabs>
          <w:tab w:leader="none" w:pos="2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Recognition of income and expenses - Banking activities -</w:t>
      </w:r>
    </w:p>
    <w:p>
      <w:pPr>
        <w:spacing w:after="0" w:line="1"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Interest income and expenses:</w:t>
      </w:r>
    </w:p>
    <w:p>
      <w:pPr>
        <w:spacing w:after="0" w:line="177" w:lineRule="exact"/>
        <w:rPr>
          <w:rFonts w:ascii="Arial" w:cs="Arial" w:eastAsia="Arial" w:hAnsi="Arial"/>
          <w:sz w:val="16"/>
          <w:szCs w:val="16"/>
          <w:color w:val="auto"/>
        </w:rPr>
      </w:pPr>
    </w:p>
    <w:p>
      <w:pPr>
        <w:jc w:val="both"/>
        <w:ind w:left="284" w:right="20"/>
        <w:spacing w:after="0" w:line="274" w:lineRule="auto"/>
        <w:rPr>
          <w:rFonts w:ascii="Arial" w:cs="Arial" w:eastAsia="Arial" w:hAnsi="Arial"/>
          <w:sz w:val="16"/>
          <w:szCs w:val="16"/>
          <w:color w:val="auto"/>
        </w:rPr>
      </w:pPr>
      <w:r>
        <w:rPr>
          <w:rFonts w:ascii="Arial" w:cs="Arial" w:eastAsia="Arial" w:hAnsi="Arial"/>
          <w:sz w:val="16"/>
          <w:szCs w:val="16"/>
          <w:color w:val="auto"/>
        </w:rPr>
        <w:t>Interest income is recorded using the effective interest rate (EIR) method for all financial instruments measured at amortized cost and at fair value through other comprehensive income. Interest expenses corresponding to liabilities measured at amortized cost are also recorded using the EIR.</w:t>
      </w:r>
    </w:p>
    <w:p>
      <w:pPr>
        <w:spacing w:after="0" w:line="279" w:lineRule="exact"/>
        <w:rPr>
          <w:rFonts w:ascii="Arial" w:cs="Arial" w:eastAsia="Arial" w:hAnsi="Arial"/>
          <w:sz w:val="16"/>
          <w:szCs w:val="16"/>
          <w:color w:val="auto"/>
        </w:rPr>
      </w:pPr>
    </w:p>
    <w:p>
      <w:pPr>
        <w:ind w:left="4964" w:hanging="104"/>
        <w:spacing w:after="0"/>
        <w:tabs>
          <w:tab w:leader="none" w:pos="4964" w:val="left"/>
        </w:tabs>
        <w:numPr>
          <w:ilvl w:val="1"/>
          <w:numId w:val="22"/>
        </w:numPr>
        <w:rPr>
          <w:rFonts w:ascii="Arial" w:cs="Arial" w:eastAsia="Arial" w:hAnsi="Arial"/>
          <w:sz w:val="16"/>
          <w:szCs w:val="16"/>
          <w:color w:val="auto"/>
        </w:rPr>
      </w:pPr>
      <w:r>
        <w:rPr>
          <w:rFonts w:ascii="Arial" w:cs="Arial" w:eastAsia="Arial" w:hAnsi="Arial"/>
          <w:sz w:val="16"/>
          <w:szCs w:val="16"/>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44"/>
          </w:cols>
          <w:pgMar w:left="896" w:top="497" w:right="359" w:bottom="1440" w:gutter="0" w:footer="0" w:header="0"/>
        </w:sectPr>
      </w:pPr>
    </w:p>
    <w:bookmarkStart w:id="34" w:name="page35"/>
    <w:bookmarkEnd w:id="34"/>
    <w:p>
      <w:pPr>
        <w:ind w:right="140"/>
        <w:spacing w:after="0" w:line="248" w:lineRule="auto"/>
        <w:rPr>
          <w:sz w:val="20"/>
          <w:szCs w:val="20"/>
          <w:color w:val="auto"/>
        </w:rPr>
      </w:pPr>
      <w:r>
        <w:rPr>
          <w:rFonts w:ascii="Arial" w:cs="Arial" w:eastAsia="Arial" w:hAnsi="Arial"/>
          <w:sz w:val="16"/>
          <w:szCs w:val="16"/>
          <w:color w:val="auto"/>
        </w:rPr>
        <w:t>The EIR is the rate that exactly discounts future cash flows that are estimated to be paid or received during the life of the instrument or a shorter period, if appropriate, to the gross carrying amount of the financial asset or financial liability. The EIR (and, therefore, the amortized cost of the financial asset or liability) is calculated taking into account any discount, premium and transaction costs that are an integral part of the effective interest rate of the financial instrument, but the expected credit loss is not included.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Group calculates interest income by applying the EIR to the gross carrying amount of those financial assets that are not impaired.</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When a financial asset becomes impaired and, therefore, is considered in Stage 3 (as set out in Note 3(i) impairment of financial assets), the Group calculates interest income by applying the interest rate effective at the carrying amount of the asset, net of its provision for credit loss. If the evidence that the criteria for the recognition of the financial assets in Stage 3 are no longer met, the Group recalculates interest income in gross terms.</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Interest income and expenses accrued from all financial instruments that generate interest, including those related to financial instruments carried at fair value through profit or loss, are recorded under the heading “Interest and similar income” and “Interest and similar expenses” of the consolidated statement of income.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fees: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Income from commissions (which are not an integral part of the EIR) and fees are recognized as they are earned. Commissions and fees include, among others, the commission charged for the banking service in general such as account maintenance, shipping, transfers, loan syndication fees and fees for contingent credits.</w:t>
      </w:r>
    </w:p>
    <w:p>
      <w:pPr>
        <w:spacing w:after="0" w:line="137"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Income from commissions and fees is recognized at an amount that reflects the consideration to which the Group expects to be entitled in exchange for providing the services. Performance obligations, as well as the timing of their satisfaction, are identified and determined at the time of contract. The Group's revenue contracts do not include multiple performance obligations.</w:t>
      </w:r>
    </w:p>
    <w:p>
      <w:pPr>
        <w:spacing w:after="0" w:line="13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When the Group provides a service to its clients, the consideration is invoiced and generally collected immediately after the provision of a service at a given time or at the end of the contract period for a service provided over time.</w:t>
      </w:r>
    </w:p>
    <w:p>
      <w:pPr>
        <w:spacing w:after="0" w:line="123" w:lineRule="exact"/>
        <w:rPr>
          <w:sz w:val="20"/>
          <w:szCs w:val="20"/>
          <w:color w:val="auto"/>
        </w:rPr>
      </w:pPr>
    </w:p>
    <w:p>
      <w:pPr>
        <w:ind w:right="820"/>
        <w:spacing w:after="0" w:line="274" w:lineRule="auto"/>
        <w:rPr>
          <w:sz w:val="20"/>
          <w:szCs w:val="20"/>
          <w:color w:val="auto"/>
        </w:rPr>
      </w:pPr>
      <w:r>
        <w:rPr>
          <w:rFonts w:ascii="Arial" w:cs="Arial" w:eastAsia="Arial" w:hAnsi="Arial"/>
          <w:sz w:val="16"/>
          <w:szCs w:val="16"/>
          <w:color w:val="auto"/>
        </w:rPr>
        <w:t>The Group has generally concluded that it is the principal in its revenue arrangements because it normally controls the services before transferring them to the client.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Medical services activities -</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Revenue Recognition -</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Revenue is recorded at the fair value of the consideration agreed upon, excluding taxes, and is recognized when no remaining obligations affect the customer’s acceptance of the service. Revenue corresponds to the transaction price allocated to each performance obligation and may include both fixed and variable amounts.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Medical Services:</w:t>
      </w:r>
    </w:p>
    <w:p>
      <w:pPr>
        <w:spacing w:after="0" w:line="17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Outpatient Services: Revenue is recognized at a specific point in time, upon completion of the medical service and issuance of the corresponding record and invoice.</w:t>
      </w:r>
    </w:p>
    <w:p>
      <w:pPr>
        <w:spacing w:after="0" w:line="12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Hospitalization and Emergency Services: Revenue is recognized over time as the service is rendered. Progress is measured using the cost-plus-margin percentage of completion method, in accordance with the agreement.</w:t>
      </w:r>
    </w:p>
    <w:p>
      <w:pPr>
        <w:spacing w:after="0" w:line="28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0"/>
          </w:cols>
          <w:pgMar w:left="1180" w:top="316" w:right="359" w:bottom="1440" w:gutter="0" w:footer="0" w:header="0"/>
        </w:sectPr>
      </w:pPr>
    </w:p>
    <w:bookmarkStart w:id="35" w:name="page36"/>
    <w:bookmarkEnd w:id="35"/>
    <w:p>
      <w:pPr>
        <w:ind w:left="284"/>
        <w:spacing w:after="0"/>
        <w:rPr>
          <w:sz w:val="20"/>
          <w:szCs w:val="20"/>
          <w:color w:val="auto"/>
        </w:rPr>
      </w:pPr>
      <w:r>
        <w:rPr>
          <w:rFonts w:ascii="Arial" w:cs="Arial" w:eastAsia="Arial" w:hAnsi="Arial"/>
          <w:sz w:val="16"/>
          <w:szCs w:val="16"/>
          <w:color w:val="auto"/>
        </w:rPr>
        <w:t>Sale of Pharmaceuticals:</w:t>
      </w:r>
    </w:p>
    <w:p>
      <w:pPr>
        <w:spacing w:after="0" w:line="178" w:lineRule="exact"/>
        <w:rPr>
          <w:sz w:val="20"/>
          <w:szCs w:val="20"/>
          <w:color w:val="auto"/>
        </w:rPr>
      </w:pPr>
    </w:p>
    <w:p>
      <w:pPr>
        <w:ind w:left="284" w:right="1360"/>
        <w:spacing w:after="0" w:line="472" w:lineRule="auto"/>
        <w:rPr>
          <w:sz w:val="20"/>
          <w:szCs w:val="20"/>
          <w:color w:val="auto"/>
        </w:rPr>
      </w:pPr>
      <w:r>
        <w:rPr>
          <w:rFonts w:ascii="Arial" w:cs="Arial" w:eastAsia="Arial" w:hAnsi="Arial"/>
          <w:sz w:val="16"/>
          <w:szCs w:val="16"/>
          <w:color w:val="auto"/>
        </w:rPr>
        <w:t>Revenue is recognized at a specific point in time when control of the products is transferred, which coincides with their delivery. Recognition of Costs and Expenses -</w:t>
      </w:r>
    </w:p>
    <w:p>
      <w:pPr>
        <w:ind w:left="284" w:right="100"/>
        <w:spacing w:after="0" w:line="274" w:lineRule="auto"/>
        <w:rPr>
          <w:sz w:val="20"/>
          <w:szCs w:val="20"/>
          <w:color w:val="auto"/>
        </w:rPr>
      </w:pPr>
      <w:r>
        <w:rPr>
          <w:rFonts w:ascii="Arial" w:cs="Arial" w:eastAsia="Arial" w:hAnsi="Arial"/>
          <w:sz w:val="16"/>
          <w:szCs w:val="16"/>
          <w:color w:val="auto"/>
        </w:rPr>
        <w:t>Costs: Recognized as medical services are rendered, medications are consumed, diagnostic tests are performed, or when the related revenue is recognized.</w:t>
      </w:r>
    </w:p>
    <w:p>
      <w:pPr>
        <w:spacing w:after="0" w:line="123" w:lineRule="exact"/>
        <w:rPr>
          <w:sz w:val="20"/>
          <w:szCs w:val="20"/>
          <w:color w:val="auto"/>
        </w:rPr>
      </w:pPr>
    </w:p>
    <w:p>
      <w:pPr>
        <w:ind w:left="284" w:right="600"/>
        <w:spacing w:after="0" w:line="274" w:lineRule="auto"/>
        <w:rPr>
          <w:sz w:val="20"/>
          <w:szCs w:val="20"/>
          <w:color w:val="auto"/>
        </w:rPr>
      </w:pPr>
      <w:r>
        <w:rPr>
          <w:rFonts w:ascii="Arial" w:cs="Arial" w:eastAsia="Arial" w:hAnsi="Arial"/>
          <w:sz w:val="16"/>
          <w:szCs w:val="16"/>
          <w:color w:val="auto"/>
        </w:rPr>
        <w:t>Expenses: Recorded when there is a decrease in future economic benefits resulting from a reduction of assets or an increase in liabilities, provided that the amounts can be measured reliably, regardless of the timing of payment.</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Other income and expenses -</w:t>
      </w:r>
    </w:p>
    <w:p>
      <w:pPr>
        <w:spacing w:after="0" w:line="178"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All other income and expenses are recorded in the period in which the performance obligation is satisfied.</w:t>
      </w:r>
    </w:p>
    <w:p>
      <w:pPr>
        <w:spacing w:after="0" w:line="178" w:lineRule="exact"/>
        <w:rPr>
          <w:sz w:val="20"/>
          <w:szCs w:val="20"/>
          <w:color w:val="auto"/>
        </w:rPr>
      </w:pPr>
    </w:p>
    <w:p>
      <w:pPr>
        <w:ind w:left="284" w:hanging="284"/>
        <w:spacing w:after="0"/>
        <w:tabs>
          <w:tab w:leader="none" w:pos="2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Insurance activities -</w:t>
      </w:r>
    </w:p>
    <w:p>
      <w:pPr>
        <w:spacing w:after="0" w:line="202" w:lineRule="exact"/>
        <w:rPr>
          <w:rFonts w:ascii="Arial" w:cs="Arial" w:eastAsia="Arial" w:hAnsi="Arial"/>
          <w:sz w:val="16"/>
          <w:szCs w:val="16"/>
          <w:color w:val="auto"/>
        </w:rPr>
      </w:pPr>
    </w:p>
    <w:p>
      <w:pPr>
        <w:ind w:left="284" w:right="5740"/>
        <w:spacing w:after="0" w:line="472" w:lineRule="auto"/>
        <w:rPr>
          <w:rFonts w:ascii="Arial" w:cs="Arial" w:eastAsia="Arial" w:hAnsi="Arial"/>
          <w:sz w:val="16"/>
          <w:szCs w:val="16"/>
          <w:color w:val="auto"/>
        </w:rPr>
      </w:pPr>
      <w:r>
        <w:rPr>
          <w:rFonts w:ascii="Arial" w:cs="Arial" w:eastAsia="Arial" w:hAnsi="Arial"/>
          <w:sz w:val="16"/>
          <w:szCs w:val="16"/>
          <w:color w:val="auto"/>
        </w:rPr>
        <w:t>Below is the Group’s accounting policy for its insurance activities: Classification of insurance and reinsurance contracts:</w:t>
      </w:r>
    </w:p>
    <w:p>
      <w:pPr>
        <w:jc w:val="both"/>
        <w:ind w:left="284" w:right="840"/>
        <w:spacing w:after="0" w:line="255" w:lineRule="auto"/>
        <w:rPr>
          <w:rFonts w:ascii="Arial" w:cs="Arial" w:eastAsia="Arial" w:hAnsi="Arial"/>
          <w:sz w:val="16"/>
          <w:szCs w:val="16"/>
          <w:color w:val="auto"/>
        </w:rPr>
      </w:pPr>
      <w:r>
        <w:rPr>
          <w:rFonts w:ascii="Arial" w:cs="Arial" w:eastAsia="Arial" w:hAnsi="Arial"/>
          <w:sz w:val="16"/>
          <w:szCs w:val="16"/>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w:t>
      </w:r>
    </w:p>
    <w:p>
      <w:pPr>
        <w:spacing w:after="0" w:line="137" w:lineRule="exact"/>
        <w:rPr>
          <w:rFonts w:ascii="Arial" w:cs="Arial" w:eastAsia="Arial" w:hAnsi="Arial"/>
          <w:sz w:val="16"/>
          <w:szCs w:val="16"/>
          <w:color w:val="auto"/>
        </w:rPr>
      </w:pPr>
    </w:p>
    <w:p>
      <w:pPr>
        <w:ind w:left="284"/>
        <w:spacing w:after="0" w:line="245" w:lineRule="auto"/>
        <w:rPr>
          <w:rFonts w:ascii="Arial" w:cs="Arial" w:eastAsia="Arial" w:hAnsi="Arial"/>
          <w:sz w:val="16"/>
          <w:szCs w:val="16"/>
          <w:color w:val="auto"/>
        </w:rPr>
      </w:pPr>
      <w:r>
        <w:rPr>
          <w:rFonts w:ascii="Arial" w:cs="Arial" w:eastAsia="Arial" w:hAnsi="Arial"/>
          <w:sz w:val="16"/>
          <w:szCs w:val="16"/>
          <w:color w:val="auto"/>
        </w:rPr>
        <w:t>Once a contract has been classified as an insurance contract, it remains an insurance contract for the remainder of its lifetime, even if the insurance risk decreases significantly during this period, unless all rights and obligations are extinguished or expire. The life insurance contracts offered by the Group include retirement, disability, and survivorship insurance, annuity contracts, and individual life insurance contracts, including Investment Link insurance. The non-life insurance contracts issued by the Group mainly cover automobile, fire and allied lines, technical lines, and health insurance.</w:t>
      </w:r>
    </w:p>
    <w:p>
      <w:pPr>
        <w:spacing w:after="0" w:line="146" w:lineRule="exact"/>
        <w:rPr>
          <w:rFonts w:ascii="Arial" w:cs="Arial" w:eastAsia="Arial" w:hAnsi="Arial"/>
          <w:sz w:val="16"/>
          <w:szCs w:val="16"/>
          <w:color w:val="auto"/>
        </w:rPr>
      </w:pPr>
    </w:p>
    <w:p>
      <w:pPr>
        <w:ind w:left="284" w:right="5280"/>
        <w:spacing w:after="0" w:line="472" w:lineRule="auto"/>
        <w:rPr>
          <w:rFonts w:ascii="Arial" w:cs="Arial" w:eastAsia="Arial" w:hAnsi="Arial"/>
          <w:sz w:val="16"/>
          <w:szCs w:val="16"/>
          <w:color w:val="auto"/>
        </w:rPr>
      </w:pPr>
      <w:r>
        <w:rPr>
          <w:rFonts w:ascii="Arial" w:cs="Arial" w:eastAsia="Arial" w:hAnsi="Arial"/>
          <w:sz w:val="16"/>
          <w:szCs w:val="16"/>
          <w:color w:val="auto"/>
        </w:rPr>
        <w:t>Accounting treatment of insurance and reinsurance contracts: Separation of the components of insurance and reinsurance contracts –</w:t>
      </w:r>
    </w:p>
    <w:p>
      <w:pPr>
        <w:ind w:left="284" w:right="180"/>
        <w:spacing w:after="0" w:line="274" w:lineRule="auto"/>
        <w:rPr>
          <w:rFonts w:ascii="Arial" w:cs="Arial" w:eastAsia="Arial" w:hAnsi="Arial"/>
          <w:sz w:val="16"/>
          <w:szCs w:val="16"/>
          <w:color w:val="auto"/>
        </w:rPr>
      </w:pPr>
      <w:r>
        <w:rPr>
          <w:rFonts w:ascii="Arial" w:cs="Arial" w:eastAsia="Arial" w:hAnsi="Arial"/>
          <w:sz w:val="16"/>
          <w:szCs w:val="16"/>
          <w:color w:val="auto"/>
        </w:rPr>
        <w:t>The Group evaluates its insurance and reinsurance products to determine if they contain components that must be accounted for under another IFRS instead of IFRS 17.</w:t>
      </w:r>
    </w:p>
    <w:p>
      <w:pPr>
        <w:spacing w:after="0" w:line="122" w:lineRule="exact"/>
        <w:rPr>
          <w:rFonts w:ascii="Arial" w:cs="Arial" w:eastAsia="Arial" w:hAnsi="Arial"/>
          <w:sz w:val="16"/>
          <w:szCs w:val="16"/>
          <w:color w:val="auto"/>
        </w:rPr>
      </w:pPr>
    </w:p>
    <w:p>
      <w:pPr>
        <w:ind w:left="284" w:right="980"/>
        <w:spacing w:after="0" w:line="472" w:lineRule="auto"/>
        <w:rPr>
          <w:rFonts w:ascii="Arial" w:cs="Arial" w:eastAsia="Arial" w:hAnsi="Arial"/>
          <w:sz w:val="16"/>
          <w:szCs w:val="16"/>
          <w:color w:val="auto"/>
        </w:rPr>
      </w:pPr>
      <w:r>
        <w:rPr>
          <w:rFonts w:ascii="Arial" w:cs="Arial" w:eastAsia="Arial" w:hAnsi="Arial"/>
          <w:sz w:val="16"/>
          <w:szCs w:val="16"/>
          <w:color w:val="auto"/>
        </w:rPr>
        <w:t>After separating the various components, an entity must apply IFRS 17 to all remaining components of the (host) insurance contract. Currently, the Group's products do not include differentiated components that require separation.</w:t>
      </w:r>
    </w:p>
    <w:p>
      <w:pPr>
        <w:ind w:left="284" w:right="200"/>
        <w:spacing w:after="0" w:line="274" w:lineRule="auto"/>
        <w:rPr>
          <w:rFonts w:ascii="Arial" w:cs="Arial" w:eastAsia="Arial" w:hAnsi="Arial"/>
          <w:sz w:val="16"/>
          <w:szCs w:val="16"/>
          <w:color w:val="auto"/>
        </w:rPr>
      </w:pPr>
      <w:r>
        <w:rPr>
          <w:rFonts w:ascii="Arial" w:cs="Arial" w:eastAsia="Arial" w:hAnsi="Arial"/>
          <w:sz w:val="16"/>
          <w:szCs w:val="16"/>
          <w:color w:val="auto"/>
        </w:rPr>
        <w:t>Investment components are the amounts that an insurance contract requires an insurer to reimburse a policyholder in all circumstances, even if an insured event does not occur.</w:t>
      </w:r>
    </w:p>
    <w:p>
      <w:pPr>
        <w:spacing w:after="0" w:line="122" w:lineRule="exact"/>
        <w:rPr>
          <w:rFonts w:ascii="Arial" w:cs="Arial" w:eastAsia="Arial" w:hAnsi="Arial"/>
          <w:sz w:val="16"/>
          <w:szCs w:val="16"/>
          <w:color w:val="auto"/>
        </w:rPr>
      </w:pPr>
    </w:p>
    <w:p>
      <w:pPr>
        <w:ind w:left="284" w:right="100"/>
        <w:spacing w:after="0" w:line="255" w:lineRule="auto"/>
        <w:rPr>
          <w:rFonts w:ascii="Arial" w:cs="Arial" w:eastAsia="Arial" w:hAnsi="Arial"/>
          <w:sz w:val="16"/>
          <w:szCs w:val="16"/>
          <w:color w:val="auto"/>
        </w:rPr>
      </w:pPr>
      <w:r>
        <w:rPr>
          <w:rFonts w:ascii="Arial" w:cs="Arial" w:eastAsia="Arial" w:hAnsi="Arial"/>
          <w:sz w:val="16"/>
          <w:szCs w:val="16"/>
          <w:color w:val="auto"/>
        </w:rPr>
        <w:t>Investment components that are highly interrelated with the insurance contract of which they form part are considered non-distinct and are not accounted for separately. However, the receipts and payments of the investment components are excluded from the income and expenses of the insurance activity.</w:t>
      </w:r>
    </w:p>
    <w:p>
      <w:pPr>
        <w:spacing w:after="0" w:line="294" w:lineRule="exact"/>
        <w:rPr>
          <w:rFonts w:ascii="Arial" w:cs="Arial" w:eastAsia="Arial" w:hAnsi="Arial"/>
          <w:sz w:val="16"/>
          <w:szCs w:val="16"/>
          <w:color w:val="auto"/>
        </w:rPr>
      </w:pPr>
    </w:p>
    <w:p>
      <w:pPr>
        <w:ind w:left="4964" w:hanging="104"/>
        <w:spacing w:after="0"/>
        <w:tabs>
          <w:tab w:leader="none" w:pos="4964" w:val="left"/>
        </w:tabs>
        <w:numPr>
          <w:ilvl w:val="1"/>
          <w:numId w:val="23"/>
        </w:numPr>
        <w:rPr>
          <w:rFonts w:ascii="Arial" w:cs="Arial" w:eastAsia="Arial" w:hAnsi="Arial"/>
          <w:sz w:val="16"/>
          <w:szCs w:val="16"/>
          <w:color w:val="auto"/>
        </w:rPr>
      </w:pPr>
      <w:r>
        <w:rPr>
          <w:rFonts w:ascii="Arial" w:cs="Arial" w:eastAsia="Arial" w:hAnsi="Arial"/>
          <w:sz w:val="16"/>
          <w:szCs w:val="16"/>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36" w:name="page37"/>
    <w:bookmarkEnd w:id="36"/>
    <w:p>
      <w:pPr>
        <w:ind w:right="20"/>
        <w:spacing w:after="0" w:line="255" w:lineRule="auto"/>
        <w:rPr>
          <w:sz w:val="20"/>
          <w:szCs w:val="20"/>
          <w:color w:val="auto"/>
        </w:rPr>
      </w:pPr>
      <w:r>
        <w:rPr>
          <w:rFonts w:ascii="Arial" w:cs="Arial" w:eastAsia="Arial" w:hAnsi="Arial"/>
          <w:sz w:val="16"/>
          <w:szCs w:val="16"/>
          <w:color w:val="auto"/>
        </w:rPr>
        <w:t>Some reinsurance contracts issued contain profit commission arrangements. Under these agreements, there is a guaranteed minimum amount that the policyholder will always receive, whether in the form of profit commission, claims, or other contractual payment, regardless of whether the insured event occurs.</w:t>
      </w:r>
    </w:p>
    <w:p>
      <w:pPr>
        <w:spacing w:after="0" w:line="137" w:lineRule="exact"/>
        <w:rPr>
          <w:sz w:val="20"/>
          <w:szCs w:val="20"/>
          <w:color w:val="auto"/>
        </w:rPr>
      </w:pPr>
    </w:p>
    <w:p>
      <w:pPr>
        <w:jc w:val="both"/>
        <w:ind w:right="220"/>
        <w:spacing w:after="0" w:line="255" w:lineRule="auto"/>
        <w:rPr>
          <w:sz w:val="20"/>
          <w:szCs w:val="20"/>
          <w:color w:val="auto"/>
        </w:rPr>
      </w:pPr>
      <w:r>
        <w:rPr>
          <w:rFonts w:ascii="Arial" w:cs="Arial" w:eastAsia="Arial" w:hAnsi="Arial"/>
          <w:sz w:val="16"/>
          <w:szCs w:val="16"/>
          <w:color w:val="auto"/>
        </w:rPr>
        <w:t>The components of the profit commission are assessed to be highly interrelated with the insurance component of reinsurance contracts so that they are considered non-distinct investment components so that separate accounting is not required. However, receipts and payments of these investment components are recognized outside of profit or loss.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Aggregation level and classification –</w:t>
      </w:r>
    </w:p>
    <w:p>
      <w:pPr>
        <w:spacing w:after="0" w:line="17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grouping of contracts into units of account is performed based on product types, currency, onerousness, and year of issuance, as they share similar risks, are managed collectively, and no contract portfolio may include contracts issued more than one year apart.</w:t>
      </w:r>
    </w:p>
    <w:p>
      <w:pPr>
        <w:spacing w:after="0" w:line="123" w:lineRule="exact"/>
        <w:rPr>
          <w:sz w:val="20"/>
          <w:szCs w:val="20"/>
          <w:color w:val="auto"/>
        </w:rPr>
      </w:pPr>
    </w:p>
    <w:p>
      <w:pPr>
        <w:ind w:right="360"/>
        <w:spacing w:after="0" w:line="274" w:lineRule="auto"/>
        <w:rPr>
          <w:sz w:val="20"/>
          <w:szCs w:val="20"/>
          <w:color w:val="auto"/>
        </w:rPr>
      </w:pPr>
      <w:r>
        <w:rPr>
          <w:rFonts w:ascii="Arial" w:cs="Arial" w:eastAsia="Arial" w:hAnsi="Arial"/>
          <w:sz w:val="16"/>
          <w:szCs w:val="16"/>
          <w:color w:val="auto"/>
        </w:rPr>
        <w:t>The Group classifies a portfolio of insurance and reinsurance contracts into two categories based on the expected profitability at the policy or contract level at the time of recognition, using reasonable and supportable information, as follows:</w:t>
      </w:r>
    </w:p>
    <w:p>
      <w:pPr>
        <w:spacing w:after="0" w:line="123" w:lineRule="exact"/>
        <w:rPr>
          <w:sz w:val="20"/>
          <w:szCs w:val="20"/>
          <w:color w:val="auto"/>
        </w:rPr>
      </w:pPr>
    </w:p>
    <w:p>
      <w:pPr>
        <w:ind w:left="220" w:right="40" w:hanging="215"/>
        <w:spacing w:after="0" w:line="246"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Onerous contracts: A contract is classified as onerous when, at the initial recognition date, the present value of expected outflows exceeds the present value of expected inflows.</w:t>
      </w:r>
    </w:p>
    <w:p>
      <w:pPr>
        <w:ind w:left="220" w:hanging="215"/>
        <w:spacing w:after="0" w:line="253"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Non-onerous contracts: These include contracts for which, at the initial recognition date, the present value of expected outflows is less than the present value of expected inflows.</w:t>
      </w:r>
    </w:p>
    <w:p>
      <w:pPr>
        <w:spacing w:after="0" w:line="139" w:lineRule="exact"/>
        <w:rPr>
          <w:sz w:val="20"/>
          <w:szCs w:val="20"/>
          <w:color w:val="auto"/>
        </w:rPr>
      </w:pPr>
    </w:p>
    <w:p>
      <w:pPr>
        <w:ind w:right="780"/>
        <w:spacing w:after="0" w:line="274" w:lineRule="auto"/>
        <w:rPr>
          <w:sz w:val="20"/>
          <w:szCs w:val="20"/>
          <w:color w:val="auto"/>
        </w:rPr>
      </w:pPr>
      <w:r>
        <w:rPr>
          <w:rFonts w:ascii="Arial" w:cs="Arial" w:eastAsia="Arial" w:hAnsi="Arial"/>
          <w:sz w:val="16"/>
          <w:szCs w:val="16"/>
          <w:color w:val="auto"/>
        </w:rPr>
        <w:t>It should be noted that a contract for accounting purposes may differ from what is considered a contract for other purposes (i.e. legal or management).</w:t>
      </w:r>
    </w:p>
    <w:p>
      <w:pPr>
        <w:spacing w:after="0" w:line="123" w:lineRule="exact"/>
        <w:rPr>
          <w:sz w:val="20"/>
          <w:szCs w:val="20"/>
          <w:color w:val="auto"/>
        </w:rPr>
      </w:pPr>
    </w:p>
    <w:p>
      <w:pPr>
        <w:ind w:right="320"/>
        <w:spacing w:after="0" w:line="274" w:lineRule="auto"/>
        <w:rPr>
          <w:sz w:val="20"/>
          <w:szCs w:val="20"/>
          <w:color w:val="auto"/>
        </w:rPr>
      </w:pPr>
      <w:r>
        <w:rPr>
          <w:rFonts w:ascii="Arial" w:cs="Arial" w:eastAsia="Arial" w:hAnsi="Arial"/>
          <w:sz w:val="16"/>
          <w:szCs w:val="16"/>
          <w:color w:val="auto"/>
        </w:rPr>
        <w:t>The expected return of these portfolios at inception is determined based on existing actuarial valuation models that consider new and existing businesses.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Recognition of insurance and reinsurance contracts –</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a group of insurance contracts issued when the earliest of the following events occurs:</w:t>
      </w:r>
    </w:p>
    <w:p>
      <w:pPr>
        <w:spacing w:after="0" w:line="178" w:lineRule="exact"/>
        <w:rPr>
          <w:sz w:val="20"/>
          <w:szCs w:val="20"/>
          <w:color w:val="auto"/>
        </w:rPr>
      </w:pPr>
    </w:p>
    <w:p>
      <w:pPr>
        <w:ind w:left="220" w:hanging="215"/>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beginning of the coverage period of the group of contracts.</w:t>
      </w:r>
    </w:p>
    <w:p>
      <w:pPr>
        <w:spacing w:after="0" w:line="29" w:lineRule="exact"/>
        <w:rPr>
          <w:rFonts w:ascii="Arial" w:cs="Arial" w:eastAsia="Arial" w:hAnsi="Arial"/>
          <w:sz w:val="16"/>
          <w:szCs w:val="16"/>
          <w:color w:val="auto"/>
        </w:rPr>
      </w:pPr>
    </w:p>
    <w:p>
      <w:pPr>
        <w:ind w:left="220" w:hanging="215"/>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maturity date of the policyholder’s first payment within the group.</w:t>
      </w:r>
    </w:p>
    <w:p>
      <w:pPr>
        <w:spacing w:after="0" w:line="21" w:lineRule="exact"/>
        <w:rPr>
          <w:rFonts w:ascii="Arial" w:cs="Arial" w:eastAsia="Arial" w:hAnsi="Arial"/>
          <w:sz w:val="16"/>
          <w:szCs w:val="16"/>
          <w:color w:val="auto"/>
        </w:rPr>
      </w:pPr>
    </w:p>
    <w:p>
      <w:pPr>
        <w:ind w:left="220" w:hanging="215"/>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a group of onerous contracts, as soon as the facts and circumstances indicate that the group is onerous.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reinsurance contracts held when any of the following events occurs:</w:t>
      </w:r>
    </w:p>
    <w:p>
      <w:pPr>
        <w:spacing w:after="0" w:line="178" w:lineRule="exact"/>
        <w:rPr>
          <w:sz w:val="20"/>
          <w:szCs w:val="20"/>
          <w:color w:val="auto"/>
        </w:rPr>
      </w:pPr>
    </w:p>
    <w:p>
      <w:pPr>
        <w:ind w:left="220" w:hanging="215"/>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all other cases from the beginning of the coverage period of the group of reinsurance contracts maintained.</w:t>
      </w:r>
    </w:p>
    <w:p>
      <w:pPr>
        <w:spacing w:after="0" w:line="29" w:lineRule="exact"/>
        <w:rPr>
          <w:rFonts w:ascii="Arial" w:cs="Arial" w:eastAsia="Arial" w:hAnsi="Arial"/>
          <w:sz w:val="16"/>
          <w:szCs w:val="16"/>
          <w:color w:val="auto"/>
        </w:rPr>
      </w:pPr>
    </w:p>
    <w:p>
      <w:pPr>
        <w:ind w:left="220" w:right="120" w:hanging="215"/>
        <w:spacing w:after="0" w:line="263" w:lineRule="auto"/>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the Group recognizes an onerous group of underlying insurance contracts if the Group entered into the related reinsurance contract held in the group of reinsurance contracts held at or before that date.</w:t>
      </w:r>
    </w:p>
    <w:p>
      <w:pPr>
        <w:spacing w:after="0" w:line="131" w:lineRule="exact"/>
        <w:rPr>
          <w:sz w:val="20"/>
          <w:szCs w:val="20"/>
          <w:color w:val="auto"/>
        </w:rPr>
      </w:pPr>
    </w:p>
    <w:p>
      <w:pPr>
        <w:ind w:right="580"/>
        <w:spacing w:after="0" w:line="274" w:lineRule="auto"/>
        <w:rPr>
          <w:sz w:val="20"/>
          <w:szCs w:val="20"/>
          <w:color w:val="auto"/>
        </w:rPr>
      </w:pPr>
      <w:r>
        <w:rPr>
          <w:rFonts w:ascii="Arial" w:cs="Arial" w:eastAsia="Arial" w:hAnsi="Arial"/>
          <w:sz w:val="16"/>
          <w:szCs w:val="16"/>
          <w:color w:val="auto"/>
        </w:rPr>
        <w:t>Whether the reinsurance contracts held provide proportional coverage at the beginning of the coverage period of the group of reinsurance contracts held or at the initial recognition of any underlying contract, whichever is later.</w:t>
      </w:r>
    </w:p>
    <w:p>
      <w:pPr>
        <w:spacing w:after="0" w:line="28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0"/>
          </w:cols>
          <w:pgMar w:left="1180" w:top="316"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Contract boundary –</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Group includes in the measurement of a group of insurance contracts all future cash flows within the limit of each contract in the group. Cash flows are within the limits of an insurance contract if they arise from substantive rights and obligations that exist during the reporting period in which the Group has a substantive obligation to provide the policyholder with insurance services insurance contract.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substantive obligation to provide the services of the insurance contract ends when:</w:t>
      </w:r>
    </w:p>
    <w:p>
      <w:pPr>
        <w:spacing w:after="0" w:line="178" w:lineRule="exact"/>
        <w:rPr>
          <w:sz w:val="20"/>
          <w:szCs w:val="20"/>
          <w:color w:val="auto"/>
        </w:rPr>
      </w:pPr>
    </w:p>
    <w:p>
      <w:pPr>
        <w:ind w:left="220" w:right="40" w:hanging="215"/>
        <w:spacing w:after="0" w:line="274" w:lineRule="auto"/>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Group has the practical ability to reassess the risks of the particular policyholder and, as a result, can establish a price or level of benefits that fully reflects those risks.</w:t>
      </w:r>
    </w:p>
    <w:p>
      <w:pPr>
        <w:spacing w:after="0" w:line="122" w:lineRule="exact"/>
        <w:rPr>
          <w:rFonts w:ascii="Arial" w:cs="Arial" w:eastAsia="Arial" w:hAnsi="Arial"/>
          <w:sz w:val="16"/>
          <w:szCs w:val="16"/>
          <w:color w:val="auto"/>
        </w:rPr>
      </w:pPr>
    </w:p>
    <w:p>
      <w:pPr>
        <w:ind w:left="220" w:hanging="215"/>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two criteria are met:</w:t>
      </w:r>
    </w:p>
    <w:p>
      <w:pPr>
        <w:spacing w:after="0" w:line="202" w:lineRule="exact"/>
        <w:rPr>
          <w:rFonts w:ascii="Arial" w:cs="Arial" w:eastAsia="Arial" w:hAnsi="Arial"/>
          <w:sz w:val="16"/>
          <w:szCs w:val="16"/>
          <w:color w:val="auto"/>
        </w:rPr>
      </w:pPr>
    </w:p>
    <w:p>
      <w:pPr>
        <w:ind w:left="520" w:right="200" w:hanging="225"/>
        <w:spacing w:after="0" w:line="274" w:lineRule="auto"/>
        <w:tabs>
          <w:tab w:leader="none" w:pos="5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Group has the practical ability to reassess the risks of the portfolio of insurance contracts contained in the contract and, as a result, can establish a price or profit level that fully reflects the risk of that portfolio.</w:t>
      </w:r>
    </w:p>
    <w:p>
      <w:pPr>
        <w:spacing w:after="0" w:line="122" w:lineRule="exact"/>
        <w:rPr>
          <w:rFonts w:ascii="Arial" w:cs="Arial" w:eastAsia="Arial" w:hAnsi="Arial"/>
          <w:sz w:val="16"/>
          <w:szCs w:val="16"/>
          <w:color w:val="auto"/>
        </w:rPr>
      </w:pPr>
    </w:p>
    <w:p>
      <w:pPr>
        <w:ind w:left="520" w:right="440" w:hanging="225"/>
        <w:spacing w:after="0" w:line="274" w:lineRule="auto"/>
        <w:tabs>
          <w:tab w:leader="none" w:pos="5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price of the premium until the date of re-evaluation of the risks does not consider the risks that relate to periods after the date of reassessment.</w:t>
      </w:r>
    </w:p>
    <w:p>
      <w:pPr>
        <w:spacing w:after="0" w:line="123"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A liability or asset related to expected premiums or claims outside the limit of the insurance contract is not recognized. These amounts refer to future insurance contracts.</w:t>
      </w:r>
    </w:p>
    <w:p>
      <w:pPr>
        <w:spacing w:after="0" w:line="12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For life contracts with renewal periods, the Group assesses whether the premiums and related cash flows arising from the renewed contract are within the contract boundary.</w:t>
      </w:r>
    </w:p>
    <w:p>
      <w:pPr>
        <w:spacing w:after="0" w:line="123" w:lineRule="exact"/>
        <w:rPr>
          <w:sz w:val="20"/>
          <w:szCs w:val="20"/>
          <w:color w:val="auto"/>
        </w:rPr>
      </w:pPr>
    </w:p>
    <w:p>
      <w:pPr>
        <w:ind w:right="380"/>
        <w:spacing w:after="0" w:line="274" w:lineRule="auto"/>
        <w:rPr>
          <w:sz w:val="20"/>
          <w:szCs w:val="20"/>
          <w:color w:val="auto"/>
        </w:rPr>
      </w:pPr>
      <w:r>
        <w:rPr>
          <w:rFonts w:ascii="Arial" w:cs="Arial" w:eastAsia="Arial" w:hAnsi="Arial"/>
          <w:sz w:val="16"/>
          <w:szCs w:val="16"/>
          <w:color w:val="auto"/>
        </w:rPr>
        <w:t>Renewal prices are established by the Group considering all risks covered for the insured that would be considered when signing equivalent contracts on the renewal dates of the remaining service.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Group re-evaluates each group's contract boundary at the end of each reporting period.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Measurement at initial recognition –</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General model (BBA) – Insurance contracts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general model measures a group of insurance contracts as the total of:</w:t>
      </w:r>
    </w:p>
    <w:p>
      <w:pPr>
        <w:spacing w:after="0" w:line="178" w:lineRule="exact"/>
        <w:rPr>
          <w:sz w:val="20"/>
          <w:szCs w:val="20"/>
          <w:color w:val="auto"/>
        </w:rPr>
      </w:pPr>
    </w:p>
    <w:p>
      <w:pPr>
        <w:ind w:left="220" w:hanging="215"/>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Fulfillment cash flows.</w:t>
      </w:r>
    </w:p>
    <w:p>
      <w:pPr>
        <w:spacing w:after="0" w:line="29" w:lineRule="exact"/>
        <w:rPr>
          <w:rFonts w:ascii="Arial" w:cs="Arial" w:eastAsia="Arial" w:hAnsi="Arial"/>
          <w:sz w:val="16"/>
          <w:szCs w:val="16"/>
          <w:color w:val="auto"/>
        </w:rPr>
      </w:pPr>
    </w:p>
    <w:p>
      <w:pPr>
        <w:ind w:left="220" w:hanging="215"/>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risk adjustment for non-financial risk.</w:t>
      </w:r>
    </w:p>
    <w:p>
      <w:pPr>
        <w:spacing w:after="0" w:line="21" w:lineRule="exact"/>
        <w:rPr>
          <w:rFonts w:ascii="Arial" w:cs="Arial" w:eastAsia="Arial" w:hAnsi="Arial"/>
          <w:sz w:val="16"/>
          <w:szCs w:val="16"/>
          <w:color w:val="auto"/>
        </w:rPr>
      </w:pPr>
    </w:p>
    <w:p>
      <w:pPr>
        <w:ind w:left="220" w:right="140" w:hanging="215"/>
        <w:spacing w:after="0" w:line="263" w:lineRule="auto"/>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contractual service margin (CSM), which represents the unearned technical profit that the Group will recognize as it provides services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Compliance cash flows comprise:</w:t>
      </w:r>
    </w:p>
    <w:p>
      <w:pPr>
        <w:spacing w:after="0" w:line="178" w:lineRule="exact"/>
        <w:rPr>
          <w:sz w:val="20"/>
          <w:szCs w:val="20"/>
          <w:color w:val="auto"/>
        </w:rPr>
      </w:pPr>
    </w:p>
    <w:p>
      <w:pPr>
        <w:ind w:left="220" w:hanging="215"/>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Estimates of future cash flows considering their probability of occurrence.</w:t>
      </w:r>
    </w:p>
    <w:p>
      <w:pPr>
        <w:spacing w:after="0" w:line="29" w:lineRule="exact"/>
        <w:rPr>
          <w:rFonts w:ascii="Arial" w:cs="Arial" w:eastAsia="Arial" w:hAnsi="Arial"/>
          <w:sz w:val="16"/>
          <w:szCs w:val="16"/>
          <w:color w:val="auto"/>
        </w:rPr>
      </w:pPr>
    </w:p>
    <w:p>
      <w:pPr>
        <w:ind w:left="220" w:hanging="215"/>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adjustment to reflect the time value of money and the financial risks related to future cash flows.</w:t>
      </w:r>
    </w:p>
    <w:p>
      <w:pPr>
        <w:spacing w:after="0" w:line="194"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The cash flows for each scenario are weighted according to the probability of their occurrence based on the experience of the Group's portfolio and are discounted using current interest rate assumptions (risk-free curve + Matching Adjustment).</w:t>
      </w:r>
    </w:p>
    <w:p>
      <w:pPr>
        <w:spacing w:after="0" w:line="28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20"/>
          </w:cols>
          <w:pgMar w:left="1180" w:top="316" w:right="39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When estimating future cash flows, the Group includes all cash flows that are within the contract boundary, including:</w:t>
      </w:r>
    </w:p>
    <w:p>
      <w:pPr>
        <w:spacing w:after="0" w:line="178" w:lineRule="exact"/>
        <w:rPr>
          <w:sz w:val="20"/>
          <w:szCs w:val="20"/>
          <w:color w:val="auto"/>
        </w:rPr>
      </w:pPr>
    </w:p>
    <w:p>
      <w:pPr>
        <w:ind w:left="220" w:hanging="215"/>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Premiums and related cash flows.</w:t>
      </w:r>
    </w:p>
    <w:p>
      <w:pPr>
        <w:spacing w:after="0" w:line="202" w:lineRule="exact"/>
        <w:rPr>
          <w:rFonts w:ascii="Arial" w:cs="Arial" w:eastAsia="Arial" w:hAnsi="Arial"/>
          <w:sz w:val="16"/>
          <w:szCs w:val="16"/>
          <w:color w:val="auto"/>
        </w:rPr>
      </w:pPr>
    </w:p>
    <w:p>
      <w:pPr>
        <w:ind w:left="220" w:hanging="215"/>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Expected future claims and benefits:</w:t>
      </w:r>
    </w:p>
    <w:p>
      <w:pPr>
        <w:spacing w:after="0" w:line="202" w:lineRule="exact"/>
        <w:rPr>
          <w:rFonts w:ascii="Arial" w:cs="Arial" w:eastAsia="Arial" w:hAnsi="Arial"/>
          <w:sz w:val="16"/>
          <w:szCs w:val="16"/>
          <w:color w:val="auto"/>
        </w:rPr>
      </w:pPr>
    </w:p>
    <w:p>
      <w:pPr>
        <w:ind w:left="520" w:hanging="225"/>
        <w:spacing w:after="0"/>
        <w:tabs>
          <w:tab w:leader="none" w:pos="5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Payments to beneficiaries for the occurrence of insured events.</w:t>
      </w:r>
    </w:p>
    <w:p>
      <w:pPr>
        <w:spacing w:after="0" w:line="29" w:lineRule="exact"/>
        <w:rPr>
          <w:rFonts w:ascii="Arial" w:cs="Arial" w:eastAsia="Arial" w:hAnsi="Arial"/>
          <w:sz w:val="16"/>
          <w:szCs w:val="16"/>
          <w:color w:val="auto"/>
        </w:rPr>
      </w:pPr>
    </w:p>
    <w:p>
      <w:pPr>
        <w:ind w:left="520" w:hanging="225"/>
        <w:spacing w:after="0"/>
        <w:tabs>
          <w:tab w:leader="none" w:pos="5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Payments to policyholders resulting from the incorporated surrender and maturity options.</w:t>
      </w:r>
    </w:p>
    <w:p>
      <w:pPr>
        <w:spacing w:after="0" w:line="21" w:lineRule="exact"/>
        <w:rPr>
          <w:rFonts w:ascii="Arial" w:cs="Arial" w:eastAsia="Arial" w:hAnsi="Arial"/>
          <w:sz w:val="16"/>
          <w:szCs w:val="16"/>
          <w:color w:val="auto"/>
        </w:rPr>
      </w:pPr>
    </w:p>
    <w:p>
      <w:pPr>
        <w:ind w:left="520" w:hanging="225"/>
        <w:spacing w:after="0"/>
        <w:tabs>
          <w:tab w:leader="none" w:pos="5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Acquisition expenses attributable to the portfolio to which the contract belongs.</w:t>
      </w:r>
    </w:p>
    <w:p>
      <w:pPr>
        <w:spacing w:after="0" w:line="21" w:lineRule="exact"/>
        <w:rPr>
          <w:rFonts w:ascii="Arial" w:cs="Arial" w:eastAsia="Arial" w:hAnsi="Arial"/>
          <w:sz w:val="16"/>
          <w:szCs w:val="16"/>
          <w:color w:val="auto"/>
        </w:rPr>
      </w:pPr>
    </w:p>
    <w:p>
      <w:pPr>
        <w:ind w:left="520" w:hanging="225"/>
        <w:spacing w:after="0"/>
        <w:tabs>
          <w:tab w:leader="none" w:pos="5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Claim settlement expenses.</w:t>
      </w:r>
    </w:p>
    <w:p>
      <w:pPr>
        <w:spacing w:after="0" w:line="21" w:lineRule="exact"/>
        <w:rPr>
          <w:rFonts w:ascii="Arial" w:cs="Arial" w:eastAsia="Arial" w:hAnsi="Arial"/>
          <w:sz w:val="16"/>
          <w:szCs w:val="16"/>
          <w:color w:val="auto"/>
        </w:rPr>
      </w:pPr>
    </w:p>
    <w:p>
      <w:pPr>
        <w:ind w:left="520" w:hanging="225"/>
        <w:spacing w:after="0"/>
        <w:tabs>
          <w:tab w:leader="none" w:pos="5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Attributable policy maintenance expenses, including recurring commissions expected to be paid to intermediaries.</w:t>
      </w:r>
    </w:p>
    <w:p>
      <w:pPr>
        <w:spacing w:after="0" w:line="21" w:lineRule="exact"/>
        <w:rPr>
          <w:rFonts w:ascii="Arial" w:cs="Arial" w:eastAsia="Arial" w:hAnsi="Arial"/>
          <w:sz w:val="16"/>
          <w:szCs w:val="16"/>
          <w:color w:val="auto"/>
        </w:rPr>
      </w:pPr>
    </w:p>
    <w:p>
      <w:pPr>
        <w:ind w:left="520" w:hanging="225"/>
        <w:spacing w:after="0"/>
        <w:tabs>
          <w:tab w:leader="none" w:pos="5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 allocation of fixed and variable overhead expenses directly attributable to compliance with insurance contracts.</w:t>
      </w:r>
    </w:p>
    <w:p>
      <w:pPr>
        <w:spacing w:after="0" w:line="19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If at the time of initially estimating the fulfillment flows of a group of contracts a net outflow is obtained, these contracts become onerous contracts, and a liability will be recognized at that initial time in the statement of financial position. This amount is what we call the “loss component”.</w:t>
      </w:r>
    </w:p>
    <w:p>
      <w:pPr>
        <w:spacing w:after="0" w:line="123" w:lineRule="exact"/>
        <w:rPr>
          <w:sz w:val="20"/>
          <w:szCs w:val="20"/>
          <w:color w:val="auto"/>
        </w:rPr>
      </w:pPr>
    </w:p>
    <w:p>
      <w:pPr>
        <w:ind w:right="400"/>
        <w:spacing w:after="0" w:line="274" w:lineRule="auto"/>
        <w:rPr>
          <w:sz w:val="20"/>
          <w:szCs w:val="20"/>
          <w:color w:val="auto"/>
        </w:rPr>
      </w:pPr>
      <w:r>
        <w:rPr>
          <w:rFonts w:ascii="Arial" w:cs="Arial" w:eastAsia="Arial" w:hAnsi="Arial"/>
          <w:sz w:val="16"/>
          <w:szCs w:val="16"/>
          <w:color w:val="auto"/>
        </w:rPr>
        <w:t>A group of contracts that were not onerous on initial recognition may subsequently become onerous if assumptions change, even though the classification of their grouping or Unit of Account remains unchanged.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Simplified Model – initial recognition</w:t>
      </w:r>
    </w:p>
    <w:p>
      <w:pPr>
        <w:spacing w:after="0" w:line="178"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The simplified model of the general method is the Premium Allocation Approach (PAA), which is applied by the Group for insurance and reinsurance contracts with a duration equal to or less than one year or for which the amount of the provision does not differ significantly of the general model.</w:t>
      </w:r>
    </w:p>
    <w:p>
      <w:pPr>
        <w:spacing w:after="0" w:line="13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If significant variability in cash flows from compliance is initially expected that would affect the measurement of the remaining coverage liability, the simplified method cannot be applied.</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Under the premium allocation approach, the Group will assume that no contract is onerous unless the facts and circumstances indicate otherwise, which is why initially all contracts are grouped based on risk and how they are managed. To evaluate this possibility, a premium sufficiency test will be used that will evaluate the need to provide an additional provision and classify the Group of contracts as onerous (Onerousness Test).</w:t>
      </w:r>
    </w:p>
    <w:p>
      <w:pPr>
        <w:spacing w:after="0" w:line="13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For insurance contracts that apply the PAA approach, the Group initially recognizes written premiums net of commissions and deferred premiums as provision of remaining coverage (Liability for Remaining Coverage, LRC).</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Post measurement – insurance​ contracts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of a group of insurance contracts after initial recognition will consist of:</w:t>
      </w:r>
    </w:p>
    <w:p>
      <w:pPr>
        <w:spacing w:after="0" w:line="178" w:lineRule="exact"/>
        <w:rPr>
          <w:sz w:val="20"/>
          <w:szCs w:val="20"/>
          <w:color w:val="auto"/>
        </w:rPr>
      </w:pPr>
    </w:p>
    <w:p>
      <w:pPr>
        <w:ind w:left="220" w:right="420" w:hanging="216"/>
        <w:spacing w:after="0" w:line="274" w:lineRule="auto"/>
        <w:rPr>
          <w:sz w:val="20"/>
          <w:szCs w:val="20"/>
          <w:color w:val="auto"/>
        </w:rPr>
      </w:pPr>
      <w:r>
        <w:rPr>
          <w:rFonts w:ascii="Arial" w:cs="Arial" w:eastAsia="Arial" w:hAnsi="Arial"/>
          <w:sz w:val="16"/>
          <w:szCs w:val="16"/>
          <w:color w:val="auto"/>
        </w:rPr>
        <w:t>(a)Liability for Remaining Coverage (LRC) comprising compliance cash flows, risk adjustment for non-financial risk and CSM of the Contract Group at the end of the reporting period.</w:t>
      </w:r>
    </w:p>
    <w:p>
      <w:pPr>
        <w:spacing w:after="0" w:line="123" w:lineRule="exact"/>
        <w:rPr>
          <w:sz w:val="20"/>
          <w:szCs w:val="20"/>
          <w:color w:val="auto"/>
        </w:rPr>
      </w:pPr>
    </w:p>
    <w:p>
      <w:pPr>
        <w:ind w:left="220" w:right="480" w:hanging="216"/>
        <w:spacing w:after="0" w:line="274" w:lineRule="auto"/>
        <w:rPr>
          <w:sz w:val="20"/>
          <w:szCs w:val="20"/>
          <w:color w:val="auto"/>
        </w:rPr>
      </w:pPr>
      <w:r>
        <w:rPr>
          <w:rFonts w:ascii="Arial" w:cs="Arial" w:eastAsia="Arial" w:hAnsi="Arial"/>
          <w:sz w:val="16"/>
          <w:szCs w:val="16"/>
          <w:color w:val="auto"/>
        </w:rPr>
        <w:t>(b)Incurred claims liability, which comprises compliance cash flows relating to the payment of reported and pending claims, incurred but not reported claims (IBNR) and claim settlement expenses. A risk adjustment for non-financial risk is also included.</w:t>
      </w:r>
    </w:p>
    <w:p>
      <w:pPr>
        <w:spacing w:after="0" w:line="123"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Group will recognize income or expenses for the variation in the carrying amount of the Liability for Remaining Coverage and the liability for claims incurred:</w:t>
      </w:r>
    </w:p>
    <w:p>
      <w:pPr>
        <w:spacing w:after="0" w:line="123" w:lineRule="exact"/>
        <w:rPr>
          <w:sz w:val="20"/>
          <w:szCs w:val="20"/>
          <w:color w:val="auto"/>
        </w:rPr>
      </w:pPr>
    </w:p>
    <w:p>
      <w:pPr>
        <w:ind w:left="300" w:hanging="295"/>
        <w:spacing w:after="0"/>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Income from insurance activity: the reduction of the liability for the service provided in the period.</w:t>
      </w:r>
    </w:p>
    <w:p>
      <w:pPr>
        <w:spacing w:after="0" w:line="358" w:lineRule="exact"/>
        <w:rPr>
          <w:rFonts w:ascii="Arial" w:cs="Arial" w:eastAsia="Arial" w:hAnsi="Arial"/>
          <w:sz w:val="16"/>
          <w:szCs w:val="16"/>
          <w:color w:val="auto"/>
        </w:rPr>
      </w:pPr>
    </w:p>
    <w:p>
      <w:pPr>
        <w:ind w:left="4680" w:hanging="104"/>
        <w:spacing w:after="0"/>
        <w:tabs>
          <w:tab w:leader="none" w:pos="46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80"/>
          </w:cols>
          <w:pgMar w:left="1180" w:top="316" w:right="339" w:bottom="1440" w:gutter="0" w:footer="0" w:header="0"/>
        </w:sectPr>
      </w:pPr>
    </w:p>
    <w:bookmarkStart w:id="39" w:name="page40"/>
    <w:bookmarkEnd w:id="39"/>
    <w:p>
      <w:pPr>
        <w:ind w:left="40" w:right="140"/>
        <w:spacing w:after="0" w:line="274" w:lineRule="auto"/>
        <w:rPr>
          <w:sz w:val="20"/>
          <w:szCs w:val="20"/>
          <w:color w:val="auto"/>
        </w:rPr>
      </w:pPr>
      <w:r>
        <w:rPr>
          <w:rFonts w:ascii="Arial" w:cs="Arial" w:eastAsia="Arial" w:hAnsi="Arial"/>
          <w:sz w:val="16"/>
          <w:szCs w:val="16"/>
          <w:color w:val="auto"/>
        </w:rPr>
        <w:t>The CSM at the end of the reporting period represents the gain in the Insurance Contract Group that has not yet been recognized in profit or loss, because it relates to the future service to be provided.</w:t>
      </w:r>
    </w:p>
    <w:p>
      <w:pPr>
        <w:spacing w:after="0" w:line="123" w:lineRule="exact"/>
        <w:rPr>
          <w:sz w:val="20"/>
          <w:szCs w:val="20"/>
          <w:color w:val="auto"/>
        </w:rPr>
      </w:pPr>
    </w:p>
    <w:p>
      <w:pPr>
        <w:ind w:left="40" w:right="60"/>
        <w:spacing w:after="0" w:line="274" w:lineRule="auto"/>
        <w:rPr>
          <w:sz w:val="20"/>
          <w:szCs w:val="20"/>
          <w:color w:val="auto"/>
        </w:rPr>
      </w:pPr>
      <w:r>
        <w:rPr>
          <w:rFonts w:ascii="Arial" w:cs="Arial" w:eastAsia="Arial" w:hAnsi="Arial"/>
          <w:sz w:val="16"/>
          <w:szCs w:val="16"/>
          <w:color w:val="auto"/>
        </w:rPr>
        <w:t>For a group of insurance contracts without direct participation components, the carrying value of the CSM at the end of the reporting period is equal to the carrying value at the beginning of the reporting period adjusted as follows:</w:t>
      </w:r>
    </w:p>
    <w:p>
      <w:pPr>
        <w:spacing w:after="0" w:line="123" w:lineRule="exact"/>
        <w:rPr>
          <w:sz w:val="20"/>
          <w:szCs w:val="20"/>
          <w:color w:val="auto"/>
        </w:rPr>
      </w:pPr>
    </w:p>
    <w:p>
      <w:pPr>
        <w:ind w:left="260" w:right="40" w:hanging="225"/>
        <w:spacing w:after="0" w:line="274" w:lineRule="auto"/>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effect of new contracts added to the group. interest accrued on the carrying amount of the CSM during the reporting period, measured at the discount rates at initial recognition.</w:t>
      </w:r>
    </w:p>
    <w:p>
      <w:pPr>
        <w:spacing w:after="0" w:line="122" w:lineRule="exact"/>
        <w:rPr>
          <w:rFonts w:ascii="Arial" w:cs="Arial" w:eastAsia="Arial" w:hAnsi="Arial"/>
          <w:sz w:val="16"/>
          <w:szCs w:val="16"/>
          <w:color w:val="auto"/>
        </w:rPr>
      </w:pPr>
    </w:p>
    <w:p>
      <w:pPr>
        <w:ind w:left="260" w:hanging="225"/>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compliance cash flows related to future service such as:</w:t>
      </w:r>
    </w:p>
    <w:p>
      <w:pPr>
        <w:spacing w:after="0" w:line="202" w:lineRule="exact"/>
        <w:rPr>
          <w:rFonts w:ascii="Arial" w:cs="Arial" w:eastAsia="Arial" w:hAnsi="Arial"/>
          <w:sz w:val="16"/>
          <w:szCs w:val="16"/>
          <w:color w:val="auto"/>
        </w:rPr>
      </w:pPr>
    </w:p>
    <w:p>
      <w:pPr>
        <w:ind w:left="460" w:right="180" w:hanging="217"/>
        <w:spacing w:after="0" w:line="274" w:lineRule="auto"/>
        <w:rPr>
          <w:rFonts w:ascii="Arial" w:cs="Arial" w:eastAsia="Arial" w:hAnsi="Arial"/>
          <w:sz w:val="16"/>
          <w:szCs w:val="16"/>
          <w:color w:val="auto"/>
        </w:rPr>
      </w:pPr>
      <w:r>
        <w:rPr>
          <w:rFonts w:ascii="Arial" w:cs="Arial" w:eastAsia="Arial" w:hAnsi="Arial"/>
          <w:sz w:val="16"/>
          <w:szCs w:val="16"/>
          <w:color w:val="auto"/>
        </w:rPr>
        <w:t>o Adjustment for experience: it must be disaggregated to reflect the different factors that cause such adjustments in the expected future benefits of the Group:</w:t>
      </w:r>
    </w:p>
    <w:p>
      <w:pPr>
        <w:spacing w:after="0" w:line="122" w:lineRule="exact"/>
        <w:rPr>
          <w:rFonts w:ascii="Arial" w:cs="Arial" w:eastAsia="Arial" w:hAnsi="Arial"/>
          <w:sz w:val="16"/>
          <w:szCs w:val="16"/>
          <w:color w:val="auto"/>
        </w:rPr>
      </w:pPr>
    </w:p>
    <w:p>
      <w:pPr>
        <w:jc w:val="both"/>
        <w:ind w:left="640" w:hanging="219"/>
        <w:spacing w:after="0" w:line="255" w:lineRule="auto"/>
        <w:tabs>
          <w:tab w:leader="none" w:pos="6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Adjustment in compliance flows due to claims experience is the variation in actual claims compared to expected claims. Likewise, this variation in the accident rate may lead to changes in the expected compliance flows. This variation will be recorded in a change in the CSM amount.</w:t>
      </w:r>
    </w:p>
    <w:p>
      <w:pPr>
        <w:spacing w:after="0" w:line="137" w:lineRule="exact"/>
        <w:rPr>
          <w:rFonts w:ascii="Arial" w:cs="Arial" w:eastAsia="Arial" w:hAnsi="Arial"/>
          <w:sz w:val="16"/>
          <w:szCs w:val="16"/>
          <w:color w:val="auto"/>
        </w:rPr>
      </w:pPr>
    </w:p>
    <w:p>
      <w:pPr>
        <w:ind w:left="640" w:right="40" w:hanging="219"/>
        <w:spacing w:after="0" w:line="274" w:lineRule="auto"/>
        <w:tabs>
          <w:tab w:leader="none" w:pos="6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Adjustment for variation in operating assumptions - A variation in the projection operating assumptions (mortality, expenses, rescues, etc.) will be recorded against the CSM for the period. This change will be cumulative with the adjustments made previously.</w:t>
      </w:r>
    </w:p>
    <w:p>
      <w:pPr>
        <w:spacing w:after="0" w:line="122" w:lineRule="exact"/>
        <w:rPr>
          <w:rFonts w:ascii="Arial" w:cs="Arial" w:eastAsia="Arial" w:hAnsi="Arial"/>
          <w:sz w:val="16"/>
          <w:szCs w:val="16"/>
          <w:color w:val="auto"/>
        </w:rPr>
      </w:pPr>
    </w:p>
    <w:p>
      <w:pPr>
        <w:ind w:left="640" w:right="60" w:hanging="219"/>
        <w:spacing w:after="0" w:line="243" w:lineRule="auto"/>
        <w:tabs>
          <w:tab w:leader="none" w:pos="6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Adjustment for premiums collected: Insurance premiums that relate to future service that have been received in the period require an adjustment to the contractual service margin. Likewise, an additional analysis must be carried out on the extraordinary contributions that the policyholder may make. Whether these new contributions made by the insured, different from regular premiums, should be considered new contracts or part of existing contracts. Therefore, it must be evaluated whether the new contributions are valued using the same conditions as at the beginning of the contract or if they are modified (mortality table, administration expenses, guaranteed rates, etc.).</w:t>
      </w:r>
    </w:p>
    <w:p>
      <w:pPr>
        <w:spacing w:after="0" w:line="148" w:lineRule="exact"/>
        <w:rPr>
          <w:rFonts w:ascii="Arial" w:cs="Arial" w:eastAsia="Arial" w:hAnsi="Arial"/>
          <w:sz w:val="16"/>
          <w:szCs w:val="16"/>
          <w:color w:val="auto"/>
        </w:rPr>
      </w:pPr>
    </w:p>
    <w:p>
      <w:pPr>
        <w:ind w:left="260" w:right="180" w:hanging="225"/>
        <w:spacing w:after="0" w:line="255" w:lineRule="auto"/>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that the conditions of the contract are not modified in the extraordinary contribution, that is, it has the same conditions as the original contribution, it is considered that the cash flows are within the limits of the contract, and therefore Both the variation in expected cash flows will be considered as a variation in experience.</w:t>
      </w:r>
    </w:p>
    <w:p>
      <w:pPr>
        <w:spacing w:after="0" w:line="137" w:lineRule="exact"/>
        <w:rPr>
          <w:rFonts w:ascii="Arial" w:cs="Arial" w:eastAsia="Arial" w:hAnsi="Arial"/>
          <w:sz w:val="16"/>
          <w:szCs w:val="16"/>
          <w:color w:val="auto"/>
        </w:rPr>
      </w:pPr>
    </w:p>
    <w:p>
      <w:pPr>
        <w:ind w:left="260" w:hanging="225"/>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estimates of the present value of future cash inflows in the remaining coverage liability measured at discount rates.</w:t>
      </w:r>
    </w:p>
    <w:p>
      <w:pPr>
        <w:spacing w:after="0" w:line="202" w:lineRule="exact"/>
        <w:rPr>
          <w:rFonts w:ascii="Arial" w:cs="Arial" w:eastAsia="Arial" w:hAnsi="Arial"/>
          <w:sz w:val="16"/>
          <w:szCs w:val="16"/>
          <w:color w:val="auto"/>
        </w:rPr>
      </w:pPr>
    </w:p>
    <w:p>
      <w:pPr>
        <w:ind w:left="260" w:right="60" w:hanging="225"/>
        <w:spacing w:after="0" w:line="274" w:lineRule="auto"/>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Differences between the investment components that are expected to become payable in the period and the actual investment component that becomes payable in the period, measured at discount rates.</w:t>
      </w:r>
    </w:p>
    <w:p>
      <w:pPr>
        <w:spacing w:after="0" w:line="122" w:lineRule="exact"/>
        <w:rPr>
          <w:rFonts w:ascii="Arial" w:cs="Arial" w:eastAsia="Arial" w:hAnsi="Arial"/>
          <w:sz w:val="16"/>
          <w:szCs w:val="16"/>
          <w:color w:val="auto"/>
        </w:rPr>
      </w:pPr>
    </w:p>
    <w:p>
      <w:pPr>
        <w:ind w:left="260" w:hanging="225"/>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risk adjustment for non-financial risk that relates to future service.</w:t>
      </w:r>
    </w:p>
    <w:p>
      <w:pPr>
        <w:spacing w:after="0" w:line="202" w:lineRule="exact"/>
        <w:rPr>
          <w:rFonts w:ascii="Arial" w:cs="Arial" w:eastAsia="Arial" w:hAnsi="Arial"/>
          <w:sz w:val="16"/>
          <w:szCs w:val="16"/>
          <w:color w:val="auto"/>
        </w:rPr>
      </w:pPr>
    </w:p>
    <w:p>
      <w:pPr>
        <w:ind w:left="260" w:hanging="225"/>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effect of currency exchange differences on the CSM.</w:t>
      </w:r>
    </w:p>
    <w:p>
      <w:pPr>
        <w:spacing w:after="0" w:line="202" w:lineRule="exact"/>
        <w:rPr>
          <w:rFonts w:ascii="Arial" w:cs="Arial" w:eastAsia="Arial" w:hAnsi="Arial"/>
          <w:sz w:val="16"/>
          <w:szCs w:val="16"/>
          <w:color w:val="auto"/>
        </w:rPr>
      </w:pPr>
    </w:p>
    <w:p>
      <w:pPr>
        <w:ind w:left="260" w:right="100" w:hanging="225"/>
        <w:spacing w:after="0" w:line="274" w:lineRule="auto"/>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 recognized as insurance income due to the transfer of insurance contract services in the period, determined by the allocation of the remaining CSM at the end of the reporting period (before any allocation) during the current coverage period and remaining.</w:t>
      </w:r>
    </w:p>
    <w:p>
      <w:pPr>
        <w:spacing w:after="0" w:line="123" w:lineRule="exact"/>
        <w:rPr>
          <w:sz w:val="20"/>
          <w:szCs w:val="20"/>
          <w:color w:val="auto"/>
        </w:rPr>
      </w:pPr>
    </w:p>
    <w:p>
      <w:pPr>
        <w:ind w:left="40" w:right="320"/>
        <w:spacing w:after="0" w:line="274" w:lineRule="auto"/>
        <w:rPr>
          <w:sz w:val="20"/>
          <w:szCs w:val="20"/>
          <w:color w:val="auto"/>
        </w:rPr>
      </w:pPr>
      <w:r>
        <w:rPr>
          <w:rFonts w:ascii="Arial" w:cs="Arial" w:eastAsia="Arial" w:hAnsi="Arial"/>
          <w:sz w:val="16"/>
          <w:szCs w:val="16"/>
          <w:color w:val="auto"/>
        </w:rPr>
        <w:t>The locked-in discount rate is the weighted average of the rates applicable at the date of initial recognition of contracts that joined a group over a 12-month period. The discount rate</w:t>
      </w:r>
    </w:p>
    <w:p>
      <w:pPr>
        <w:spacing w:after="0" w:line="280"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39370</wp:posOffset>
            </wp:positionV>
            <wp:extent cx="714692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20"/>
          </w:cols>
          <w:pgMar w:left="1440" w:top="316" w:right="339" w:bottom="1440" w:gutter="0" w:footer="0" w:header="0"/>
        </w:sectPr>
      </w:pPr>
    </w:p>
    <w:bookmarkStart w:id="40" w:name="page41"/>
    <w:bookmarkEnd w:id="40"/>
    <w:p>
      <w:pPr>
        <w:ind w:left="295"/>
        <w:spacing w:after="0"/>
        <w:rPr>
          <w:sz w:val="20"/>
          <w:szCs w:val="20"/>
          <w:color w:val="auto"/>
        </w:rPr>
      </w:pPr>
      <w:r>
        <w:rPr>
          <w:rFonts w:ascii="Arial" w:cs="Arial" w:eastAsia="Arial" w:hAnsi="Arial"/>
          <w:sz w:val="16"/>
          <w:szCs w:val="16"/>
          <w:color w:val="auto"/>
        </w:rPr>
        <w:t>used for accretion of interest on the CSM is determined using the bottom-up approach at inception.</w:t>
      </w:r>
    </w:p>
    <w:p>
      <w:pPr>
        <w:spacing w:after="0" w:line="190" w:lineRule="exact"/>
        <w:rPr>
          <w:sz w:val="20"/>
          <w:szCs w:val="20"/>
          <w:color w:val="auto"/>
        </w:rPr>
      </w:pPr>
    </w:p>
    <w:p>
      <w:pPr>
        <w:ind w:left="295" w:right="240"/>
        <w:spacing w:after="0" w:line="274" w:lineRule="auto"/>
        <w:rPr>
          <w:sz w:val="20"/>
          <w:szCs w:val="20"/>
          <w:color w:val="auto"/>
        </w:rPr>
      </w:pPr>
      <w:r>
        <w:rPr>
          <w:rFonts w:ascii="Arial" w:cs="Arial" w:eastAsia="Arial" w:hAnsi="Arial"/>
          <w:sz w:val="16"/>
          <w:szCs w:val="16"/>
          <w:color w:val="auto"/>
        </w:rPr>
        <w:t>For a group of insurance contracts with direct participation components, the amount of CSM to be reported in the books will be obtained by applying a series of adjustments to the value of the CSM of the previous period:</w:t>
      </w:r>
    </w:p>
    <w:p>
      <w:pPr>
        <w:spacing w:after="0" w:line="123" w:lineRule="exact"/>
        <w:rPr>
          <w:sz w:val="20"/>
          <w:szCs w:val="20"/>
          <w:color w:val="auto"/>
        </w:rPr>
      </w:pPr>
    </w:p>
    <w:p>
      <w:pPr>
        <w:ind w:left="515" w:hanging="225"/>
        <w:spacing w:after="0"/>
        <w:tabs>
          <w:tab w:leader="none" w:pos="51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effect of the new contracts added to the group.</w:t>
      </w:r>
    </w:p>
    <w:p>
      <w:pPr>
        <w:spacing w:after="0" w:line="202" w:lineRule="exact"/>
        <w:rPr>
          <w:rFonts w:ascii="Arial" w:cs="Arial" w:eastAsia="Arial" w:hAnsi="Arial"/>
          <w:sz w:val="16"/>
          <w:szCs w:val="16"/>
          <w:color w:val="auto"/>
        </w:rPr>
      </w:pPr>
    </w:p>
    <w:p>
      <w:pPr>
        <w:ind w:left="515" w:hanging="225"/>
        <w:spacing w:after="0"/>
        <w:tabs>
          <w:tab w:leader="none" w:pos="51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entity's participation in the change in the fair value of the underlying elements.</w:t>
      </w:r>
    </w:p>
    <w:p>
      <w:pPr>
        <w:spacing w:after="0" w:line="202" w:lineRule="exact"/>
        <w:rPr>
          <w:rFonts w:ascii="Arial" w:cs="Arial" w:eastAsia="Arial" w:hAnsi="Arial"/>
          <w:sz w:val="16"/>
          <w:szCs w:val="16"/>
          <w:color w:val="auto"/>
        </w:rPr>
      </w:pPr>
    </w:p>
    <w:p>
      <w:pPr>
        <w:ind w:left="515" w:right="160" w:hanging="225"/>
        <w:spacing w:after="0" w:line="274" w:lineRule="auto"/>
        <w:tabs>
          <w:tab w:leader="none" w:pos="515"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Changes in compliance cash flows, such as a change in the entity's loss experience and future expenses compared to those expected in the previous period.</w:t>
      </w:r>
    </w:p>
    <w:p>
      <w:pPr>
        <w:spacing w:after="0" w:line="122" w:lineRule="exact"/>
        <w:rPr>
          <w:rFonts w:ascii="Arial" w:cs="Arial" w:eastAsia="Arial" w:hAnsi="Arial"/>
          <w:sz w:val="16"/>
          <w:szCs w:val="16"/>
          <w:color w:val="auto"/>
        </w:rPr>
      </w:pPr>
    </w:p>
    <w:p>
      <w:pPr>
        <w:ind w:left="515" w:hanging="225"/>
        <w:spacing w:after="0"/>
        <w:tabs>
          <w:tab w:leader="none" w:pos="51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effect of currency exchange differences on the CSM.</w:t>
      </w:r>
    </w:p>
    <w:p>
      <w:pPr>
        <w:spacing w:after="0" w:line="202" w:lineRule="exact"/>
        <w:rPr>
          <w:rFonts w:ascii="Arial" w:cs="Arial" w:eastAsia="Arial" w:hAnsi="Arial"/>
          <w:sz w:val="16"/>
          <w:szCs w:val="16"/>
          <w:color w:val="auto"/>
        </w:rPr>
      </w:pPr>
    </w:p>
    <w:p>
      <w:pPr>
        <w:ind w:left="515" w:right="20" w:hanging="225"/>
        <w:spacing w:after="0" w:line="274" w:lineRule="auto"/>
        <w:tabs>
          <w:tab w:leader="none" w:pos="51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amount recognized as revenue from ordinary insurance activities due to the transfer of services in the period, determined by allocating the remaining contractual service margin at the end of the reporting period (before any allocation) over the current coverage period.</w:t>
      </w:r>
    </w:p>
    <w:p>
      <w:pPr>
        <w:spacing w:after="0" w:line="122" w:lineRule="exact"/>
        <w:rPr>
          <w:rFonts w:ascii="Arial" w:cs="Arial" w:eastAsia="Arial" w:hAnsi="Arial"/>
          <w:sz w:val="16"/>
          <w:szCs w:val="16"/>
          <w:color w:val="auto"/>
        </w:rPr>
      </w:pPr>
    </w:p>
    <w:p>
      <w:pPr>
        <w:ind w:left="295" w:hanging="295"/>
        <w:spacing w:after="0"/>
        <w:tabs>
          <w:tab w:leader="none" w:pos="2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Insurance activity expenses: for losses in onerous contract groups and reversals of these losses.</w:t>
      </w:r>
    </w:p>
    <w:p>
      <w:pPr>
        <w:spacing w:after="0" w:line="202" w:lineRule="exact"/>
        <w:rPr>
          <w:rFonts w:ascii="Arial" w:cs="Arial" w:eastAsia="Arial" w:hAnsi="Arial"/>
          <w:sz w:val="16"/>
          <w:szCs w:val="16"/>
          <w:color w:val="auto"/>
        </w:rPr>
      </w:pPr>
    </w:p>
    <w:p>
      <w:pPr>
        <w:ind w:left="295" w:right="40"/>
        <w:spacing w:after="0" w:line="274" w:lineRule="auto"/>
        <w:rPr>
          <w:rFonts w:ascii="Arial" w:cs="Arial" w:eastAsia="Arial" w:hAnsi="Arial"/>
          <w:sz w:val="16"/>
          <w:szCs w:val="16"/>
          <w:color w:val="auto"/>
        </w:rPr>
      </w:pPr>
      <w:r>
        <w:rPr>
          <w:rFonts w:ascii="Arial" w:cs="Arial" w:eastAsia="Arial" w:hAnsi="Arial"/>
          <w:sz w:val="16"/>
          <w:szCs w:val="16"/>
          <w:color w:val="auto"/>
        </w:rPr>
        <w:t>The Group will recognize a loss in the period's results for the net outflow for the Group of onerous contracts, causing the Group's liability book amount to equal the cash flows from compliance, with the Group's contractual service margin being zero.</w:t>
      </w:r>
    </w:p>
    <w:p>
      <w:pPr>
        <w:spacing w:after="0" w:line="122" w:lineRule="exact"/>
        <w:rPr>
          <w:rFonts w:ascii="Arial" w:cs="Arial" w:eastAsia="Arial" w:hAnsi="Arial"/>
          <w:sz w:val="16"/>
          <w:szCs w:val="16"/>
          <w:color w:val="auto"/>
        </w:rPr>
      </w:pPr>
    </w:p>
    <w:p>
      <w:pPr>
        <w:ind w:left="295" w:right="200"/>
        <w:spacing w:after="0" w:line="274" w:lineRule="auto"/>
        <w:rPr>
          <w:rFonts w:ascii="Arial" w:cs="Arial" w:eastAsia="Arial" w:hAnsi="Arial"/>
          <w:sz w:val="16"/>
          <w:szCs w:val="16"/>
          <w:color w:val="auto"/>
        </w:rPr>
      </w:pPr>
      <w:r>
        <w:rPr>
          <w:rFonts w:ascii="Arial" w:cs="Arial" w:eastAsia="Arial" w:hAnsi="Arial"/>
          <w:sz w:val="16"/>
          <w:szCs w:val="16"/>
          <w:color w:val="auto"/>
        </w:rPr>
        <w:t>The loss component is released based on a systematic allocation of subsequent changes related to future service in compliance cash flows to:</w:t>
      </w:r>
    </w:p>
    <w:p>
      <w:pPr>
        <w:spacing w:after="0" w:line="122"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(i) The loss component; and</w:t>
      </w:r>
    </w:p>
    <w:p>
      <w:pPr>
        <w:spacing w:after="0" w:line="202" w:lineRule="exact"/>
        <w:rPr>
          <w:rFonts w:ascii="Arial" w:cs="Arial" w:eastAsia="Arial" w:hAnsi="Arial"/>
          <w:sz w:val="16"/>
          <w:szCs w:val="16"/>
          <w:color w:val="auto"/>
        </w:rPr>
      </w:pPr>
    </w:p>
    <w:p>
      <w:pPr>
        <w:ind w:left="515" w:right="360" w:hanging="217"/>
        <w:spacing w:after="0" w:line="274" w:lineRule="auto"/>
        <w:rPr>
          <w:rFonts w:ascii="Arial" w:cs="Arial" w:eastAsia="Arial" w:hAnsi="Arial"/>
          <w:sz w:val="16"/>
          <w:szCs w:val="16"/>
          <w:color w:val="auto"/>
        </w:rPr>
      </w:pPr>
      <w:r>
        <w:rPr>
          <w:rFonts w:ascii="Arial" w:cs="Arial" w:eastAsia="Arial" w:hAnsi="Arial"/>
          <w:sz w:val="16"/>
          <w:szCs w:val="16"/>
          <w:color w:val="auto"/>
        </w:rPr>
        <w:t>(ii) the remaining coverage liability excluding the loss component. The loss component is also updated for subsequent changes related to future service in estimates of compliance cash flows and risk adjustment for non-financial risk.</w:t>
      </w:r>
    </w:p>
    <w:p>
      <w:pPr>
        <w:spacing w:after="0" w:line="122" w:lineRule="exact"/>
        <w:rPr>
          <w:rFonts w:ascii="Arial" w:cs="Arial" w:eastAsia="Arial" w:hAnsi="Arial"/>
          <w:sz w:val="16"/>
          <w:szCs w:val="16"/>
          <w:color w:val="auto"/>
        </w:rPr>
      </w:pPr>
    </w:p>
    <w:p>
      <w:pPr>
        <w:ind w:left="295"/>
        <w:spacing w:after="0" w:line="274" w:lineRule="auto"/>
        <w:rPr>
          <w:rFonts w:ascii="Arial" w:cs="Arial" w:eastAsia="Arial" w:hAnsi="Arial"/>
          <w:sz w:val="16"/>
          <w:szCs w:val="16"/>
          <w:color w:val="auto"/>
        </w:rPr>
      </w:pPr>
      <w:r>
        <w:rPr>
          <w:rFonts w:ascii="Arial" w:cs="Arial" w:eastAsia="Arial" w:hAnsi="Arial"/>
          <w:sz w:val="16"/>
          <w:szCs w:val="16"/>
          <w:color w:val="auto"/>
        </w:rPr>
        <w:t>Systematic allocation of subsequent changes to the loss component results in total amounts allocated to the loss component being zero at the end of the coverage period of a contract group.</w:t>
      </w:r>
    </w:p>
    <w:p>
      <w:pPr>
        <w:spacing w:after="0" w:line="122" w:lineRule="exact"/>
        <w:rPr>
          <w:rFonts w:ascii="Arial" w:cs="Arial" w:eastAsia="Arial" w:hAnsi="Arial"/>
          <w:sz w:val="16"/>
          <w:szCs w:val="16"/>
          <w:color w:val="auto"/>
        </w:rPr>
      </w:pPr>
    </w:p>
    <w:p>
      <w:pPr>
        <w:ind w:left="295" w:hanging="295"/>
        <w:spacing w:after="0"/>
        <w:tabs>
          <w:tab w:leader="none" w:pos="2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Financial expenses and income from insurance: for the time value of money and financial risk effect.</w:t>
      </w:r>
    </w:p>
    <w:p>
      <w:pPr>
        <w:spacing w:after="0" w:line="202" w:lineRule="exact"/>
        <w:rPr>
          <w:rFonts w:ascii="Arial" w:cs="Arial" w:eastAsia="Arial" w:hAnsi="Arial"/>
          <w:sz w:val="16"/>
          <w:szCs w:val="16"/>
          <w:color w:val="auto"/>
        </w:rPr>
      </w:pPr>
    </w:p>
    <w:p>
      <w:pPr>
        <w:ind w:left="295" w:right="540"/>
        <w:spacing w:after="0" w:line="274" w:lineRule="auto"/>
        <w:rPr>
          <w:rFonts w:ascii="Arial" w:cs="Arial" w:eastAsia="Arial" w:hAnsi="Arial"/>
          <w:sz w:val="16"/>
          <w:szCs w:val="16"/>
          <w:color w:val="auto"/>
        </w:rPr>
      </w:pPr>
      <w:r>
        <w:rPr>
          <w:rFonts w:ascii="Arial" w:cs="Arial" w:eastAsia="Arial" w:hAnsi="Arial"/>
          <w:sz w:val="16"/>
          <w:szCs w:val="16"/>
          <w:color w:val="auto"/>
        </w:rPr>
        <w:t>The Group disaggregates financial income or expenses for insurance contracts issued for its immediate annuity and term life portfolios between profit or loss and other compressive income.</w:t>
      </w:r>
    </w:p>
    <w:p>
      <w:pPr>
        <w:spacing w:after="0" w:line="122" w:lineRule="exact"/>
        <w:rPr>
          <w:rFonts w:ascii="Arial" w:cs="Arial" w:eastAsia="Arial" w:hAnsi="Arial"/>
          <w:sz w:val="16"/>
          <w:szCs w:val="16"/>
          <w:color w:val="auto"/>
        </w:rPr>
      </w:pPr>
    </w:p>
    <w:p>
      <w:pPr>
        <w:ind w:left="295" w:right="20"/>
        <w:spacing w:after="0" w:line="245" w:lineRule="auto"/>
        <w:rPr>
          <w:rFonts w:ascii="Arial" w:cs="Arial" w:eastAsia="Arial" w:hAnsi="Arial"/>
          <w:sz w:val="16"/>
          <w:szCs w:val="16"/>
          <w:color w:val="auto"/>
        </w:rPr>
      </w:pPr>
      <w:r>
        <w:rPr>
          <w:rFonts w:ascii="Arial" w:cs="Arial" w:eastAsia="Arial" w:hAnsi="Arial"/>
          <w:sz w:val="16"/>
          <w:szCs w:val="16"/>
          <w:color w:val="auto"/>
        </w:rPr>
        <w:t>The impact of changes in market interest rates on the value of life insurance and related reinsurance assets and liabilities is reflected in other compressive income to minimize accounting mismatches between the accounting for financial assets and insurance assets and liabilities. The Group financial assets supporting the insurance portfolios issued are predominantly measured at amortized cost or fair value with changes in other comprehensive income. Financial income or expenses from reinsurance contracts issued by the Group are not disaggregated because the related financial assets are managed on a fair value basis and are measured at fair value with changes in income.</w:t>
      </w:r>
    </w:p>
    <w:p>
      <w:pPr>
        <w:spacing w:after="0" w:line="303" w:lineRule="exact"/>
        <w:rPr>
          <w:rFonts w:ascii="Arial" w:cs="Arial" w:eastAsia="Arial" w:hAnsi="Arial"/>
          <w:sz w:val="16"/>
          <w:szCs w:val="16"/>
          <w:color w:val="auto"/>
        </w:rPr>
      </w:pPr>
    </w:p>
    <w:p>
      <w:pPr>
        <w:ind w:left="4675" w:hanging="104"/>
        <w:spacing w:after="0"/>
        <w:tabs>
          <w:tab w:leader="none" w:pos="4675" w:val="left"/>
        </w:tabs>
        <w:numPr>
          <w:ilvl w:val="2"/>
          <w:numId w:val="33"/>
        </w:numPr>
        <w:rPr>
          <w:rFonts w:ascii="Arial" w:cs="Arial" w:eastAsia="Arial" w:hAnsi="Arial"/>
          <w:sz w:val="16"/>
          <w:szCs w:val="16"/>
          <w:color w:val="auto"/>
        </w:rPr>
      </w:pPr>
      <w:r>
        <w:rPr>
          <w:rFonts w:ascii="Arial" w:cs="Arial" w:eastAsia="Arial" w:hAnsi="Arial"/>
          <w:sz w:val="16"/>
          <w:szCs w:val="16"/>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39370</wp:posOffset>
            </wp:positionV>
            <wp:extent cx="714692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75"/>
          </w:cols>
          <w:pgMar w:left="1185" w:top="316"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Simplified model (premium allocation approach) –</w:t>
      </w:r>
    </w:p>
    <w:p>
      <w:pPr>
        <w:spacing w:after="0" w:line="178"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The Group measures the carrying amount of the liability for remaining coverage at the end of each reporting period as the liability for remaining coverage at the beginning of the period:</w:t>
      </w:r>
    </w:p>
    <w:p>
      <w:pPr>
        <w:spacing w:after="0" w:line="123" w:lineRule="exact"/>
        <w:rPr>
          <w:sz w:val="20"/>
          <w:szCs w:val="20"/>
          <w:color w:val="auto"/>
        </w:rPr>
      </w:pPr>
    </w:p>
    <w:p>
      <w:pPr>
        <w:ind w:left="300" w:hanging="295"/>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Plus, premiums received in the period.</w:t>
      </w:r>
    </w:p>
    <w:p>
      <w:pPr>
        <w:spacing w:after="0" w:line="29" w:lineRule="exact"/>
        <w:rPr>
          <w:rFonts w:ascii="Arial" w:cs="Arial" w:eastAsia="Arial" w:hAnsi="Arial"/>
          <w:sz w:val="16"/>
          <w:szCs w:val="16"/>
          <w:color w:val="auto"/>
        </w:rPr>
      </w:pPr>
    </w:p>
    <w:p>
      <w:pPr>
        <w:ind w:left="300" w:right="580" w:hanging="295"/>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Minus insurance acquisition cash flows, with the exception of property insurance product line for which the Group chooses to expense insurance acquisition cash flows as they occur.</w:t>
      </w:r>
    </w:p>
    <w:p>
      <w:pPr>
        <w:spacing w:after="0" w:line="1" w:lineRule="exact"/>
        <w:rPr>
          <w:rFonts w:ascii="Arial" w:cs="Arial" w:eastAsia="Arial" w:hAnsi="Arial"/>
          <w:sz w:val="16"/>
          <w:szCs w:val="16"/>
          <w:color w:val="auto"/>
        </w:rPr>
      </w:pPr>
    </w:p>
    <w:p>
      <w:pPr>
        <w:ind w:left="300" w:hanging="295"/>
        <w:spacing w:after="0" w:line="236" w:lineRule="auto"/>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Plus, any amounts relating to the amortization of the insurance acquisition cash flows recognized as an expense in the reporting period for the group.</w:t>
      </w:r>
    </w:p>
    <w:p>
      <w:pPr>
        <w:ind w:left="300" w:hanging="295"/>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Minus the amount recognized as insurance revenue for the services provided in the period.</w:t>
      </w:r>
    </w:p>
    <w:p>
      <w:pPr>
        <w:spacing w:after="0" w:line="186"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Group estimates the liability for incurred claims as the fulfilment cash flows related to incurred claims. The fulfilment cash flows incorporate, in an unbiased way, all reasonable and supportable information available without undue cost or effort about the amount, timing and uncertainty of those future cash flows, they reflect current estimates from the perspective of the Group and include an explicit adjustment for non-financial risk (the risk adjustment). The Group does not adjust the future cash flows for the time value of money and the effect of financial risk for the measurement of liability for incurred claims that are expected to be paid within one year of being incurred.</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Where, during the coverage period, facts and circumstances indicate that a group of insurance contracts is onerous, the Group recognizes a loss in profit or loss for the net outflow, resulting in the carrying amount of the liability for the group being equal to the fulfilment cash flows. A loss component is established by the Group for the liability for remaining coverage for such onerous group depicting the losses recognized.</w:t>
      </w:r>
    </w:p>
    <w:p>
      <w:pPr>
        <w:spacing w:after="0" w:line="137"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The subsequent measurement of reinsurance contracts held follows the same principles as those for insurance contracts issued and has been adapted to reflect the specific features of reinsurance held.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Presentation –</w:t>
      </w:r>
    </w:p>
    <w:p>
      <w:pPr>
        <w:spacing w:after="0" w:line="178"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For presentation in the consolidated statement of financial position, the Group aggregates insurance and reinsurance contract portfolios that are assets or liabilities and presents them separately in the following items:</w:t>
      </w:r>
    </w:p>
    <w:p>
      <w:pPr>
        <w:spacing w:after="0" w:line="123" w:lineRule="exact"/>
        <w:rPr>
          <w:sz w:val="20"/>
          <w:szCs w:val="20"/>
          <w:color w:val="auto"/>
        </w:rPr>
      </w:pPr>
    </w:p>
    <w:p>
      <w:pPr>
        <w:ind w:left="300" w:hanging="295"/>
        <w:spacing w:after="0"/>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Reinsurance Contract Assets.</w:t>
      </w:r>
    </w:p>
    <w:p>
      <w:pPr>
        <w:spacing w:after="0" w:line="29" w:lineRule="exact"/>
        <w:rPr>
          <w:rFonts w:ascii="Arial" w:cs="Arial" w:eastAsia="Arial" w:hAnsi="Arial"/>
          <w:sz w:val="16"/>
          <w:szCs w:val="16"/>
          <w:color w:val="auto"/>
        </w:rPr>
      </w:pPr>
    </w:p>
    <w:p>
      <w:pPr>
        <w:ind w:left="300" w:hanging="295"/>
        <w:spacing w:after="0"/>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Insurance Contract Liability.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presentation in the statement of comprehensive income is as follows:</w:t>
      </w:r>
    </w:p>
    <w:p>
      <w:pPr>
        <w:spacing w:after="0" w:line="178" w:lineRule="exact"/>
        <w:rPr>
          <w:sz w:val="20"/>
          <w:szCs w:val="20"/>
          <w:color w:val="auto"/>
        </w:rPr>
      </w:pPr>
    </w:p>
    <w:p>
      <w:pPr>
        <w:ind w:left="300" w:hanging="295"/>
        <w:spacing w:after="0"/>
        <w:tabs>
          <w:tab w:leader="none" w:pos="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Insurance service result (including insurance service income and expenses).</w:t>
      </w:r>
    </w:p>
    <w:p>
      <w:pPr>
        <w:spacing w:after="0" w:line="29" w:lineRule="exact"/>
        <w:rPr>
          <w:rFonts w:ascii="Arial" w:cs="Arial" w:eastAsia="Arial" w:hAnsi="Arial"/>
          <w:sz w:val="16"/>
          <w:szCs w:val="16"/>
          <w:color w:val="auto"/>
        </w:rPr>
      </w:pPr>
    </w:p>
    <w:p>
      <w:pPr>
        <w:ind w:left="300" w:hanging="295"/>
        <w:spacing w:after="0"/>
        <w:tabs>
          <w:tab w:leader="none" w:pos="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Reinsurance service result (including income and expenses from reinsurance contracts).</w:t>
      </w:r>
    </w:p>
    <w:p>
      <w:pPr>
        <w:spacing w:after="0" w:line="21" w:lineRule="exact"/>
        <w:rPr>
          <w:rFonts w:ascii="Arial" w:cs="Arial" w:eastAsia="Arial" w:hAnsi="Arial"/>
          <w:sz w:val="16"/>
          <w:szCs w:val="16"/>
          <w:color w:val="auto"/>
        </w:rPr>
      </w:pPr>
    </w:p>
    <w:p>
      <w:pPr>
        <w:ind w:left="300" w:hanging="295"/>
        <w:spacing w:after="0"/>
        <w:tabs>
          <w:tab w:leader="none" w:pos="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Net financial expenses from insurance activity, presented in interest and similar expenses. See Note 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Significant judgments and estimates –</w:t>
      </w:r>
    </w:p>
    <w:p>
      <w:pPr>
        <w:spacing w:after="0" w:line="178"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The Group bases its assumptions and estimates on parameters derived from portfolio experience and these are used to prepare the financial statements. However, existing circumstances and assumptions about future developments could change due to changes in the market or circumstances beyond the Group's control. Parameters are updated to reflect such changes in assumptions as necessary.</w:t>
      </w:r>
    </w:p>
    <w:p>
      <w:pPr>
        <w:spacing w:after="0" w:line="137"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Group reassesses the CSM in each period with the adjustment for the entity's experience. Parameters used for estimating future cash flows are a comparison between current and estimated rates, and the following hypotheses are evaluated: mortality, longevity, disability, expenses, lapses, and surrender rates.</w:t>
      </w:r>
    </w:p>
    <w:p>
      <w:pPr>
        <w:spacing w:after="0" w:line="29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80"/>
          </w:cols>
          <w:pgMar w:left="1180" w:top="316" w:right="339" w:bottom="1440" w:gutter="0" w:footer="0" w:header="0"/>
        </w:sectPr>
      </w:pPr>
    </w:p>
    <w:bookmarkStart w:id="42" w:name="page43"/>
    <w:bookmarkEnd w:id="42"/>
    <w:p>
      <w:pPr>
        <w:ind w:right="220"/>
        <w:spacing w:after="0" w:line="274" w:lineRule="auto"/>
        <w:rPr>
          <w:sz w:val="20"/>
          <w:szCs w:val="20"/>
          <w:color w:val="auto"/>
        </w:rPr>
      </w:pPr>
      <w:r>
        <w:rPr>
          <w:rFonts w:ascii="Arial" w:cs="Arial" w:eastAsia="Arial" w:hAnsi="Arial"/>
          <w:sz w:val="16"/>
          <w:szCs w:val="16"/>
          <w:color w:val="auto"/>
        </w:rPr>
        <w:t>For the measurement of the present value of future cash flows, it is necessary to define discount rates that consistently reflect the time value of money.</w:t>
      </w:r>
    </w:p>
    <w:p>
      <w:pPr>
        <w:spacing w:after="0" w:line="123" w:lineRule="exact"/>
        <w:rPr>
          <w:sz w:val="20"/>
          <w:szCs w:val="20"/>
          <w:color w:val="auto"/>
        </w:rPr>
      </w:pPr>
    </w:p>
    <w:p>
      <w:pPr>
        <w:ind w:right="760"/>
        <w:spacing w:after="0" w:line="274" w:lineRule="auto"/>
        <w:rPr>
          <w:sz w:val="20"/>
          <w:szCs w:val="20"/>
          <w:color w:val="auto"/>
        </w:rPr>
      </w:pPr>
      <w:r>
        <w:rPr>
          <w:rFonts w:ascii="Arial" w:cs="Arial" w:eastAsia="Arial" w:hAnsi="Arial"/>
          <w:sz w:val="16"/>
          <w:szCs w:val="16"/>
          <w:color w:val="auto"/>
        </w:rPr>
        <w:t>For the general model, it should be noted that in each valuation, it will be necessary to have two types of differentiated interest rates for discounting cash flows:</w:t>
      </w:r>
    </w:p>
    <w:p>
      <w:pPr>
        <w:spacing w:after="0" w:line="123" w:lineRule="exact"/>
        <w:rPr>
          <w:sz w:val="20"/>
          <w:szCs w:val="20"/>
          <w:color w:val="auto"/>
        </w:rPr>
      </w:pPr>
    </w:p>
    <w:p>
      <w:pPr>
        <w:ind w:left="300" w:right="580" w:hanging="295"/>
        <w:spacing w:after="0" w:line="274" w:lineRule="auto"/>
        <w:tabs>
          <w:tab w:leader="none" w:pos="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Market rate or current valuation rate: the interest rate obtained from current market data and assumptions. The discount rate as of the valuation date will be equal to the risk-free rate of the corresponding currency plus the Matching Adjustment described later.</w:t>
      </w:r>
    </w:p>
    <w:p>
      <w:pPr>
        <w:spacing w:after="0" w:line="122" w:lineRule="exact"/>
        <w:rPr>
          <w:rFonts w:ascii="Arial" w:cs="Arial" w:eastAsia="Arial" w:hAnsi="Arial"/>
          <w:sz w:val="16"/>
          <w:szCs w:val="16"/>
          <w:color w:val="auto"/>
        </w:rPr>
      </w:pPr>
    </w:p>
    <w:p>
      <w:pPr>
        <w:ind w:left="300" w:right="440" w:hanging="295"/>
        <w:spacing w:after="0" w:line="274" w:lineRule="auto"/>
        <w:tabs>
          <w:tab w:leader="none" w:pos="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Established initial rate or Locked-In Rate (LiR): an interest rate defined at the time of initial recognition of the insurance contract and will remain fixed until the termination of it, and will be used to:</w:t>
      </w:r>
    </w:p>
    <w:p>
      <w:pPr>
        <w:spacing w:after="0" w:line="122" w:lineRule="exact"/>
        <w:rPr>
          <w:rFonts w:ascii="Arial" w:cs="Arial" w:eastAsia="Arial" w:hAnsi="Arial"/>
          <w:sz w:val="16"/>
          <w:szCs w:val="16"/>
          <w:color w:val="auto"/>
        </w:rPr>
      </w:pPr>
    </w:p>
    <w:p>
      <w:pPr>
        <w:ind w:left="580" w:hanging="285"/>
        <w:spacing w:after="0"/>
        <w:tabs>
          <w:tab w:leader="none" w:pos="5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Measuring cash flows from fulfillment at initial valuation;</w:t>
      </w:r>
    </w:p>
    <w:p>
      <w:pPr>
        <w:spacing w:after="0" w:line="29" w:lineRule="exact"/>
        <w:rPr>
          <w:rFonts w:ascii="Arial" w:cs="Arial" w:eastAsia="Arial" w:hAnsi="Arial"/>
          <w:sz w:val="16"/>
          <w:szCs w:val="16"/>
          <w:color w:val="auto"/>
        </w:rPr>
      </w:pPr>
    </w:p>
    <w:p>
      <w:pPr>
        <w:ind w:left="580" w:hanging="285"/>
        <w:spacing w:after="0"/>
        <w:tabs>
          <w:tab w:leader="none" w:pos="5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Determining the amount of financial expenses or income from insurance included in the income statement for the period;</w:t>
      </w:r>
    </w:p>
    <w:p>
      <w:pPr>
        <w:spacing w:after="0" w:line="21" w:lineRule="exact"/>
        <w:rPr>
          <w:rFonts w:ascii="Arial" w:cs="Arial" w:eastAsia="Arial" w:hAnsi="Arial"/>
          <w:sz w:val="16"/>
          <w:szCs w:val="16"/>
          <w:color w:val="auto"/>
        </w:rPr>
      </w:pPr>
    </w:p>
    <w:p>
      <w:pPr>
        <w:ind w:left="580" w:hanging="285"/>
        <w:spacing w:after="0"/>
        <w:tabs>
          <w:tab w:leader="none" w:pos="5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Determining accrued interest on the CSM;</w:t>
      </w:r>
    </w:p>
    <w:p>
      <w:pPr>
        <w:spacing w:after="0" w:line="21" w:lineRule="exact"/>
        <w:rPr>
          <w:rFonts w:ascii="Arial" w:cs="Arial" w:eastAsia="Arial" w:hAnsi="Arial"/>
          <w:sz w:val="16"/>
          <w:szCs w:val="16"/>
          <w:color w:val="auto"/>
        </w:rPr>
      </w:pPr>
    </w:p>
    <w:p>
      <w:pPr>
        <w:ind w:left="580" w:hanging="285"/>
        <w:spacing w:after="0"/>
        <w:tabs>
          <w:tab w:leader="none" w:pos="5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Determining the portion of the financial effect on Cashflows that will be imputed to interest on liabilities;</w:t>
      </w:r>
    </w:p>
    <w:p>
      <w:pPr>
        <w:spacing w:after="0" w:line="21" w:lineRule="exact"/>
        <w:rPr>
          <w:rFonts w:ascii="Arial" w:cs="Arial" w:eastAsia="Arial" w:hAnsi="Arial"/>
          <w:sz w:val="16"/>
          <w:szCs w:val="16"/>
          <w:color w:val="auto"/>
        </w:rPr>
      </w:pPr>
    </w:p>
    <w:p>
      <w:pPr>
        <w:ind w:left="580" w:hanging="285"/>
        <w:spacing w:after="0"/>
        <w:tabs>
          <w:tab w:leader="none" w:pos="5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Measuring changes in the contractual service margin.</w:t>
      </w:r>
    </w:p>
    <w:p>
      <w:pPr>
        <w:spacing w:after="0" w:line="194"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Insurance contract liabilities are calculated by discounting the expected future cash flows at a risk-free rate, plus an illiquidity premium when applicable. The risk-free rates are determined by reference to interest rate curves published by the SBS for contracts issued in soles and VAC soles, and by reference to U.S. Treasury bond yields for contracts issued in U.S. Dollars.</w:t>
      </w:r>
    </w:p>
    <w:p>
      <w:pPr>
        <w:spacing w:after="0" w:line="137"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To determine the discount curve of the initial rate established on the date of initial recognition of the contract, the liquidity premium is determined using the Matching Adjustment methodology. This methodology is based on the assets themselves that cover the Group's liabilities and is calculated as the IRR of the de-risked assets minus the IRR of the liabilities, minus the average “Cost of Downgrade” of the portfolio and an adjustment for the portfolio's sub-investment grade investments. The Matching Adjustment is determined by product type and currency. The discount rates applied to discount future cash flows are summarized below:</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820" w:type="dxa"/>
            <w:vAlign w:val="bottom"/>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1 year</w:t>
            </w: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3 years</w:t>
            </w:r>
          </w:p>
        </w:tc>
        <w:tc>
          <w:tcPr>
            <w:tcW w:w="9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5 years</w:t>
            </w:r>
          </w:p>
        </w:tc>
        <w:tc>
          <w:tcPr>
            <w:tcW w:w="9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14"/>
        </w:trPr>
        <w:tc>
          <w:tcPr>
            <w:tcW w:w="18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6"/>
                <w:szCs w:val="16"/>
                <w:b w:val="1"/>
                <w:bCs w:val="1"/>
                <w:color w:val="auto"/>
              </w:rPr>
              <w:t>2025</w:t>
            </w:r>
          </w:p>
        </w:tc>
        <w:tc>
          <w:tcPr>
            <w:tcW w:w="940" w:type="dxa"/>
            <w:vAlign w:val="bottom"/>
          </w:tcPr>
          <w:p>
            <w:pPr>
              <w:ind w:left="240"/>
              <w:spacing w:after="0"/>
              <w:rPr>
                <w:sz w:val="20"/>
                <w:szCs w:val="20"/>
                <w:color w:val="auto"/>
              </w:rPr>
            </w:pPr>
            <w:r>
              <w:rPr>
                <w:rFonts w:ascii="Arial" w:cs="Arial" w:eastAsia="Arial" w:hAnsi="Arial"/>
                <w:sz w:val="16"/>
                <w:szCs w:val="16"/>
                <w:b w:val="1"/>
                <w:bCs w:val="1"/>
                <w:color w:val="auto"/>
              </w:rPr>
              <w:t>2024</w:t>
            </w:r>
          </w:p>
        </w:tc>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6"/>
                <w:szCs w:val="16"/>
                <w:b w:val="1"/>
                <w:bCs w:val="1"/>
                <w:color w:val="auto"/>
              </w:rPr>
              <w:t>2025</w:t>
            </w:r>
          </w:p>
        </w:tc>
        <w:tc>
          <w:tcPr>
            <w:tcW w:w="900" w:type="dxa"/>
            <w:vAlign w:val="bottom"/>
          </w:tcPr>
          <w:p>
            <w:pPr>
              <w:ind w:left="200"/>
              <w:spacing w:after="0"/>
              <w:rPr>
                <w:sz w:val="20"/>
                <w:szCs w:val="20"/>
                <w:color w:val="auto"/>
              </w:rPr>
            </w:pPr>
            <w:r>
              <w:rPr>
                <w:rFonts w:ascii="Arial" w:cs="Arial" w:eastAsia="Arial" w:hAnsi="Arial"/>
                <w:sz w:val="16"/>
                <w:szCs w:val="16"/>
                <w:b w:val="1"/>
                <w:bCs w:val="1"/>
                <w:color w:val="auto"/>
              </w:rPr>
              <w:t>2024</w:t>
            </w:r>
          </w:p>
        </w:tc>
        <w:tc>
          <w:tcPr>
            <w:tcW w:w="1000" w:type="dxa"/>
            <w:vAlign w:val="bottom"/>
          </w:tcPr>
          <w:p>
            <w:pPr>
              <w:ind w:left="260"/>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6"/>
                <w:szCs w:val="16"/>
                <w:b w:val="1"/>
                <w:bCs w:val="1"/>
                <w:color w:val="auto"/>
              </w:rPr>
              <w:t>2025</w:t>
            </w:r>
          </w:p>
        </w:tc>
        <w:tc>
          <w:tcPr>
            <w:tcW w:w="920" w:type="dxa"/>
            <w:vAlign w:val="bottom"/>
          </w:tcPr>
          <w:p>
            <w:pPr>
              <w:ind w:left="220"/>
              <w:spacing w:after="0"/>
              <w:rPr>
                <w:sz w:val="20"/>
                <w:szCs w:val="20"/>
                <w:color w:val="auto"/>
              </w:rPr>
            </w:pPr>
            <w:r>
              <w:rPr>
                <w:rFonts w:ascii="Arial" w:cs="Arial" w:eastAsia="Arial" w:hAnsi="Arial"/>
                <w:sz w:val="16"/>
                <w:szCs w:val="16"/>
                <w:b w:val="1"/>
                <w:bCs w:val="1"/>
                <w:color w:val="auto"/>
              </w:rPr>
              <w:t>2024</w:t>
            </w:r>
          </w:p>
        </w:tc>
        <w:tc>
          <w:tcPr>
            <w:tcW w:w="1000" w:type="dxa"/>
            <w:vAlign w:val="bottom"/>
          </w:tcPr>
          <w:p>
            <w:pPr>
              <w:ind w:left="260"/>
              <w:spacing w:after="0"/>
              <w:rPr>
                <w:sz w:val="20"/>
                <w:szCs w:val="20"/>
                <w:color w:val="auto"/>
              </w:rPr>
            </w:pPr>
            <w:r>
              <w:rPr>
                <w:rFonts w:ascii="Arial" w:cs="Arial" w:eastAsia="Arial" w:hAnsi="Arial"/>
                <w:sz w:val="16"/>
                <w:szCs w:val="16"/>
                <w:b w:val="1"/>
                <w:bCs w:val="1"/>
                <w:color w:val="auto"/>
              </w:rPr>
              <w:t>2023</w:t>
            </w:r>
          </w:p>
        </w:tc>
      </w:tr>
      <w:tr>
        <w:trPr>
          <w:trHeight w:val="305"/>
        </w:trPr>
        <w:tc>
          <w:tcPr>
            <w:tcW w:w="1820" w:type="dxa"/>
            <w:vAlign w:val="bottom"/>
          </w:tcPr>
          <w:p>
            <w:pPr>
              <w:spacing w:after="0"/>
              <w:rPr>
                <w:sz w:val="20"/>
                <w:szCs w:val="20"/>
                <w:color w:val="auto"/>
              </w:rPr>
            </w:pPr>
            <w:r>
              <w:rPr>
                <w:rFonts w:ascii="Arial" w:cs="Arial" w:eastAsia="Arial" w:hAnsi="Arial"/>
                <w:sz w:val="16"/>
                <w:szCs w:val="16"/>
                <w:color w:val="auto"/>
              </w:rPr>
              <w:t>Soles</w:t>
            </w:r>
          </w:p>
        </w:tc>
        <w:tc>
          <w:tcPr>
            <w:tcW w:w="780" w:type="dxa"/>
            <w:vAlign w:val="bottom"/>
          </w:tcPr>
          <w:p>
            <w:pPr>
              <w:ind w:left="60"/>
              <w:spacing w:after="0"/>
              <w:rPr>
                <w:sz w:val="20"/>
                <w:szCs w:val="20"/>
                <w:color w:val="auto"/>
              </w:rPr>
            </w:pPr>
            <w:r>
              <w:rPr>
                <w:rFonts w:ascii="Arial" w:cs="Arial" w:eastAsia="Arial" w:hAnsi="Arial"/>
                <w:sz w:val="16"/>
                <w:szCs w:val="16"/>
                <w:color w:val="auto"/>
              </w:rPr>
              <w:t>4.68%</w:t>
            </w:r>
          </w:p>
        </w:tc>
        <w:tc>
          <w:tcPr>
            <w:tcW w:w="940" w:type="dxa"/>
            <w:vAlign w:val="bottom"/>
          </w:tcPr>
          <w:p>
            <w:pPr>
              <w:ind w:left="240"/>
              <w:spacing w:after="0"/>
              <w:rPr>
                <w:sz w:val="20"/>
                <w:szCs w:val="20"/>
                <w:color w:val="auto"/>
              </w:rPr>
            </w:pPr>
            <w:r>
              <w:rPr>
                <w:rFonts w:ascii="Arial" w:cs="Arial" w:eastAsia="Arial" w:hAnsi="Arial"/>
                <w:sz w:val="16"/>
                <w:szCs w:val="16"/>
                <w:color w:val="auto"/>
              </w:rPr>
              <w:t>4.86%</w:t>
            </w:r>
          </w:p>
        </w:tc>
        <w:tc>
          <w:tcPr>
            <w:tcW w:w="980" w:type="dxa"/>
            <w:vAlign w:val="bottom"/>
          </w:tcPr>
          <w:p>
            <w:pPr>
              <w:ind w:left="240"/>
              <w:spacing w:after="0"/>
              <w:rPr>
                <w:sz w:val="20"/>
                <w:szCs w:val="20"/>
                <w:color w:val="auto"/>
              </w:rPr>
            </w:pPr>
            <w:r>
              <w:rPr>
                <w:rFonts w:ascii="Arial" w:cs="Arial" w:eastAsia="Arial" w:hAnsi="Arial"/>
                <w:sz w:val="16"/>
                <w:szCs w:val="16"/>
                <w:color w:val="auto"/>
              </w:rPr>
              <w:t>5.98%</w:t>
            </w:r>
          </w:p>
        </w:tc>
        <w:tc>
          <w:tcPr>
            <w:tcW w:w="1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6"/>
                <w:szCs w:val="16"/>
                <w:color w:val="auto"/>
              </w:rPr>
              <w:t>4.90%</w:t>
            </w:r>
          </w:p>
        </w:tc>
        <w:tc>
          <w:tcPr>
            <w:tcW w:w="900" w:type="dxa"/>
            <w:vAlign w:val="bottom"/>
          </w:tcPr>
          <w:p>
            <w:pPr>
              <w:ind w:left="200"/>
              <w:spacing w:after="0"/>
              <w:rPr>
                <w:sz w:val="20"/>
                <w:szCs w:val="20"/>
                <w:color w:val="auto"/>
              </w:rPr>
            </w:pPr>
            <w:r>
              <w:rPr>
                <w:rFonts w:ascii="Arial" w:cs="Arial" w:eastAsia="Arial" w:hAnsi="Arial"/>
                <w:sz w:val="16"/>
                <w:szCs w:val="16"/>
                <w:color w:val="auto"/>
              </w:rPr>
              <w:t>5.41%</w:t>
            </w:r>
          </w:p>
        </w:tc>
        <w:tc>
          <w:tcPr>
            <w:tcW w:w="1000" w:type="dxa"/>
            <w:vAlign w:val="bottom"/>
          </w:tcPr>
          <w:p>
            <w:pPr>
              <w:ind w:left="260"/>
              <w:spacing w:after="0"/>
              <w:rPr>
                <w:sz w:val="20"/>
                <w:szCs w:val="20"/>
                <w:color w:val="auto"/>
              </w:rPr>
            </w:pPr>
            <w:r>
              <w:rPr>
                <w:rFonts w:ascii="Arial" w:cs="Arial" w:eastAsia="Arial" w:hAnsi="Arial"/>
                <w:sz w:val="16"/>
                <w:szCs w:val="16"/>
                <w:color w:val="auto"/>
              </w:rPr>
              <w:t>6.18%</w:t>
            </w:r>
          </w:p>
        </w:tc>
        <w:tc>
          <w:tcPr>
            <w:tcW w:w="1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6"/>
                <w:szCs w:val="16"/>
                <w:color w:val="auto"/>
              </w:rPr>
              <w:t>5.42%</w:t>
            </w:r>
          </w:p>
        </w:tc>
        <w:tc>
          <w:tcPr>
            <w:tcW w:w="920" w:type="dxa"/>
            <w:vAlign w:val="bottom"/>
          </w:tcPr>
          <w:p>
            <w:pPr>
              <w:ind w:left="220"/>
              <w:spacing w:after="0"/>
              <w:rPr>
                <w:sz w:val="20"/>
                <w:szCs w:val="20"/>
                <w:color w:val="auto"/>
              </w:rPr>
            </w:pPr>
            <w:r>
              <w:rPr>
                <w:rFonts w:ascii="Arial" w:cs="Arial" w:eastAsia="Arial" w:hAnsi="Arial"/>
                <w:sz w:val="16"/>
                <w:szCs w:val="16"/>
                <w:color w:val="auto"/>
              </w:rPr>
              <w:t>6.20%</w:t>
            </w:r>
          </w:p>
        </w:tc>
        <w:tc>
          <w:tcPr>
            <w:tcW w:w="1000" w:type="dxa"/>
            <w:vAlign w:val="bottom"/>
          </w:tcPr>
          <w:p>
            <w:pPr>
              <w:ind w:left="260"/>
              <w:spacing w:after="0"/>
              <w:rPr>
                <w:sz w:val="20"/>
                <w:szCs w:val="20"/>
                <w:color w:val="auto"/>
              </w:rPr>
            </w:pPr>
            <w:r>
              <w:rPr>
                <w:rFonts w:ascii="Arial" w:cs="Arial" w:eastAsia="Arial" w:hAnsi="Arial"/>
                <w:sz w:val="16"/>
                <w:szCs w:val="16"/>
                <w:color w:val="auto"/>
              </w:rPr>
              <w:t>6.62%</w:t>
            </w:r>
          </w:p>
        </w:tc>
      </w:tr>
      <w:tr>
        <w:trPr>
          <w:trHeight w:val="181"/>
        </w:trPr>
        <w:tc>
          <w:tcPr>
            <w:tcW w:w="1820" w:type="dxa"/>
            <w:vAlign w:val="bottom"/>
          </w:tcPr>
          <w:p>
            <w:pPr>
              <w:spacing w:after="0" w:line="181" w:lineRule="exact"/>
              <w:rPr>
                <w:sz w:val="20"/>
                <w:szCs w:val="20"/>
                <w:color w:val="auto"/>
              </w:rPr>
            </w:pPr>
            <w:r>
              <w:rPr>
                <w:rFonts w:ascii="Arial" w:cs="Arial" w:eastAsia="Arial" w:hAnsi="Arial"/>
                <w:sz w:val="16"/>
                <w:szCs w:val="16"/>
                <w:color w:val="auto"/>
              </w:rPr>
              <w:t>Soles VAC</w:t>
            </w:r>
          </w:p>
        </w:tc>
        <w:tc>
          <w:tcPr>
            <w:tcW w:w="780" w:type="dxa"/>
            <w:vAlign w:val="bottom"/>
          </w:tcPr>
          <w:p>
            <w:pPr>
              <w:ind w:left="60"/>
              <w:spacing w:after="0" w:line="181" w:lineRule="exact"/>
              <w:rPr>
                <w:sz w:val="20"/>
                <w:szCs w:val="20"/>
                <w:color w:val="auto"/>
              </w:rPr>
            </w:pPr>
            <w:r>
              <w:rPr>
                <w:rFonts w:ascii="Arial" w:cs="Arial" w:eastAsia="Arial" w:hAnsi="Arial"/>
                <w:sz w:val="16"/>
                <w:szCs w:val="16"/>
                <w:color w:val="auto"/>
              </w:rPr>
              <w:t>1.56%</w:t>
            </w:r>
          </w:p>
        </w:tc>
        <w:tc>
          <w:tcPr>
            <w:tcW w:w="940" w:type="dxa"/>
            <w:vAlign w:val="bottom"/>
          </w:tcPr>
          <w:p>
            <w:pPr>
              <w:ind w:left="240"/>
              <w:spacing w:after="0" w:line="181" w:lineRule="exact"/>
              <w:rPr>
                <w:sz w:val="20"/>
                <w:szCs w:val="20"/>
                <w:color w:val="auto"/>
              </w:rPr>
            </w:pPr>
            <w:r>
              <w:rPr>
                <w:rFonts w:ascii="Arial" w:cs="Arial" w:eastAsia="Arial" w:hAnsi="Arial"/>
                <w:sz w:val="16"/>
                <w:szCs w:val="16"/>
                <w:color w:val="auto"/>
              </w:rPr>
              <w:t>1.69%</w:t>
            </w:r>
          </w:p>
        </w:tc>
        <w:tc>
          <w:tcPr>
            <w:tcW w:w="980" w:type="dxa"/>
            <w:vAlign w:val="bottom"/>
          </w:tcPr>
          <w:p>
            <w:pPr>
              <w:ind w:left="240"/>
              <w:spacing w:after="0" w:line="181" w:lineRule="exact"/>
              <w:rPr>
                <w:sz w:val="20"/>
                <w:szCs w:val="20"/>
                <w:color w:val="auto"/>
              </w:rPr>
            </w:pPr>
            <w:r>
              <w:rPr>
                <w:rFonts w:ascii="Arial" w:cs="Arial" w:eastAsia="Arial" w:hAnsi="Arial"/>
                <w:sz w:val="16"/>
                <w:szCs w:val="16"/>
                <w:color w:val="auto"/>
              </w:rPr>
              <w:t>1.44%</w:t>
            </w:r>
          </w:p>
        </w:tc>
        <w:tc>
          <w:tcPr>
            <w:tcW w:w="160" w:type="dxa"/>
            <w:vAlign w:val="bottom"/>
          </w:tcPr>
          <w:p>
            <w:pPr>
              <w:spacing w:after="0"/>
              <w:rPr>
                <w:sz w:val="15"/>
                <w:szCs w:val="15"/>
                <w:color w:val="auto"/>
              </w:rPr>
            </w:pPr>
          </w:p>
        </w:tc>
        <w:tc>
          <w:tcPr>
            <w:tcW w:w="820" w:type="dxa"/>
            <w:vAlign w:val="bottom"/>
          </w:tcPr>
          <w:p>
            <w:pPr>
              <w:ind w:left="60"/>
              <w:spacing w:after="0" w:line="181" w:lineRule="exact"/>
              <w:rPr>
                <w:sz w:val="20"/>
                <w:szCs w:val="20"/>
                <w:color w:val="auto"/>
              </w:rPr>
            </w:pPr>
            <w:r>
              <w:rPr>
                <w:rFonts w:ascii="Arial" w:cs="Arial" w:eastAsia="Arial" w:hAnsi="Arial"/>
                <w:sz w:val="16"/>
                <w:szCs w:val="16"/>
                <w:color w:val="auto"/>
              </w:rPr>
              <w:t>2.10%</w:t>
            </w:r>
          </w:p>
        </w:tc>
        <w:tc>
          <w:tcPr>
            <w:tcW w:w="900" w:type="dxa"/>
            <w:vAlign w:val="bottom"/>
          </w:tcPr>
          <w:p>
            <w:pPr>
              <w:ind w:left="200"/>
              <w:spacing w:after="0" w:line="181" w:lineRule="exact"/>
              <w:rPr>
                <w:sz w:val="20"/>
                <w:szCs w:val="20"/>
                <w:color w:val="auto"/>
              </w:rPr>
            </w:pPr>
            <w:r>
              <w:rPr>
                <w:rFonts w:ascii="Arial" w:cs="Arial" w:eastAsia="Arial" w:hAnsi="Arial"/>
                <w:sz w:val="16"/>
                <w:szCs w:val="16"/>
                <w:color w:val="auto"/>
              </w:rPr>
              <w:t>2.59%</w:t>
            </w:r>
          </w:p>
        </w:tc>
        <w:tc>
          <w:tcPr>
            <w:tcW w:w="1000" w:type="dxa"/>
            <w:vAlign w:val="bottom"/>
          </w:tcPr>
          <w:p>
            <w:pPr>
              <w:ind w:left="260"/>
              <w:spacing w:after="0" w:line="181" w:lineRule="exact"/>
              <w:rPr>
                <w:sz w:val="20"/>
                <w:szCs w:val="20"/>
                <w:color w:val="auto"/>
              </w:rPr>
            </w:pPr>
            <w:r>
              <w:rPr>
                <w:rFonts w:ascii="Arial" w:cs="Arial" w:eastAsia="Arial" w:hAnsi="Arial"/>
                <w:sz w:val="16"/>
                <w:szCs w:val="16"/>
                <w:color w:val="auto"/>
              </w:rPr>
              <w:t>3.13%</w:t>
            </w:r>
          </w:p>
        </w:tc>
        <w:tc>
          <w:tcPr>
            <w:tcW w:w="160" w:type="dxa"/>
            <w:vAlign w:val="bottom"/>
          </w:tcPr>
          <w:p>
            <w:pPr>
              <w:spacing w:after="0"/>
              <w:rPr>
                <w:sz w:val="15"/>
                <w:szCs w:val="15"/>
                <w:color w:val="auto"/>
              </w:rPr>
            </w:pPr>
          </w:p>
        </w:tc>
        <w:tc>
          <w:tcPr>
            <w:tcW w:w="820" w:type="dxa"/>
            <w:vAlign w:val="bottom"/>
          </w:tcPr>
          <w:p>
            <w:pPr>
              <w:ind w:left="60"/>
              <w:spacing w:after="0" w:line="181" w:lineRule="exact"/>
              <w:rPr>
                <w:sz w:val="20"/>
                <w:szCs w:val="20"/>
                <w:color w:val="auto"/>
              </w:rPr>
            </w:pPr>
            <w:r>
              <w:rPr>
                <w:rFonts w:ascii="Arial" w:cs="Arial" w:eastAsia="Arial" w:hAnsi="Arial"/>
                <w:sz w:val="16"/>
                <w:szCs w:val="16"/>
                <w:color w:val="auto"/>
              </w:rPr>
              <w:t>2.67%</w:t>
            </w:r>
          </w:p>
        </w:tc>
        <w:tc>
          <w:tcPr>
            <w:tcW w:w="920" w:type="dxa"/>
            <w:vAlign w:val="bottom"/>
          </w:tcPr>
          <w:p>
            <w:pPr>
              <w:ind w:left="220"/>
              <w:spacing w:after="0" w:line="181" w:lineRule="exact"/>
              <w:rPr>
                <w:sz w:val="20"/>
                <w:szCs w:val="20"/>
                <w:color w:val="auto"/>
              </w:rPr>
            </w:pPr>
            <w:r>
              <w:rPr>
                <w:rFonts w:ascii="Arial" w:cs="Arial" w:eastAsia="Arial" w:hAnsi="Arial"/>
                <w:sz w:val="16"/>
                <w:szCs w:val="16"/>
                <w:color w:val="auto"/>
              </w:rPr>
              <w:t>3.18%</w:t>
            </w:r>
          </w:p>
        </w:tc>
        <w:tc>
          <w:tcPr>
            <w:tcW w:w="1000" w:type="dxa"/>
            <w:vAlign w:val="bottom"/>
          </w:tcPr>
          <w:p>
            <w:pPr>
              <w:ind w:left="260"/>
              <w:spacing w:after="0" w:line="181" w:lineRule="exact"/>
              <w:rPr>
                <w:sz w:val="20"/>
                <w:szCs w:val="20"/>
                <w:color w:val="auto"/>
              </w:rPr>
            </w:pPr>
            <w:r>
              <w:rPr>
                <w:rFonts w:ascii="Arial" w:cs="Arial" w:eastAsia="Arial" w:hAnsi="Arial"/>
                <w:sz w:val="16"/>
                <w:szCs w:val="16"/>
                <w:color w:val="auto"/>
              </w:rPr>
              <w:t>3.58%</w:t>
            </w:r>
          </w:p>
        </w:tc>
      </w:tr>
      <w:tr>
        <w:trPr>
          <w:trHeight w:val="214"/>
        </w:trPr>
        <w:tc>
          <w:tcPr>
            <w:tcW w:w="1820" w:type="dxa"/>
            <w:vAlign w:val="bottom"/>
          </w:tcPr>
          <w:p>
            <w:pPr>
              <w:spacing w:after="0"/>
              <w:rPr>
                <w:sz w:val="20"/>
                <w:szCs w:val="20"/>
                <w:color w:val="auto"/>
              </w:rPr>
            </w:pPr>
            <w:r>
              <w:rPr>
                <w:rFonts w:ascii="Arial" w:cs="Arial" w:eastAsia="Arial" w:hAnsi="Arial"/>
                <w:sz w:val="16"/>
                <w:szCs w:val="16"/>
                <w:color w:val="auto"/>
              </w:rPr>
              <w:t>Dollars</w:t>
            </w:r>
          </w:p>
        </w:tc>
        <w:tc>
          <w:tcPr>
            <w:tcW w:w="780" w:type="dxa"/>
            <w:vAlign w:val="bottom"/>
          </w:tcPr>
          <w:p>
            <w:pPr>
              <w:ind w:left="60"/>
              <w:spacing w:after="0"/>
              <w:rPr>
                <w:sz w:val="20"/>
                <w:szCs w:val="20"/>
                <w:color w:val="auto"/>
              </w:rPr>
            </w:pPr>
            <w:r>
              <w:rPr>
                <w:rFonts w:ascii="Arial" w:cs="Arial" w:eastAsia="Arial" w:hAnsi="Arial"/>
                <w:sz w:val="16"/>
                <w:szCs w:val="16"/>
                <w:color w:val="auto"/>
              </w:rPr>
              <w:t>4.99%</w:t>
            </w:r>
          </w:p>
        </w:tc>
        <w:tc>
          <w:tcPr>
            <w:tcW w:w="940" w:type="dxa"/>
            <w:vAlign w:val="bottom"/>
          </w:tcPr>
          <w:p>
            <w:pPr>
              <w:ind w:left="240"/>
              <w:spacing w:after="0"/>
              <w:rPr>
                <w:sz w:val="20"/>
                <w:szCs w:val="20"/>
                <w:color w:val="auto"/>
              </w:rPr>
            </w:pPr>
            <w:r>
              <w:rPr>
                <w:rFonts w:ascii="Arial" w:cs="Arial" w:eastAsia="Arial" w:hAnsi="Arial"/>
                <w:sz w:val="16"/>
                <w:szCs w:val="16"/>
                <w:color w:val="auto"/>
              </w:rPr>
              <w:t>5.71%</w:t>
            </w:r>
          </w:p>
        </w:tc>
        <w:tc>
          <w:tcPr>
            <w:tcW w:w="980" w:type="dxa"/>
            <w:vAlign w:val="bottom"/>
          </w:tcPr>
          <w:p>
            <w:pPr>
              <w:ind w:left="240"/>
              <w:spacing w:after="0"/>
              <w:rPr>
                <w:sz w:val="20"/>
                <w:szCs w:val="20"/>
                <w:color w:val="auto"/>
              </w:rPr>
            </w:pPr>
            <w:r>
              <w:rPr>
                <w:rFonts w:ascii="Arial" w:cs="Arial" w:eastAsia="Arial" w:hAnsi="Arial"/>
                <w:sz w:val="16"/>
                <w:szCs w:val="16"/>
                <w:color w:val="auto"/>
              </w:rPr>
              <w:t>6.52%</w:t>
            </w:r>
          </w:p>
        </w:tc>
        <w:tc>
          <w:tcPr>
            <w:tcW w:w="16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6"/>
                <w:szCs w:val="16"/>
                <w:color w:val="auto"/>
              </w:rPr>
              <w:t>5.06%</w:t>
            </w:r>
          </w:p>
        </w:tc>
        <w:tc>
          <w:tcPr>
            <w:tcW w:w="900" w:type="dxa"/>
            <w:vAlign w:val="bottom"/>
          </w:tcPr>
          <w:p>
            <w:pPr>
              <w:ind w:left="200"/>
              <w:spacing w:after="0"/>
              <w:rPr>
                <w:sz w:val="20"/>
                <w:szCs w:val="20"/>
                <w:color w:val="auto"/>
              </w:rPr>
            </w:pPr>
            <w:r>
              <w:rPr>
                <w:rFonts w:ascii="Arial" w:cs="Arial" w:eastAsia="Arial" w:hAnsi="Arial"/>
                <w:sz w:val="16"/>
                <w:szCs w:val="16"/>
                <w:color w:val="auto"/>
              </w:rPr>
              <w:t>5.82%</w:t>
            </w:r>
          </w:p>
        </w:tc>
        <w:tc>
          <w:tcPr>
            <w:tcW w:w="1000" w:type="dxa"/>
            <w:vAlign w:val="bottom"/>
          </w:tcPr>
          <w:p>
            <w:pPr>
              <w:ind w:left="260"/>
              <w:spacing w:after="0"/>
              <w:rPr>
                <w:sz w:val="20"/>
                <w:szCs w:val="20"/>
                <w:color w:val="auto"/>
              </w:rPr>
            </w:pPr>
            <w:r>
              <w:rPr>
                <w:rFonts w:ascii="Arial" w:cs="Arial" w:eastAsia="Arial" w:hAnsi="Arial"/>
                <w:sz w:val="16"/>
                <w:szCs w:val="16"/>
                <w:color w:val="auto"/>
              </w:rPr>
              <w:t>5.74%</w:t>
            </w:r>
          </w:p>
        </w:tc>
        <w:tc>
          <w:tcPr>
            <w:tcW w:w="16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6"/>
                <w:szCs w:val="16"/>
                <w:color w:val="auto"/>
              </w:rPr>
              <w:t>5.24%</w:t>
            </w:r>
          </w:p>
        </w:tc>
        <w:tc>
          <w:tcPr>
            <w:tcW w:w="920" w:type="dxa"/>
            <w:vAlign w:val="bottom"/>
          </w:tcPr>
          <w:p>
            <w:pPr>
              <w:ind w:left="220"/>
              <w:spacing w:after="0"/>
              <w:rPr>
                <w:sz w:val="20"/>
                <w:szCs w:val="20"/>
                <w:color w:val="auto"/>
              </w:rPr>
            </w:pPr>
            <w:r>
              <w:rPr>
                <w:rFonts w:ascii="Arial" w:cs="Arial" w:eastAsia="Arial" w:hAnsi="Arial"/>
                <w:sz w:val="16"/>
                <w:szCs w:val="16"/>
                <w:color w:val="auto"/>
              </w:rPr>
              <w:t>5.93%</w:t>
            </w:r>
          </w:p>
        </w:tc>
        <w:tc>
          <w:tcPr>
            <w:tcW w:w="1000" w:type="dxa"/>
            <w:vAlign w:val="bottom"/>
          </w:tcPr>
          <w:p>
            <w:pPr>
              <w:ind w:left="260"/>
              <w:spacing w:after="0"/>
              <w:rPr>
                <w:sz w:val="20"/>
                <w:szCs w:val="20"/>
                <w:color w:val="auto"/>
              </w:rPr>
            </w:pPr>
            <w:r>
              <w:rPr>
                <w:rFonts w:ascii="Arial" w:cs="Arial" w:eastAsia="Arial" w:hAnsi="Arial"/>
                <w:sz w:val="16"/>
                <w:szCs w:val="16"/>
                <w:color w:val="auto"/>
              </w:rPr>
              <w:t>5.57%</w:t>
            </w:r>
          </w:p>
        </w:tc>
      </w:tr>
    </w:tbl>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820" w:type="dxa"/>
            <w:vAlign w:val="bottom"/>
          </w:tcPr>
          <w:p>
            <w:pPr>
              <w:spacing w:after="0"/>
              <w:rPr>
                <w:sz w:val="17"/>
                <w:szCs w:val="17"/>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10 years</w:t>
            </w:r>
          </w:p>
        </w:tc>
        <w:tc>
          <w:tcPr>
            <w:tcW w:w="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 years</w:t>
            </w: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14"/>
        </w:trPr>
        <w:tc>
          <w:tcPr>
            <w:tcW w:w="18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6"/>
                <w:szCs w:val="16"/>
                <w:b w:val="1"/>
                <w:bCs w:val="1"/>
                <w:color w:val="auto"/>
              </w:rPr>
              <w:t>2025</w:t>
            </w:r>
          </w:p>
        </w:tc>
        <w:tc>
          <w:tcPr>
            <w:tcW w:w="860" w:type="dxa"/>
            <w:vAlign w:val="bottom"/>
          </w:tcPr>
          <w:p>
            <w:pPr>
              <w:ind w:left="160"/>
              <w:spacing w:after="0"/>
              <w:rPr>
                <w:sz w:val="20"/>
                <w:szCs w:val="20"/>
                <w:color w:val="auto"/>
              </w:rPr>
            </w:pPr>
            <w:r>
              <w:rPr>
                <w:rFonts w:ascii="Arial" w:cs="Arial" w:eastAsia="Arial" w:hAnsi="Arial"/>
                <w:sz w:val="16"/>
                <w:szCs w:val="16"/>
                <w:b w:val="1"/>
                <w:bCs w:val="1"/>
                <w:color w:val="auto"/>
              </w:rPr>
              <w:t>2024</w:t>
            </w:r>
          </w:p>
        </w:tc>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6"/>
                <w:szCs w:val="16"/>
                <w:b w:val="1"/>
                <w:bCs w:val="1"/>
                <w:color w:val="auto"/>
              </w:rPr>
              <w:t>2025</w:t>
            </w:r>
          </w:p>
        </w:tc>
        <w:tc>
          <w:tcPr>
            <w:tcW w:w="860" w:type="dxa"/>
            <w:vAlign w:val="bottom"/>
          </w:tcPr>
          <w:p>
            <w:pPr>
              <w:ind w:left="160"/>
              <w:spacing w:after="0"/>
              <w:rPr>
                <w:sz w:val="20"/>
                <w:szCs w:val="20"/>
                <w:color w:val="auto"/>
              </w:rPr>
            </w:pPr>
            <w:r>
              <w:rPr>
                <w:rFonts w:ascii="Arial" w:cs="Arial" w:eastAsia="Arial" w:hAnsi="Arial"/>
                <w:sz w:val="16"/>
                <w:szCs w:val="16"/>
                <w:b w:val="1"/>
                <w:bCs w:val="1"/>
                <w:color w:val="auto"/>
              </w:rPr>
              <w:t>2024</w:t>
            </w:r>
          </w:p>
        </w:tc>
        <w:tc>
          <w:tcPr>
            <w:tcW w:w="1000" w:type="dxa"/>
            <w:vAlign w:val="bottom"/>
          </w:tcPr>
          <w:p>
            <w:pPr>
              <w:ind w:left="260"/>
              <w:spacing w:after="0"/>
              <w:rPr>
                <w:sz w:val="20"/>
                <w:szCs w:val="20"/>
                <w:color w:val="auto"/>
              </w:rPr>
            </w:pPr>
            <w:r>
              <w:rPr>
                <w:rFonts w:ascii="Arial" w:cs="Arial" w:eastAsia="Arial" w:hAnsi="Arial"/>
                <w:sz w:val="16"/>
                <w:szCs w:val="16"/>
                <w:b w:val="1"/>
                <w:bCs w:val="1"/>
                <w:color w:val="auto"/>
              </w:rPr>
              <w:t>2023</w:t>
            </w:r>
          </w:p>
        </w:tc>
      </w:tr>
      <w:tr>
        <w:trPr>
          <w:trHeight w:val="305"/>
        </w:trPr>
        <w:tc>
          <w:tcPr>
            <w:tcW w:w="1820" w:type="dxa"/>
            <w:vAlign w:val="bottom"/>
          </w:tcPr>
          <w:p>
            <w:pPr>
              <w:spacing w:after="0"/>
              <w:rPr>
                <w:sz w:val="20"/>
                <w:szCs w:val="20"/>
                <w:color w:val="auto"/>
              </w:rPr>
            </w:pPr>
            <w:r>
              <w:rPr>
                <w:rFonts w:ascii="Arial" w:cs="Arial" w:eastAsia="Arial" w:hAnsi="Arial"/>
                <w:sz w:val="16"/>
                <w:szCs w:val="16"/>
                <w:color w:val="auto"/>
              </w:rPr>
              <w:t>Soles</w:t>
            </w:r>
          </w:p>
        </w:tc>
        <w:tc>
          <w:tcPr>
            <w:tcW w:w="860" w:type="dxa"/>
            <w:vAlign w:val="bottom"/>
          </w:tcPr>
          <w:p>
            <w:pPr>
              <w:ind w:left="60"/>
              <w:spacing w:after="0"/>
              <w:rPr>
                <w:sz w:val="20"/>
                <w:szCs w:val="20"/>
                <w:color w:val="auto"/>
              </w:rPr>
            </w:pPr>
            <w:r>
              <w:rPr>
                <w:rFonts w:ascii="Arial" w:cs="Arial" w:eastAsia="Arial" w:hAnsi="Arial"/>
                <w:sz w:val="16"/>
                <w:szCs w:val="16"/>
                <w:color w:val="auto"/>
              </w:rPr>
              <w:t>6.74%</w:t>
            </w:r>
          </w:p>
        </w:tc>
        <w:tc>
          <w:tcPr>
            <w:tcW w:w="860" w:type="dxa"/>
            <w:vAlign w:val="bottom"/>
          </w:tcPr>
          <w:p>
            <w:pPr>
              <w:ind w:left="160"/>
              <w:spacing w:after="0"/>
              <w:rPr>
                <w:sz w:val="20"/>
                <w:szCs w:val="20"/>
                <w:color w:val="auto"/>
              </w:rPr>
            </w:pPr>
            <w:r>
              <w:rPr>
                <w:rFonts w:ascii="Arial" w:cs="Arial" w:eastAsia="Arial" w:hAnsi="Arial"/>
                <w:sz w:val="16"/>
                <w:szCs w:val="16"/>
                <w:color w:val="auto"/>
              </w:rPr>
              <w:t>7.40%</w:t>
            </w:r>
          </w:p>
        </w:tc>
        <w:tc>
          <w:tcPr>
            <w:tcW w:w="980" w:type="dxa"/>
            <w:vAlign w:val="bottom"/>
          </w:tcPr>
          <w:p>
            <w:pPr>
              <w:ind w:left="240"/>
              <w:spacing w:after="0"/>
              <w:rPr>
                <w:sz w:val="20"/>
                <w:szCs w:val="20"/>
                <w:color w:val="auto"/>
              </w:rPr>
            </w:pPr>
            <w:r>
              <w:rPr>
                <w:rFonts w:ascii="Arial" w:cs="Arial" w:eastAsia="Arial" w:hAnsi="Arial"/>
                <w:sz w:val="16"/>
                <w:szCs w:val="16"/>
                <w:color w:val="auto"/>
              </w:rPr>
              <w:t>7.12%</w:t>
            </w:r>
          </w:p>
        </w:tc>
        <w:tc>
          <w:tcPr>
            <w:tcW w:w="16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7.73%</w:t>
            </w:r>
          </w:p>
        </w:tc>
        <w:tc>
          <w:tcPr>
            <w:tcW w:w="860" w:type="dxa"/>
            <w:vAlign w:val="bottom"/>
          </w:tcPr>
          <w:p>
            <w:pPr>
              <w:ind w:left="160"/>
              <w:spacing w:after="0"/>
              <w:rPr>
                <w:sz w:val="20"/>
                <w:szCs w:val="20"/>
                <w:color w:val="auto"/>
              </w:rPr>
            </w:pPr>
            <w:r>
              <w:rPr>
                <w:rFonts w:ascii="Arial" w:cs="Arial" w:eastAsia="Arial" w:hAnsi="Arial"/>
                <w:sz w:val="16"/>
                <w:szCs w:val="16"/>
                <w:color w:val="auto"/>
              </w:rPr>
              <w:t>7.88%</w:t>
            </w:r>
          </w:p>
        </w:tc>
        <w:tc>
          <w:tcPr>
            <w:tcW w:w="1000" w:type="dxa"/>
            <w:vAlign w:val="bottom"/>
          </w:tcPr>
          <w:p>
            <w:pPr>
              <w:ind w:left="260"/>
              <w:spacing w:after="0"/>
              <w:rPr>
                <w:sz w:val="20"/>
                <w:szCs w:val="20"/>
                <w:color w:val="auto"/>
              </w:rPr>
            </w:pPr>
            <w:r>
              <w:rPr>
                <w:rFonts w:ascii="Arial" w:cs="Arial" w:eastAsia="Arial" w:hAnsi="Arial"/>
                <w:sz w:val="16"/>
                <w:szCs w:val="16"/>
                <w:color w:val="auto"/>
              </w:rPr>
              <w:t>7.41%</w:t>
            </w:r>
          </w:p>
        </w:tc>
      </w:tr>
      <w:tr>
        <w:trPr>
          <w:trHeight w:val="181"/>
        </w:trPr>
        <w:tc>
          <w:tcPr>
            <w:tcW w:w="1820" w:type="dxa"/>
            <w:vAlign w:val="bottom"/>
          </w:tcPr>
          <w:p>
            <w:pPr>
              <w:spacing w:after="0" w:line="181" w:lineRule="exact"/>
              <w:rPr>
                <w:sz w:val="20"/>
                <w:szCs w:val="20"/>
                <w:color w:val="auto"/>
              </w:rPr>
            </w:pPr>
            <w:r>
              <w:rPr>
                <w:rFonts w:ascii="Arial" w:cs="Arial" w:eastAsia="Arial" w:hAnsi="Arial"/>
                <w:sz w:val="16"/>
                <w:szCs w:val="16"/>
                <w:color w:val="auto"/>
              </w:rPr>
              <w:t>Soles VAC</w:t>
            </w:r>
          </w:p>
        </w:tc>
        <w:tc>
          <w:tcPr>
            <w:tcW w:w="860" w:type="dxa"/>
            <w:vAlign w:val="bottom"/>
          </w:tcPr>
          <w:p>
            <w:pPr>
              <w:ind w:left="60"/>
              <w:spacing w:after="0" w:line="181" w:lineRule="exact"/>
              <w:rPr>
                <w:sz w:val="20"/>
                <w:szCs w:val="20"/>
                <w:color w:val="auto"/>
              </w:rPr>
            </w:pPr>
            <w:r>
              <w:rPr>
                <w:rFonts w:ascii="Arial" w:cs="Arial" w:eastAsia="Arial" w:hAnsi="Arial"/>
                <w:sz w:val="16"/>
                <w:szCs w:val="16"/>
                <w:color w:val="auto"/>
              </w:rPr>
              <w:t>3.55%</w:t>
            </w:r>
          </w:p>
        </w:tc>
        <w:tc>
          <w:tcPr>
            <w:tcW w:w="860" w:type="dxa"/>
            <w:vAlign w:val="bottom"/>
          </w:tcPr>
          <w:p>
            <w:pPr>
              <w:ind w:left="160"/>
              <w:spacing w:after="0" w:line="181" w:lineRule="exact"/>
              <w:rPr>
                <w:sz w:val="20"/>
                <w:szCs w:val="20"/>
                <w:color w:val="auto"/>
              </w:rPr>
            </w:pPr>
            <w:r>
              <w:rPr>
                <w:rFonts w:ascii="Arial" w:cs="Arial" w:eastAsia="Arial" w:hAnsi="Arial"/>
                <w:sz w:val="16"/>
                <w:szCs w:val="16"/>
                <w:color w:val="auto"/>
              </w:rPr>
              <w:t>3.66%</w:t>
            </w:r>
          </w:p>
        </w:tc>
        <w:tc>
          <w:tcPr>
            <w:tcW w:w="980" w:type="dxa"/>
            <w:vAlign w:val="bottom"/>
          </w:tcPr>
          <w:p>
            <w:pPr>
              <w:ind w:left="240"/>
              <w:spacing w:after="0" w:line="181" w:lineRule="exact"/>
              <w:rPr>
                <w:sz w:val="20"/>
                <w:szCs w:val="20"/>
                <w:color w:val="auto"/>
              </w:rPr>
            </w:pPr>
            <w:r>
              <w:rPr>
                <w:rFonts w:ascii="Arial" w:cs="Arial" w:eastAsia="Arial" w:hAnsi="Arial"/>
                <w:sz w:val="16"/>
                <w:szCs w:val="16"/>
                <w:color w:val="auto"/>
              </w:rPr>
              <w:t>3.91%</w:t>
            </w:r>
          </w:p>
        </w:tc>
        <w:tc>
          <w:tcPr>
            <w:tcW w:w="160" w:type="dxa"/>
            <w:vAlign w:val="bottom"/>
          </w:tcPr>
          <w:p>
            <w:pPr>
              <w:spacing w:after="0"/>
              <w:rPr>
                <w:sz w:val="15"/>
                <w:szCs w:val="15"/>
                <w:color w:val="auto"/>
              </w:rPr>
            </w:pPr>
          </w:p>
        </w:tc>
        <w:tc>
          <w:tcPr>
            <w:tcW w:w="860" w:type="dxa"/>
            <w:vAlign w:val="bottom"/>
          </w:tcPr>
          <w:p>
            <w:pPr>
              <w:ind w:left="60"/>
              <w:spacing w:after="0" w:line="181" w:lineRule="exact"/>
              <w:rPr>
                <w:sz w:val="20"/>
                <w:szCs w:val="20"/>
                <w:color w:val="auto"/>
              </w:rPr>
            </w:pPr>
            <w:r>
              <w:rPr>
                <w:rFonts w:ascii="Arial" w:cs="Arial" w:eastAsia="Arial" w:hAnsi="Arial"/>
                <w:sz w:val="16"/>
                <w:szCs w:val="16"/>
                <w:color w:val="auto"/>
              </w:rPr>
              <w:t>3.84%</w:t>
            </w:r>
          </w:p>
        </w:tc>
        <w:tc>
          <w:tcPr>
            <w:tcW w:w="860" w:type="dxa"/>
            <w:vAlign w:val="bottom"/>
          </w:tcPr>
          <w:p>
            <w:pPr>
              <w:ind w:left="160"/>
              <w:spacing w:after="0" w:line="181" w:lineRule="exact"/>
              <w:rPr>
                <w:sz w:val="20"/>
                <w:szCs w:val="20"/>
                <w:color w:val="auto"/>
              </w:rPr>
            </w:pPr>
            <w:r>
              <w:rPr>
                <w:rFonts w:ascii="Arial" w:cs="Arial" w:eastAsia="Arial" w:hAnsi="Arial"/>
                <w:sz w:val="16"/>
                <w:szCs w:val="16"/>
                <w:color w:val="auto"/>
              </w:rPr>
              <w:t>3.91%</w:t>
            </w:r>
          </w:p>
        </w:tc>
        <w:tc>
          <w:tcPr>
            <w:tcW w:w="1000" w:type="dxa"/>
            <w:vAlign w:val="bottom"/>
          </w:tcPr>
          <w:p>
            <w:pPr>
              <w:ind w:left="260"/>
              <w:spacing w:after="0" w:line="181" w:lineRule="exact"/>
              <w:rPr>
                <w:sz w:val="20"/>
                <w:szCs w:val="20"/>
                <w:color w:val="auto"/>
              </w:rPr>
            </w:pPr>
            <w:r>
              <w:rPr>
                <w:rFonts w:ascii="Arial" w:cs="Arial" w:eastAsia="Arial" w:hAnsi="Arial"/>
                <w:sz w:val="16"/>
                <w:szCs w:val="16"/>
                <w:color w:val="auto"/>
              </w:rPr>
              <w:t>4.08%</w:t>
            </w:r>
          </w:p>
        </w:tc>
      </w:tr>
      <w:tr>
        <w:trPr>
          <w:trHeight w:val="214"/>
        </w:trPr>
        <w:tc>
          <w:tcPr>
            <w:tcW w:w="1820" w:type="dxa"/>
            <w:vAlign w:val="bottom"/>
          </w:tcPr>
          <w:p>
            <w:pPr>
              <w:spacing w:after="0"/>
              <w:rPr>
                <w:sz w:val="20"/>
                <w:szCs w:val="20"/>
                <w:color w:val="auto"/>
              </w:rPr>
            </w:pPr>
            <w:r>
              <w:rPr>
                <w:rFonts w:ascii="Arial" w:cs="Arial" w:eastAsia="Arial" w:hAnsi="Arial"/>
                <w:sz w:val="16"/>
                <w:szCs w:val="16"/>
                <w:color w:val="auto"/>
              </w:rPr>
              <w:t>Dollars</w:t>
            </w:r>
          </w:p>
        </w:tc>
        <w:tc>
          <w:tcPr>
            <w:tcW w:w="860" w:type="dxa"/>
            <w:vAlign w:val="bottom"/>
          </w:tcPr>
          <w:p>
            <w:pPr>
              <w:ind w:left="60"/>
              <w:spacing w:after="0"/>
              <w:rPr>
                <w:sz w:val="20"/>
                <w:szCs w:val="20"/>
                <w:color w:val="auto"/>
              </w:rPr>
            </w:pPr>
            <w:r>
              <w:rPr>
                <w:rFonts w:ascii="Arial" w:cs="Arial" w:eastAsia="Arial" w:hAnsi="Arial"/>
                <w:sz w:val="16"/>
                <w:szCs w:val="16"/>
                <w:color w:val="auto"/>
              </w:rPr>
              <w:t>5.69%</w:t>
            </w:r>
          </w:p>
        </w:tc>
        <w:tc>
          <w:tcPr>
            <w:tcW w:w="860" w:type="dxa"/>
            <w:vAlign w:val="bottom"/>
          </w:tcPr>
          <w:p>
            <w:pPr>
              <w:ind w:left="160"/>
              <w:spacing w:after="0"/>
              <w:rPr>
                <w:sz w:val="20"/>
                <w:szCs w:val="20"/>
                <w:color w:val="auto"/>
              </w:rPr>
            </w:pPr>
            <w:r>
              <w:rPr>
                <w:rFonts w:ascii="Arial" w:cs="Arial" w:eastAsia="Arial" w:hAnsi="Arial"/>
                <w:sz w:val="16"/>
                <w:szCs w:val="16"/>
                <w:color w:val="auto"/>
              </w:rPr>
              <w:t>6.13%</w:t>
            </w:r>
          </w:p>
        </w:tc>
        <w:tc>
          <w:tcPr>
            <w:tcW w:w="980" w:type="dxa"/>
            <w:vAlign w:val="bottom"/>
          </w:tcPr>
          <w:p>
            <w:pPr>
              <w:ind w:left="240"/>
              <w:spacing w:after="0"/>
              <w:rPr>
                <w:sz w:val="20"/>
                <w:szCs w:val="20"/>
                <w:color w:val="auto"/>
              </w:rPr>
            </w:pPr>
            <w:r>
              <w:rPr>
                <w:rFonts w:ascii="Arial" w:cs="Arial" w:eastAsia="Arial" w:hAnsi="Arial"/>
                <w:sz w:val="16"/>
                <w:szCs w:val="16"/>
                <w:color w:val="auto"/>
              </w:rPr>
              <w:t>5.61%</w:t>
            </w:r>
          </w:p>
        </w:tc>
        <w:tc>
          <w:tcPr>
            <w:tcW w:w="1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6.30%</w:t>
            </w:r>
          </w:p>
        </w:tc>
        <w:tc>
          <w:tcPr>
            <w:tcW w:w="860" w:type="dxa"/>
            <w:vAlign w:val="bottom"/>
          </w:tcPr>
          <w:p>
            <w:pPr>
              <w:ind w:left="160"/>
              <w:spacing w:after="0"/>
              <w:rPr>
                <w:sz w:val="20"/>
                <w:szCs w:val="20"/>
                <w:color w:val="auto"/>
              </w:rPr>
            </w:pPr>
            <w:r>
              <w:rPr>
                <w:rFonts w:ascii="Arial" w:cs="Arial" w:eastAsia="Arial" w:hAnsi="Arial"/>
                <w:sz w:val="16"/>
                <w:szCs w:val="16"/>
                <w:color w:val="auto"/>
              </w:rPr>
              <w:t>6.41%</w:t>
            </w:r>
          </w:p>
        </w:tc>
        <w:tc>
          <w:tcPr>
            <w:tcW w:w="1000" w:type="dxa"/>
            <w:vAlign w:val="bottom"/>
          </w:tcPr>
          <w:p>
            <w:pPr>
              <w:ind w:left="260"/>
              <w:spacing w:after="0"/>
              <w:rPr>
                <w:sz w:val="20"/>
                <w:szCs w:val="20"/>
                <w:color w:val="auto"/>
              </w:rPr>
            </w:pPr>
            <w:r>
              <w:rPr>
                <w:rFonts w:ascii="Arial" w:cs="Arial" w:eastAsia="Arial" w:hAnsi="Arial"/>
                <w:sz w:val="16"/>
                <w:szCs w:val="16"/>
                <w:color w:val="auto"/>
              </w:rPr>
              <w:t>5.93%</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other assumptions used in the determination of expected cash flows are: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Mortality and morbidity rates</w:t>
      </w:r>
    </w:p>
    <w:p>
      <w:pPr>
        <w:spacing w:after="0" w:line="178" w:lineRule="exact"/>
        <w:rPr>
          <w:sz w:val="20"/>
          <w:szCs w:val="20"/>
          <w:color w:val="auto"/>
        </w:rPr>
      </w:pPr>
    </w:p>
    <w:p>
      <w:pPr>
        <w:jc w:val="both"/>
        <w:ind w:right="100"/>
        <w:spacing w:after="0" w:line="255" w:lineRule="auto"/>
        <w:rPr>
          <w:sz w:val="20"/>
          <w:szCs w:val="20"/>
          <w:color w:val="auto"/>
        </w:rPr>
      </w:pPr>
      <w:r>
        <w:rPr>
          <w:rFonts w:ascii="Arial" w:cs="Arial" w:eastAsia="Arial" w:hAnsi="Arial"/>
          <w:sz w:val="16"/>
          <w:szCs w:val="16"/>
          <w:color w:val="auto"/>
        </w:rPr>
        <w:t>The assumptions are based on standard industry tables, depending on the type of contract entered into. They reflect recent historical experience and are adjusted where appropriate to reflect the Group's own experiences. Mortality assumptions are differentiated in some products by gender of the insured, underwriting class and contract type.</w:t>
      </w:r>
    </w:p>
    <w:p>
      <w:pPr>
        <w:spacing w:after="0" w:line="29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0"/>
          </w:cols>
          <w:pgMar w:left="1180" w:top="304" w:right="359" w:bottom="1440" w:gutter="0" w:footer="0" w:header="0"/>
        </w:sectPr>
      </w:pPr>
    </w:p>
    <w:bookmarkStart w:id="43" w:name="page44"/>
    <w:bookmarkEnd w:id="43"/>
    <w:p>
      <w:pPr>
        <w:ind w:left="284" w:right="80"/>
        <w:spacing w:after="0" w:line="274" w:lineRule="auto"/>
        <w:rPr>
          <w:sz w:val="20"/>
          <w:szCs w:val="20"/>
          <w:color w:val="auto"/>
        </w:rPr>
      </w:pPr>
      <w:r>
        <w:rPr>
          <w:rFonts w:ascii="Arial" w:cs="Arial" w:eastAsia="Arial" w:hAnsi="Arial"/>
          <w:sz w:val="16"/>
          <w:szCs w:val="16"/>
          <w:color w:val="auto"/>
        </w:rPr>
        <w:t>An increase in expected mortality and morbidity rates would increase the expected cost of life insurance claims, which would reduce the Group's expected future earnings.</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 Longevity</w:t>
      </w:r>
    </w:p>
    <w:p>
      <w:pPr>
        <w:spacing w:after="0" w:line="178" w:lineRule="exact"/>
        <w:rPr>
          <w:sz w:val="20"/>
          <w:szCs w:val="20"/>
          <w:color w:val="auto"/>
        </w:rPr>
      </w:pPr>
    </w:p>
    <w:p>
      <w:pPr>
        <w:ind w:left="284" w:right="160"/>
        <w:spacing w:after="0" w:line="248" w:lineRule="auto"/>
        <w:rPr>
          <w:sz w:val="20"/>
          <w:szCs w:val="20"/>
          <w:color w:val="auto"/>
        </w:rPr>
      </w:pPr>
      <w:r>
        <w:rPr>
          <w:rFonts w:ascii="Arial" w:cs="Arial" w:eastAsia="Arial" w:hAnsi="Arial"/>
          <w:sz w:val="16"/>
          <w:szCs w:val="16"/>
          <w:color w:val="auto"/>
        </w:rPr>
        <w:t>Assumptions are based on industry standard Peruvian regulatory tables, adjusted where appropriate to reflect the Group's own risk experience. For pensions, expected future longevity improvements are considered. Assumptions are differentiated by a number of factors including (but not limited to) policyholder gender, risk class and contract type. An increase in expected longevity rates would lead to an increase in the expected cost of immediate and future annuity payments, which would reduce the Group's expected future earnings.</w:t>
      </w:r>
    </w:p>
    <w:p>
      <w:pPr>
        <w:spacing w:after="0" w:line="14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 Expenses</w:t>
      </w:r>
    </w:p>
    <w:p>
      <w:pPr>
        <w:spacing w:after="0" w:line="178" w:lineRule="exact"/>
        <w:rPr>
          <w:sz w:val="20"/>
          <w:szCs w:val="20"/>
          <w:color w:val="auto"/>
        </w:rPr>
      </w:pPr>
    </w:p>
    <w:p>
      <w:pPr>
        <w:ind w:left="284" w:right="100"/>
        <w:spacing w:after="0" w:line="245" w:lineRule="auto"/>
        <w:rPr>
          <w:sz w:val="20"/>
          <w:szCs w:val="20"/>
          <w:color w:val="auto"/>
        </w:rPr>
      </w:pPr>
      <w:r>
        <w:rPr>
          <w:rFonts w:ascii="Arial" w:cs="Arial" w:eastAsia="Arial" w:hAnsi="Arial"/>
          <w:sz w:val="16"/>
          <w:szCs w:val="16"/>
          <w:color w:val="auto"/>
        </w:rPr>
        <w:t>Operating expense assumptions reflect the projected costs of maintaining and servicing in-force policies and associated overhead. The current level of expenses is taken as an appropriate expense base, adjusted for expected expense inflation if applicable. An increase in the expected level of expenses would reduce the Group's expected future earnings. Cash flows within the contract boundary include an allocation of fixed and variable overhead expenses directly attributable to the performance of the insurance contracts. Such overheads are allocated to groups of contracts using methods that are systematic and rational and are applied consistently to all costs that have similar characteristics.</w:t>
      </w:r>
    </w:p>
    <w:p>
      <w:pPr>
        <w:spacing w:after="0" w:line="147" w:lineRule="exact"/>
        <w:rPr>
          <w:sz w:val="20"/>
          <w:szCs w:val="20"/>
          <w:color w:val="auto"/>
        </w:rPr>
      </w:pPr>
    </w:p>
    <w:p>
      <w:pPr>
        <w:ind w:left="284"/>
        <w:spacing w:after="0"/>
        <w:rPr>
          <w:sz w:val="20"/>
          <w:szCs w:val="20"/>
          <w:color w:val="auto"/>
        </w:rPr>
      </w:pPr>
      <w:r>
        <w:rPr>
          <w:rFonts w:ascii="Arial" w:cs="Arial" w:eastAsia="Arial" w:hAnsi="Arial"/>
          <w:sz w:val="16"/>
          <w:szCs w:val="16"/>
          <w:color w:val="auto"/>
        </w:rPr>
        <w:t>- Lapse rates and surrenders</w:t>
      </w:r>
    </w:p>
    <w:p>
      <w:pPr>
        <w:spacing w:after="0" w:line="178" w:lineRule="exact"/>
        <w:rPr>
          <w:sz w:val="20"/>
          <w:szCs w:val="20"/>
          <w:color w:val="auto"/>
        </w:rPr>
      </w:pPr>
    </w:p>
    <w:p>
      <w:pPr>
        <w:ind w:left="284" w:right="100"/>
        <w:spacing w:after="0" w:line="248" w:lineRule="auto"/>
        <w:rPr>
          <w:sz w:val="20"/>
          <w:szCs w:val="20"/>
          <w:color w:val="auto"/>
        </w:rPr>
      </w:pPr>
      <w:r>
        <w:rPr>
          <w:rFonts w:ascii="Arial" w:cs="Arial" w:eastAsia="Arial" w:hAnsi="Arial"/>
          <w:sz w:val="16"/>
          <w:szCs w:val="16"/>
          <w:color w:val="auto"/>
        </w:rPr>
        <w:t>Forfeitures relate to the termination of policies due to non-payment of premiums. Surrenders relate to the voluntary termination of policies by policyholders to withdraw the surrender value of contracts. Policy termination assumptions are determined using statistical measures based on the Group's experience and vary by product type, policy duration, distribution channel and market interest rate trends. An increase in lapse rates early in the life of the policy would tend to reduce the Group's earnings, but subsequent increases have a broadly neutral effect.</w:t>
      </w:r>
    </w:p>
    <w:p>
      <w:pPr>
        <w:spacing w:after="0" w:line="144" w:lineRule="exact"/>
        <w:rPr>
          <w:sz w:val="20"/>
          <w:szCs w:val="20"/>
          <w:color w:val="auto"/>
        </w:rPr>
      </w:pPr>
    </w:p>
    <w:p>
      <w:pPr>
        <w:ind w:left="284" w:hanging="284"/>
        <w:spacing w:after="0"/>
        <w:tabs>
          <w:tab w:leader="none" w:pos="2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Financial instruments: Initial recognition and subsequent measurement –</w:t>
      </w:r>
    </w:p>
    <w:p>
      <w:pPr>
        <w:spacing w:after="0" w:line="202" w:lineRule="exact"/>
        <w:rPr>
          <w:rFonts w:ascii="Arial" w:cs="Arial" w:eastAsia="Arial" w:hAnsi="Arial"/>
          <w:sz w:val="16"/>
          <w:szCs w:val="16"/>
          <w:color w:val="auto"/>
        </w:rPr>
      </w:pPr>
    </w:p>
    <w:p>
      <w:pPr>
        <w:ind w:left="284" w:right="360"/>
        <w:spacing w:after="0" w:line="274" w:lineRule="auto"/>
        <w:rPr>
          <w:rFonts w:ascii="Arial" w:cs="Arial" w:eastAsia="Arial" w:hAnsi="Arial"/>
          <w:sz w:val="16"/>
          <w:szCs w:val="16"/>
          <w:color w:val="auto"/>
        </w:rPr>
      </w:pPr>
      <w:r>
        <w:rPr>
          <w:rFonts w:ascii="Arial" w:cs="Arial" w:eastAsia="Arial" w:hAnsi="Arial"/>
          <w:sz w:val="16"/>
          <w:szCs w:val="16"/>
          <w:color w:val="auto"/>
        </w:rPr>
        <w:t>A financial instrument is any agreement that gives rise to a financial asset of one entity and a financial liability or equity instrument of another entity.</w:t>
      </w:r>
    </w:p>
    <w:p>
      <w:pPr>
        <w:spacing w:after="0" w:line="12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The Group determines the classification of its financial instruments at the time of initial recognition.</w:t>
      </w:r>
    </w:p>
    <w:p>
      <w:pPr>
        <w:spacing w:after="0" w:line="177" w:lineRule="exact"/>
        <w:rPr>
          <w:rFonts w:ascii="Arial" w:cs="Arial" w:eastAsia="Arial" w:hAnsi="Arial"/>
          <w:sz w:val="16"/>
          <w:szCs w:val="16"/>
          <w:color w:val="auto"/>
        </w:rPr>
      </w:pPr>
    </w:p>
    <w:p>
      <w:pPr>
        <w:ind w:left="284" w:right="80"/>
        <w:spacing w:after="0" w:line="274" w:lineRule="auto"/>
        <w:rPr>
          <w:rFonts w:ascii="Arial" w:cs="Arial" w:eastAsia="Arial" w:hAnsi="Arial"/>
          <w:sz w:val="16"/>
          <w:szCs w:val="16"/>
          <w:color w:val="auto"/>
        </w:rPr>
      </w:pPr>
      <w:r>
        <w:rPr>
          <w:rFonts w:ascii="Arial" w:cs="Arial" w:eastAsia="Arial" w:hAnsi="Arial"/>
          <w:sz w:val="16"/>
          <w:szCs w:val="16"/>
          <w:color w:val="auto"/>
        </w:rPr>
        <w:t>All financial instruments are initially recognized at their fair value plus the incremental costs related to the transaction that are directly attributable to the purchase or issuance of the instrument, except in the case of financial assets or liabilities carried at fair value through profit or loss.</w:t>
      </w:r>
    </w:p>
    <w:p>
      <w:pPr>
        <w:spacing w:after="0" w:line="122" w:lineRule="exact"/>
        <w:rPr>
          <w:rFonts w:ascii="Arial" w:cs="Arial" w:eastAsia="Arial" w:hAnsi="Arial"/>
          <w:sz w:val="16"/>
          <w:szCs w:val="16"/>
          <w:color w:val="auto"/>
        </w:rPr>
      </w:pPr>
    </w:p>
    <w:p>
      <w:pPr>
        <w:jc w:val="both"/>
        <w:ind w:left="284"/>
        <w:spacing w:after="0" w:line="255" w:lineRule="auto"/>
        <w:rPr>
          <w:rFonts w:ascii="Arial" w:cs="Arial" w:eastAsia="Arial" w:hAnsi="Arial"/>
          <w:sz w:val="16"/>
          <w:szCs w:val="16"/>
          <w:color w:val="auto"/>
        </w:rPr>
      </w:pPr>
      <w:r>
        <w:rPr>
          <w:rFonts w:ascii="Arial" w:cs="Arial" w:eastAsia="Arial" w:hAnsi="Arial"/>
          <w:sz w:val="16"/>
          <w:szCs w:val="16"/>
          <w:color w:val="auto"/>
        </w:rPr>
        <w:t>Purchases or sales of financial assets that require delivery of the assets within a period established in accordance with regulations or conventions in the market (regular way purchases or sales) are recognized at the trade date, that is, the date on which the Group undertakes to buy or sell the asset.</w:t>
      </w:r>
    </w:p>
    <w:p>
      <w:pPr>
        <w:spacing w:after="0" w:line="137" w:lineRule="exact"/>
        <w:rPr>
          <w:rFonts w:ascii="Arial" w:cs="Arial" w:eastAsia="Arial" w:hAnsi="Arial"/>
          <w:sz w:val="16"/>
          <w:szCs w:val="16"/>
          <w:color w:val="auto"/>
        </w:rPr>
      </w:pPr>
    </w:p>
    <w:p>
      <w:pPr>
        <w:ind w:left="284" w:right="320"/>
        <w:spacing w:after="0" w:line="274" w:lineRule="auto"/>
        <w:rPr>
          <w:rFonts w:ascii="Arial" w:cs="Arial" w:eastAsia="Arial" w:hAnsi="Arial"/>
          <w:sz w:val="16"/>
          <w:szCs w:val="16"/>
          <w:color w:val="auto"/>
        </w:rPr>
      </w:pPr>
      <w:r>
        <w:rPr>
          <w:rFonts w:ascii="Arial" w:cs="Arial" w:eastAsia="Arial" w:hAnsi="Arial"/>
          <w:sz w:val="16"/>
          <w:szCs w:val="16"/>
          <w:color w:val="auto"/>
        </w:rPr>
        <w:t>As of December 31, 2025 and 2024, the Group classified financial assets into one of the categories defined by IFRS 9: financial assets at fair value through profit or loss, at fair value through other comprehensive income or at amortized cost based on:</w:t>
      </w:r>
    </w:p>
    <w:p>
      <w:pPr>
        <w:spacing w:after="0" w:line="122" w:lineRule="exact"/>
        <w:rPr>
          <w:rFonts w:ascii="Arial" w:cs="Arial" w:eastAsia="Arial" w:hAnsi="Arial"/>
          <w:sz w:val="16"/>
          <w:szCs w:val="16"/>
          <w:color w:val="auto"/>
        </w:rPr>
      </w:pPr>
    </w:p>
    <w:p>
      <w:pPr>
        <w:ind w:left="584" w:hanging="295"/>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business model to manage financial assets and</w:t>
      </w:r>
    </w:p>
    <w:p>
      <w:pPr>
        <w:spacing w:after="0" w:line="29" w:lineRule="exact"/>
        <w:rPr>
          <w:rFonts w:ascii="Arial" w:cs="Arial" w:eastAsia="Arial" w:hAnsi="Arial"/>
          <w:sz w:val="16"/>
          <w:szCs w:val="16"/>
          <w:color w:val="auto"/>
        </w:rPr>
      </w:pPr>
    </w:p>
    <w:p>
      <w:pPr>
        <w:ind w:left="584" w:hanging="295"/>
        <w:spacing w:after="0"/>
        <w:tabs>
          <w:tab w:leader="none" w:pos="5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characteristics of the contractual cash flows of the financial asset</w:t>
      </w:r>
    </w:p>
    <w:p>
      <w:pPr>
        <w:spacing w:after="0" w:line="19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Business model -</w:t>
      </w:r>
    </w:p>
    <w:p>
      <w:pPr>
        <w:spacing w:after="0" w:line="178" w:lineRule="exact"/>
        <w:rPr>
          <w:sz w:val="20"/>
          <w:szCs w:val="20"/>
          <w:color w:val="auto"/>
        </w:rPr>
      </w:pPr>
    </w:p>
    <w:p>
      <w:pPr>
        <w:ind w:left="284" w:right="460"/>
        <w:spacing w:after="0" w:line="274" w:lineRule="auto"/>
        <w:rPr>
          <w:sz w:val="20"/>
          <w:szCs w:val="20"/>
          <w:color w:val="auto"/>
        </w:rPr>
      </w:pPr>
      <w:r>
        <w:rPr>
          <w:rFonts w:ascii="Arial" w:cs="Arial" w:eastAsia="Arial" w:hAnsi="Arial"/>
          <w:sz w:val="16"/>
          <w:szCs w:val="16"/>
          <w:color w:val="auto"/>
        </w:rPr>
        <w:t>It represents how financial assets are managed to generate cash flows and is not dependent on Management's intention with respect to an individual instrument. Financial assets can be managed for the purpose of: i) obtaining contractual cash flows; ii) obtaining contractual cash</w:t>
      </w:r>
    </w:p>
    <w:p>
      <w:pPr>
        <w:spacing w:after="0" w:line="292" w:lineRule="exact"/>
        <w:rPr>
          <w:sz w:val="20"/>
          <w:szCs w:val="20"/>
          <w:color w:val="auto"/>
        </w:rPr>
      </w:pPr>
    </w:p>
    <w:p>
      <w:pPr>
        <w:jc w:val="center"/>
        <w:ind w:right="516"/>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24"/>
          </w:cols>
          <w:pgMar w:left="896" w:top="304" w:right="379" w:bottom="1440" w:gutter="0" w:footer="0" w:header="0"/>
        </w:sectPr>
      </w:pPr>
    </w:p>
    <w:bookmarkStart w:id="44" w:name="page45"/>
    <w:bookmarkEnd w:id="44"/>
    <w:p>
      <w:pPr>
        <w:ind w:left="284"/>
        <w:spacing w:after="0"/>
        <w:rPr>
          <w:sz w:val="20"/>
          <w:szCs w:val="20"/>
          <w:color w:val="auto"/>
        </w:rPr>
      </w:pPr>
      <w:r>
        <w:rPr>
          <w:rFonts w:ascii="Arial" w:cs="Arial" w:eastAsia="Arial" w:hAnsi="Arial"/>
          <w:sz w:val="16"/>
          <w:szCs w:val="16"/>
          <w:color w:val="auto"/>
        </w:rPr>
        <w:t>flows and sale; or iii) others. To evaluate business models, the Group considers:</w:t>
      </w:r>
    </w:p>
    <w:p>
      <w:pPr>
        <w:spacing w:after="0" w:line="178" w:lineRule="exact"/>
        <w:rPr>
          <w:sz w:val="20"/>
          <w:szCs w:val="20"/>
          <w:color w:val="auto"/>
        </w:rPr>
      </w:pPr>
    </w:p>
    <w:p>
      <w:pPr>
        <w:ind w:left="584" w:hanging="295"/>
        <w:spacing w:after="0"/>
        <w:tabs>
          <w:tab w:leader="none" w:pos="5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risks that affect the performance of the business model and, in particular, the way in which these risks are managed.</w:t>
      </w:r>
    </w:p>
    <w:p>
      <w:pPr>
        <w:spacing w:after="0" w:line="29" w:lineRule="exact"/>
        <w:rPr>
          <w:rFonts w:ascii="Arial" w:cs="Arial" w:eastAsia="Arial" w:hAnsi="Arial"/>
          <w:sz w:val="16"/>
          <w:szCs w:val="16"/>
          <w:color w:val="auto"/>
        </w:rPr>
      </w:pPr>
    </w:p>
    <w:p>
      <w:pPr>
        <w:ind w:left="584" w:right="20" w:hanging="295"/>
        <w:spacing w:after="0" w:line="263" w:lineRule="auto"/>
        <w:tabs>
          <w:tab w:leader="none" w:pos="5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How the performance of the business model and the financial assets held within this business model are evaluated and reported to key Group management personnel.</w:t>
      </w:r>
    </w:p>
    <w:p>
      <w:pPr>
        <w:spacing w:after="0" w:line="131" w:lineRule="exact"/>
        <w:rPr>
          <w:sz w:val="20"/>
          <w:szCs w:val="20"/>
          <w:color w:val="auto"/>
        </w:rPr>
      </w:pPr>
    </w:p>
    <w:p>
      <w:pPr>
        <w:ind w:left="284" w:right="120"/>
        <w:spacing w:after="0" w:line="274" w:lineRule="auto"/>
        <w:rPr>
          <w:sz w:val="20"/>
          <w:szCs w:val="20"/>
          <w:color w:val="auto"/>
        </w:rPr>
      </w:pPr>
      <w:r>
        <w:rPr>
          <w:rFonts w:ascii="Arial" w:cs="Arial" w:eastAsia="Arial" w:hAnsi="Arial"/>
          <w:sz w:val="16"/>
          <w:szCs w:val="16"/>
          <w:color w:val="auto"/>
        </w:rPr>
        <w:t>If cash flows after initial recognition are realized differently from the Group's expectations, the classification of the remaining financial assets held in this business model is not modified.</w:t>
      </w:r>
    </w:p>
    <w:p>
      <w:pPr>
        <w:spacing w:after="0" w:line="123" w:lineRule="exact"/>
        <w:rPr>
          <w:sz w:val="20"/>
          <w:szCs w:val="20"/>
          <w:color w:val="auto"/>
        </w:rPr>
      </w:pPr>
    </w:p>
    <w:p>
      <w:pPr>
        <w:ind w:left="284" w:right="260"/>
        <w:spacing w:after="0" w:line="274" w:lineRule="auto"/>
        <w:rPr>
          <w:sz w:val="20"/>
          <w:szCs w:val="20"/>
          <w:color w:val="auto"/>
        </w:rPr>
      </w:pPr>
      <w:r>
        <w:rPr>
          <w:rFonts w:ascii="Arial" w:cs="Arial" w:eastAsia="Arial" w:hAnsi="Arial"/>
          <w:sz w:val="16"/>
          <w:szCs w:val="16"/>
          <w:color w:val="auto"/>
        </w:rPr>
        <w:t>When the financial asset is maintained in business models i) and ii) the application of the only principal and interest payments test is required - “SPPI”.</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SPPI Test (Solely Payments of Principal and Interest) –</w:t>
      </w:r>
    </w:p>
    <w:p>
      <w:pPr>
        <w:spacing w:after="0" w:line="178" w:lineRule="exact"/>
        <w:rPr>
          <w:sz w:val="20"/>
          <w:szCs w:val="20"/>
          <w:color w:val="auto"/>
        </w:rPr>
      </w:pPr>
    </w:p>
    <w:p>
      <w:pPr>
        <w:ind w:left="284" w:right="140"/>
        <w:spacing w:after="0" w:line="242" w:lineRule="auto"/>
        <w:rPr>
          <w:sz w:val="20"/>
          <w:szCs w:val="20"/>
          <w:color w:val="auto"/>
        </w:rPr>
      </w:pPr>
      <w:r>
        <w:rPr>
          <w:rFonts w:ascii="Arial" w:cs="Arial" w:eastAsia="Arial" w:hAnsi="Arial"/>
          <w:sz w:val="16"/>
          <w:szCs w:val="16"/>
          <w:color w:val="auto"/>
        </w:rPr>
        <w:t>This test consists in the evaluation of the cash flows generated by a financial instrument to verify whether the contractual conditions of the financial asset arise, on specified dates to cash flows that are solely payments of principal and interest. To adapt to this concept the cash flows must solely include the consideration of the time value of money and the credit risk. If the contractual terms introduce risk exposure or cash flow volatility, such as the exposure to changes in the prices of capital instruments or the prices of raw materials, the financial asset is classified as at fair value through profit or loss. Hybrid contracts must be evaluated as a whole, including all the integrated characteristics. The accounting of a hybrid contract that contains an embedded derivative is carried out jointly, in other words, the entire instrument is measured at fair value through profit or loss.</w:t>
      </w:r>
    </w:p>
    <w:p>
      <w:pPr>
        <w:spacing w:after="0" w:line="149" w:lineRule="exact"/>
        <w:rPr>
          <w:sz w:val="20"/>
          <w:szCs w:val="20"/>
          <w:color w:val="auto"/>
        </w:rPr>
      </w:pPr>
    </w:p>
    <w:p>
      <w:pPr>
        <w:ind w:left="284" w:hanging="284"/>
        <w:spacing w:after="0"/>
        <w:tabs>
          <w:tab w:leader="none" w:pos="2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Financial assets at amortized cost –</w:t>
      </w:r>
    </w:p>
    <w:p>
      <w:pPr>
        <w:spacing w:after="0" w:line="20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A financial asset is classified as at amortized cost if the following conditions are met:</w:t>
      </w:r>
    </w:p>
    <w:p>
      <w:pPr>
        <w:spacing w:after="0" w:line="177" w:lineRule="exact"/>
        <w:rPr>
          <w:rFonts w:ascii="Arial" w:cs="Arial" w:eastAsia="Arial" w:hAnsi="Arial"/>
          <w:sz w:val="16"/>
          <w:szCs w:val="16"/>
          <w:color w:val="auto"/>
        </w:rPr>
      </w:pPr>
    </w:p>
    <w:p>
      <w:pPr>
        <w:ind w:left="584" w:hanging="295"/>
        <w:spacing w:after="0"/>
        <w:tabs>
          <w:tab w:leader="none" w:pos="584" w:val="left"/>
        </w:tabs>
        <w:numPr>
          <w:ilvl w:val="1"/>
          <w:numId w:val="40"/>
        </w:numPr>
        <w:rPr>
          <w:rFonts w:ascii="Arial" w:cs="Arial" w:eastAsia="Arial" w:hAnsi="Arial"/>
          <w:sz w:val="16"/>
          <w:szCs w:val="16"/>
          <w:color w:val="auto"/>
        </w:rPr>
      </w:pPr>
      <w:r>
        <w:rPr>
          <w:rFonts w:ascii="Arial" w:cs="Arial" w:eastAsia="Arial" w:hAnsi="Arial"/>
          <w:sz w:val="16"/>
          <w:szCs w:val="16"/>
          <w:color w:val="auto"/>
        </w:rPr>
        <w:t>It is held within a business model whose objective of which is to maintain the financial asset to obtain contractual cash flows, and</w:t>
      </w:r>
    </w:p>
    <w:p>
      <w:pPr>
        <w:spacing w:after="0" w:line="29" w:lineRule="exact"/>
        <w:rPr>
          <w:rFonts w:ascii="Arial" w:cs="Arial" w:eastAsia="Arial" w:hAnsi="Arial"/>
          <w:sz w:val="16"/>
          <w:szCs w:val="16"/>
          <w:color w:val="auto"/>
        </w:rPr>
      </w:pPr>
    </w:p>
    <w:p>
      <w:pPr>
        <w:ind w:left="584" w:hanging="295"/>
        <w:spacing w:after="0"/>
        <w:tabs>
          <w:tab w:leader="none" w:pos="584"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contractual conditions give rise, on specified dates, to cash flows that are solely payments of the principal and interest.</w:t>
      </w:r>
    </w:p>
    <w:p>
      <w:pPr>
        <w:spacing w:after="0" w:line="194" w:lineRule="exact"/>
        <w:rPr>
          <w:sz w:val="20"/>
          <w:szCs w:val="20"/>
          <w:color w:val="auto"/>
        </w:rPr>
      </w:pPr>
    </w:p>
    <w:p>
      <w:pPr>
        <w:ind w:left="284" w:right="20"/>
        <w:spacing w:after="0" w:line="248" w:lineRule="auto"/>
        <w:rPr>
          <w:sz w:val="20"/>
          <w:szCs w:val="20"/>
          <w:color w:val="auto"/>
        </w:rPr>
      </w:pPr>
      <w:r>
        <w:rPr>
          <w:rFonts w:ascii="Arial" w:cs="Arial" w:eastAsia="Arial" w:hAnsi="Arial"/>
          <w:sz w:val="16"/>
          <w:szCs w:val="16"/>
          <w:color w:val="auto"/>
        </w:rPr>
        <w:t>After initial recognition, financial assets in this category are measured at amortized cost, using the effective interest rate method, less any credit loss provision. The amortized cost is calculated taking into account any discount or premium incurred in the acquisition and fees that constitute an integral part of the effective interest rate. Interest income is included in the “Interest and similar income” item in the consolidated statement of income.</w:t>
      </w:r>
    </w:p>
    <w:p>
      <w:pPr>
        <w:spacing w:after="0" w:line="144" w:lineRule="exact"/>
        <w:rPr>
          <w:sz w:val="20"/>
          <w:szCs w:val="20"/>
          <w:color w:val="auto"/>
        </w:rPr>
      </w:pPr>
    </w:p>
    <w:p>
      <w:pPr>
        <w:ind w:left="284"/>
        <w:spacing w:after="0" w:line="255" w:lineRule="auto"/>
        <w:rPr>
          <w:sz w:val="20"/>
          <w:szCs w:val="20"/>
          <w:color w:val="auto"/>
        </w:rPr>
      </w:pPr>
      <w:r>
        <w:rPr>
          <w:rFonts w:ascii="Arial" w:cs="Arial" w:eastAsia="Arial" w:hAnsi="Arial"/>
          <w:sz w:val="16"/>
          <w:szCs w:val="16"/>
          <w:color w:val="auto"/>
        </w:rPr>
        <w:t>Financial assets at amortized cost include direct credits that are recorded when the funds are disbursed to clients, and indirect credits (contingent) that are recorded when the documents that support said credit facilities are issued. Likewise, the Group considers as refinanced or restructured those loans that change their payment schedule due to difficulties in payment by the debtor.</w:t>
      </w:r>
    </w:p>
    <w:p>
      <w:pPr>
        <w:spacing w:after="0" w:line="137" w:lineRule="exact"/>
        <w:rPr>
          <w:sz w:val="20"/>
          <w:szCs w:val="20"/>
          <w:color w:val="auto"/>
        </w:rPr>
      </w:pPr>
    </w:p>
    <w:p>
      <w:pPr>
        <w:ind w:left="284" w:right="140"/>
        <w:spacing w:after="0" w:line="274" w:lineRule="auto"/>
        <w:rPr>
          <w:sz w:val="20"/>
          <w:szCs w:val="20"/>
          <w:color w:val="auto"/>
        </w:rPr>
      </w:pPr>
      <w:r>
        <w:rPr>
          <w:rFonts w:ascii="Arial" w:cs="Arial" w:eastAsia="Arial" w:hAnsi="Arial"/>
          <w:sz w:val="16"/>
          <w:szCs w:val="16"/>
          <w:color w:val="auto"/>
        </w:rPr>
        <w:t>The impairment loss is calculated using the expected credit loss approach and is recognized in the consolidated statement of income within “Net gain on securities” for investments and in the item “Provision for credit losses on loan portfolio” for credits.</w:t>
      </w:r>
    </w:p>
    <w:p>
      <w:pPr>
        <w:spacing w:after="0" w:line="123" w:lineRule="exact"/>
        <w:rPr>
          <w:sz w:val="20"/>
          <w:szCs w:val="20"/>
          <w:color w:val="auto"/>
        </w:rPr>
      </w:pPr>
    </w:p>
    <w:p>
      <w:pPr>
        <w:ind w:left="284" w:right="240"/>
        <w:spacing w:after="0" w:line="274" w:lineRule="auto"/>
        <w:rPr>
          <w:sz w:val="20"/>
          <w:szCs w:val="20"/>
          <w:color w:val="auto"/>
        </w:rPr>
      </w:pPr>
      <w:r>
        <w:rPr>
          <w:rFonts w:ascii="Arial" w:cs="Arial" w:eastAsia="Arial" w:hAnsi="Arial"/>
          <w:sz w:val="16"/>
          <w:szCs w:val="16"/>
          <w:color w:val="auto"/>
        </w:rPr>
        <w:t>The balance of financial assets, measured at amortized cost, is presented net of the provision for credit losses in the consolidated statement of financial position.</w:t>
      </w:r>
    </w:p>
    <w:p>
      <w:pPr>
        <w:spacing w:after="0" w:line="123" w:lineRule="exact"/>
        <w:rPr>
          <w:sz w:val="20"/>
          <w:szCs w:val="20"/>
          <w:color w:val="auto"/>
        </w:rPr>
      </w:pPr>
    </w:p>
    <w:p>
      <w:pPr>
        <w:ind w:left="284" w:hanging="284"/>
        <w:spacing w:after="0"/>
        <w:tabs>
          <w:tab w:leader="none" w:pos="2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Financial assets at fair value with changes in other comprehensive income –</w:t>
      </w:r>
    </w:p>
    <w:p>
      <w:pPr>
        <w:spacing w:after="0" w:line="202" w:lineRule="exact"/>
        <w:rPr>
          <w:rFonts w:ascii="Arial" w:cs="Arial" w:eastAsia="Arial" w:hAnsi="Arial"/>
          <w:sz w:val="16"/>
          <w:szCs w:val="16"/>
          <w:color w:val="auto"/>
        </w:rPr>
      </w:pPr>
    </w:p>
    <w:p>
      <w:pPr>
        <w:ind w:left="284" w:right="200"/>
        <w:spacing w:after="0" w:line="274" w:lineRule="auto"/>
        <w:rPr>
          <w:rFonts w:ascii="Arial" w:cs="Arial" w:eastAsia="Arial" w:hAnsi="Arial"/>
          <w:sz w:val="16"/>
          <w:szCs w:val="16"/>
          <w:color w:val="auto"/>
        </w:rPr>
      </w:pPr>
      <w:r>
        <w:rPr>
          <w:rFonts w:ascii="Arial" w:cs="Arial" w:eastAsia="Arial" w:hAnsi="Arial"/>
          <w:sz w:val="16"/>
          <w:szCs w:val="16"/>
          <w:color w:val="auto"/>
        </w:rPr>
        <w:t>The financial assets that the Group maintains in this category are: a) investments in debt instruments, and b) investments in equity instruments, for non-trading purposes, irrevocably designated as such at initial recognition.</w:t>
      </w:r>
    </w:p>
    <w:p>
      <w:pPr>
        <w:spacing w:after="0" w:line="279" w:lineRule="exact"/>
        <w:rPr>
          <w:rFonts w:ascii="Arial" w:cs="Arial" w:eastAsia="Arial" w:hAnsi="Arial"/>
          <w:sz w:val="16"/>
          <w:szCs w:val="16"/>
          <w:color w:val="auto"/>
        </w:rPr>
      </w:pPr>
    </w:p>
    <w:p>
      <w:pPr>
        <w:ind w:left="4964" w:hanging="104"/>
        <w:spacing w:after="0"/>
        <w:tabs>
          <w:tab w:leader="none" w:pos="4964" w:val="left"/>
        </w:tabs>
        <w:numPr>
          <w:ilvl w:val="1"/>
          <w:numId w:val="41"/>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04"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Investments in debt instruments -</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financial asset is classified and measured at fair value through other comprehensive income when the following conditions are met:</w:t>
      </w:r>
    </w:p>
    <w:p>
      <w:pPr>
        <w:spacing w:after="0" w:line="178" w:lineRule="exact"/>
        <w:rPr>
          <w:sz w:val="20"/>
          <w:szCs w:val="20"/>
          <w:color w:val="auto"/>
        </w:rPr>
      </w:pPr>
    </w:p>
    <w:p>
      <w:pPr>
        <w:ind w:left="300" w:right="620" w:hanging="295"/>
        <w:spacing w:after="0" w:line="246" w:lineRule="auto"/>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financial asset is maintained within a business model whose objective is achieved by obtaining contractual cash flows and selling financial assets, and</w:t>
      </w:r>
    </w:p>
    <w:p>
      <w:pPr>
        <w:ind w:left="300" w:hanging="295"/>
        <w:spacing w:after="0"/>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contractual conditions give rise, on specified dates, to cash flows that are solely payments of principal and interest.</w:t>
      </w:r>
    </w:p>
    <w:p>
      <w:pPr>
        <w:spacing w:after="0" w:line="186"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After initial recognition, investments in debt instruments are measured at fair value, recording unrealized gains and losses in the consolidated statement of comprehensive income, net of the corresponding income tax and non-controlling interest, until the investment is sold; in which the accumulated gain or loss is recognized in the “Net gain on securities” item of the consolidated statement of income.</w:t>
      </w:r>
    </w:p>
    <w:p>
      <w:pPr>
        <w:spacing w:after="0" w:line="137"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Interest is recognized in the consolidated statement of income in the item “Interest and similar income” and is reported as interest income using the effective interest rate method.</w:t>
      </w:r>
    </w:p>
    <w:p>
      <w:pPr>
        <w:spacing w:after="0" w:line="123" w:lineRule="exact"/>
        <w:rPr>
          <w:sz w:val="20"/>
          <w:szCs w:val="20"/>
          <w:color w:val="auto"/>
        </w:rPr>
      </w:pPr>
    </w:p>
    <w:p>
      <w:pPr>
        <w:ind w:right="780"/>
        <w:spacing w:after="0" w:line="274" w:lineRule="auto"/>
        <w:rPr>
          <w:sz w:val="20"/>
          <w:szCs w:val="20"/>
          <w:color w:val="auto"/>
        </w:rPr>
      </w:pPr>
      <w:r>
        <w:rPr>
          <w:rFonts w:ascii="Arial" w:cs="Arial" w:eastAsia="Arial" w:hAnsi="Arial"/>
          <w:sz w:val="16"/>
          <w:szCs w:val="16"/>
          <w:color w:val="auto"/>
        </w:rPr>
        <w:t>When a debt instrument is designated in a fair value hedging relationship, any change in fair value due to changes in the hedged risk is recognized in “Interest and similar income” in the consolidated statement of income.</w:t>
      </w:r>
    </w:p>
    <w:p>
      <w:pPr>
        <w:spacing w:after="0" w:line="123"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Foreign exchange gains or losses related to the amortized cost of the debt instrument are recognized in the consolidated statement of income, and those related to differences between the amortized cost and the fair value are recognized as part of the unrealized gain or loss in the consolidated statement of comprehensive income.</w:t>
      </w:r>
    </w:p>
    <w:p>
      <w:pPr>
        <w:spacing w:after="0" w:line="137"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The estimated fair value of investments in debt instruments is determined primarily based on quotes or, in the absence of these, on the basis of discounted cash flows using market rates consistent with the credit quality and maturity of the investment.</w:t>
      </w:r>
    </w:p>
    <w:p>
      <w:pPr>
        <w:spacing w:after="0" w:line="123"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An impairment loss of investments in debt instruments is calculated using the expected credit loss approach and is recognized in the consolidated statement of comprehensive income, charged to the item “Net gain on securities” in the consolidated statement of income, in this sense, it does not reduce the carrying amount of the financial asset in the consolidated statement of financial position, which is maintained at fair value. The impairment loss recognized in the consolidated statement of comprehensive income is reclassified to the consolidated statement of income when the debt instrument is derecognized.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equity instruments, not for trading, designated upon initial recognition (equity instruments designated at initial recognition) –</w:t>
      </w:r>
    </w:p>
    <w:p>
      <w:pPr>
        <w:spacing w:after="0" w:line="178" w:lineRule="exact"/>
        <w:rPr>
          <w:sz w:val="20"/>
          <w:szCs w:val="20"/>
          <w:color w:val="auto"/>
        </w:rPr>
      </w:pPr>
    </w:p>
    <w:p>
      <w:pPr>
        <w:ind w:right="640"/>
        <w:spacing w:after="0" w:line="274" w:lineRule="auto"/>
        <w:rPr>
          <w:sz w:val="20"/>
          <w:szCs w:val="20"/>
          <w:color w:val="auto"/>
        </w:rPr>
      </w:pPr>
      <w:r>
        <w:rPr>
          <w:rFonts w:ascii="Arial" w:cs="Arial" w:eastAsia="Arial" w:hAnsi="Arial"/>
          <w:sz w:val="16"/>
          <w:szCs w:val="16"/>
          <w:color w:val="auto"/>
        </w:rPr>
        <w:t>At initial recognition, the Group can make an irrevocable choice to classify equity instruments, which are not for trading, but held strategic purposes, as “At fair value through other comprehensive income”.</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After initial recognition, the equity investments are measured at fair value, recording the unrealized gains and losses in the consolidated statement of comprehensive income, net of their corresponding income tax and non-controlling interest, until the investment is sold, whereupon the accumulated gain or loss is transferred to the item “Retained earnings” in the consolidated statement of changes in equity; in other words, they are not subsequently reclassified to the consolidated statement of income.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a result, equity instruments classified in this category do not require a loss impairment evaluation.</w:t>
      </w:r>
    </w:p>
    <w:p>
      <w:pPr>
        <w:spacing w:after="0" w:line="178" w:lineRule="exact"/>
        <w:rPr>
          <w:sz w:val="20"/>
          <w:szCs w:val="20"/>
          <w:color w:val="auto"/>
        </w:rPr>
      </w:pPr>
    </w:p>
    <w:p>
      <w:pPr>
        <w:ind w:right="480"/>
        <w:spacing w:after="0" w:line="274" w:lineRule="auto"/>
        <w:rPr>
          <w:sz w:val="20"/>
          <w:szCs w:val="20"/>
          <w:color w:val="auto"/>
        </w:rPr>
      </w:pPr>
      <w:r>
        <w:rPr>
          <w:rFonts w:ascii="Arial" w:cs="Arial" w:eastAsia="Arial" w:hAnsi="Arial"/>
          <w:sz w:val="16"/>
          <w:szCs w:val="16"/>
          <w:color w:val="auto"/>
        </w:rPr>
        <w:t>Dividends are recognized when the right to collection has been established and are recorded in the “Interest and similar income” item in the consolidated statement of income.</w:t>
      </w:r>
    </w:p>
    <w:p>
      <w:pPr>
        <w:spacing w:after="0" w:line="28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80"/>
          </w:cols>
          <w:pgMar w:left="1180" w:top="304" w:right="339" w:bottom="1440" w:gutter="0" w:footer="0" w:header="0"/>
        </w:sectPr>
      </w:pPr>
    </w:p>
    <w:bookmarkStart w:id="46" w:name="page47"/>
    <w:bookmarkEnd w:id="46"/>
    <w:p>
      <w:pPr>
        <w:ind w:left="284" w:hanging="284"/>
        <w:spacing w:after="0"/>
        <w:tabs>
          <w:tab w:leader="none" w:pos="284"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Financial assets at fair value through profit or loss –</w:t>
      </w:r>
    </w:p>
    <w:p>
      <w:pPr>
        <w:spacing w:after="0" w:line="202" w:lineRule="exact"/>
        <w:rPr>
          <w:rFonts w:ascii="Arial" w:cs="Arial" w:eastAsia="Arial" w:hAnsi="Arial"/>
          <w:sz w:val="16"/>
          <w:szCs w:val="16"/>
          <w:color w:val="auto"/>
        </w:rPr>
      </w:pPr>
    </w:p>
    <w:p>
      <w:pPr>
        <w:ind w:left="284" w:right="140"/>
        <w:spacing w:after="0" w:line="274" w:lineRule="auto"/>
        <w:rPr>
          <w:rFonts w:ascii="Arial" w:cs="Arial" w:eastAsia="Arial" w:hAnsi="Arial"/>
          <w:sz w:val="16"/>
          <w:szCs w:val="16"/>
          <w:color w:val="auto"/>
        </w:rPr>
      </w:pPr>
      <w:r>
        <w:rPr>
          <w:rFonts w:ascii="Arial" w:cs="Arial" w:eastAsia="Arial" w:hAnsi="Arial"/>
          <w:sz w:val="16"/>
          <w:szCs w:val="16"/>
          <w:color w:val="auto"/>
        </w:rPr>
        <w:t>Financial assets must be classified and measured at fair value through profit or loss unless they are classified and measured at “Amortized cost” or “At fair value through other comprehensive income”.</w:t>
      </w:r>
    </w:p>
    <w:p>
      <w:pPr>
        <w:spacing w:after="0" w:line="122" w:lineRule="exact"/>
        <w:rPr>
          <w:rFonts w:ascii="Arial" w:cs="Arial" w:eastAsia="Arial" w:hAnsi="Arial"/>
          <w:sz w:val="16"/>
          <w:szCs w:val="16"/>
          <w:color w:val="auto"/>
        </w:rPr>
      </w:pPr>
    </w:p>
    <w:p>
      <w:pPr>
        <w:ind w:left="284" w:right="120"/>
        <w:spacing w:after="0" w:line="255" w:lineRule="auto"/>
        <w:rPr>
          <w:rFonts w:ascii="Arial" w:cs="Arial" w:eastAsia="Arial" w:hAnsi="Arial"/>
          <w:sz w:val="16"/>
          <w:szCs w:val="16"/>
          <w:color w:val="auto"/>
        </w:rPr>
      </w:pPr>
      <w:r>
        <w:rPr>
          <w:rFonts w:ascii="Arial" w:cs="Arial" w:eastAsia="Arial" w:hAnsi="Arial"/>
          <w:sz w:val="16"/>
          <w:szCs w:val="16"/>
          <w:color w:val="auto"/>
        </w:rPr>
        <w:t>The financial assets that the Group maintains in this category are: a) Investments in debt instruments, b) investments in equity instruments for trading purposes, c) financial assets designated at fair value with changes in results from the moment of their recognition initial, and d) derivative financial instruments for trading purposes.</w:t>
      </w:r>
    </w:p>
    <w:p>
      <w:pPr>
        <w:spacing w:after="0" w:line="13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Debt instruments -</w:t>
      </w:r>
    </w:p>
    <w:p>
      <w:pPr>
        <w:spacing w:after="0" w:line="177" w:lineRule="exact"/>
        <w:rPr>
          <w:rFonts w:ascii="Arial" w:cs="Arial" w:eastAsia="Arial" w:hAnsi="Arial"/>
          <w:sz w:val="16"/>
          <w:szCs w:val="16"/>
          <w:color w:val="auto"/>
        </w:rPr>
      </w:pPr>
    </w:p>
    <w:p>
      <w:pPr>
        <w:ind w:left="284" w:right="200"/>
        <w:spacing w:after="0" w:line="274" w:lineRule="auto"/>
        <w:rPr>
          <w:rFonts w:ascii="Arial" w:cs="Arial" w:eastAsia="Arial" w:hAnsi="Arial"/>
          <w:sz w:val="16"/>
          <w:szCs w:val="16"/>
          <w:color w:val="auto"/>
        </w:rPr>
      </w:pPr>
      <w:r>
        <w:rPr>
          <w:rFonts w:ascii="Arial" w:cs="Arial" w:eastAsia="Arial" w:hAnsi="Arial"/>
          <w:sz w:val="16"/>
          <w:szCs w:val="16"/>
          <w:color w:val="auto"/>
        </w:rPr>
        <w:t>Such instruments are classified in this category because: a) they are held for trading purposes, or b) their cash flows are not solely payments of principal and interest.</w:t>
      </w:r>
    </w:p>
    <w:p>
      <w:pPr>
        <w:spacing w:after="0" w:line="122" w:lineRule="exact"/>
        <w:rPr>
          <w:rFonts w:ascii="Arial" w:cs="Arial" w:eastAsia="Arial" w:hAnsi="Arial"/>
          <w:sz w:val="16"/>
          <w:szCs w:val="16"/>
          <w:color w:val="auto"/>
        </w:rPr>
      </w:pPr>
    </w:p>
    <w:p>
      <w:pPr>
        <w:ind w:left="284"/>
        <w:spacing w:after="0" w:line="255" w:lineRule="auto"/>
        <w:rPr>
          <w:rFonts w:ascii="Arial" w:cs="Arial" w:eastAsia="Arial" w:hAnsi="Arial"/>
          <w:sz w:val="16"/>
          <w:szCs w:val="16"/>
          <w:color w:val="auto"/>
        </w:rPr>
      </w:pPr>
      <w:r>
        <w:rPr>
          <w:rFonts w:ascii="Arial" w:cs="Arial" w:eastAsia="Arial" w:hAnsi="Arial"/>
          <w:sz w:val="16"/>
          <w:szCs w:val="16"/>
          <w:color w:val="auto"/>
        </w:rPr>
        <w:t>After initial recognition, they are measured at fair value, recording the changes in the “Net gain on securities” item in the consolidated statement of income. The accrued interest is calculated using the contractual interest rate and is recorded in the “Interest and similar income” item in the consolidated statement of income.</w:t>
      </w:r>
    </w:p>
    <w:p>
      <w:pPr>
        <w:spacing w:after="0" w:line="13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Equity instruments -</w:t>
      </w:r>
    </w:p>
    <w:p>
      <w:pPr>
        <w:spacing w:after="0" w:line="177" w:lineRule="exact"/>
        <w:rPr>
          <w:rFonts w:ascii="Arial" w:cs="Arial" w:eastAsia="Arial" w:hAnsi="Arial"/>
          <w:sz w:val="16"/>
          <w:szCs w:val="16"/>
          <w:color w:val="auto"/>
        </w:rPr>
      </w:pPr>
    </w:p>
    <w:p>
      <w:pPr>
        <w:ind w:left="284" w:right="100"/>
        <w:spacing w:after="0" w:line="274" w:lineRule="auto"/>
        <w:rPr>
          <w:rFonts w:ascii="Arial" w:cs="Arial" w:eastAsia="Arial" w:hAnsi="Arial"/>
          <w:sz w:val="16"/>
          <w:szCs w:val="16"/>
          <w:color w:val="auto"/>
        </w:rPr>
      </w:pPr>
      <w:r>
        <w:rPr>
          <w:rFonts w:ascii="Arial" w:cs="Arial" w:eastAsia="Arial" w:hAnsi="Arial"/>
          <w:sz w:val="16"/>
          <w:szCs w:val="16"/>
          <w:color w:val="auto"/>
        </w:rPr>
        <w:t>Equity instruments are classified and measured at fair value through profit or loss, unless an irrevocable election is made, at initial recognition, to designate them at fair value through other comprehensive income.</w:t>
      </w:r>
    </w:p>
    <w:p>
      <w:pPr>
        <w:spacing w:after="0" w:line="122" w:lineRule="exact"/>
        <w:rPr>
          <w:rFonts w:ascii="Arial" w:cs="Arial" w:eastAsia="Arial" w:hAnsi="Arial"/>
          <w:sz w:val="16"/>
          <w:szCs w:val="16"/>
          <w:color w:val="auto"/>
        </w:rPr>
      </w:pPr>
    </w:p>
    <w:p>
      <w:pPr>
        <w:ind w:left="284"/>
        <w:spacing w:after="0" w:line="255" w:lineRule="auto"/>
        <w:rPr>
          <w:rFonts w:ascii="Arial" w:cs="Arial" w:eastAsia="Arial" w:hAnsi="Arial"/>
          <w:sz w:val="16"/>
          <w:szCs w:val="16"/>
          <w:color w:val="auto"/>
        </w:rPr>
      </w:pPr>
      <w:r>
        <w:rPr>
          <w:rFonts w:ascii="Arial" w:cs="Arial" w:eastAsia="Arial" w:hAnsi="Arial"/>
          <w:sz w:val="16"/>
          <w:szCs w:val="16"/>
          <w:color w:val="auto"/>
        </w:rPr>
        <w:t>After initial recognition, they are measured at fair value, recording the changes in the “Net gain on securities” item in the consolidated statement of income. Dividend income is recorded in the “Interest and similar income” item in the consolidated statement of income when the right to payment has been recognized.</w:t>
      </w:r>
    </w:p>
    <w:p>
      <w:pPr>
        <w:spacing w:after="0" w:line="13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Financial assets designated at fair value through profit or loss at initial recognition -</w:t>
      </w:r>
    </w:p>
    <w:p>
      <w:pPr>
        <w:spacing w:after="0" w:line="178" w:lineRule="exact"/>
        <w:rPr>
          <w:sz w:val="20"/>
          <w:szCs w:val="20"/>
          <w:color w:val="auto"/>
        </w:rPr>
      </w:pPr>
    </w:p>
    <w:p>
      <w:pPr>
        <w:ind w:left="284" w:right="40"/>
        <w:spacing w:after="0" w:line="255" w:lineRule="auto"/>
        <w:rPr>
          <w:sz w:val="20"/>
          <w:szCs w:val="20"/>
          <w:color w:val="auto"/>
        </w:rPr>
      </w:pPr>
      <w:r>
        <w:rPr>
          <w:rFonts w:ascii="Arial" w:cs="Arial" w:eastAsia="Arial" w:hAnsi="Arial"/>
          <w:sz w:val="16"/>
          <w:szCs w:val="16"/>
          <w:color w:val="auto"/>
        </w:rPr>
        <w:t>At the time of initial recognition, Management may irrevocably designate financial assets as measured at fair value through profit or loss if doing so eliminates or significantly reduces a measurement or recognition inconsistency that would otherwise arise from the measurement of the assets or liabilities or the recognition of their profits and losses on different bases.</w:t>
      </w:r>
    </w:p>
    <w:p>
      <w:pPr>
        <w:spacing w:after="0" w:line="137"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After their initial recognition, they are measured at fair value, recording the changes in the consolidated statement of income.</w:t>
      </w:r>
    </w:p>
    <w:p>
      <w:pPr>
        <w:spacing w:after="0" w:line="178" w:lineRule="exact"/>
        <w:rPr>
          <w:sz w:val="20"/>
          <w:szCs w:val="20"/>
          <w:color w:val="auto"/>
        </w:rPr>
      </w:pPr>
    </w:p>
    <w:p>
      <w:pPr>
        <w:ind w:left="4" w:right="240"/>
        <w:spacing w:after="0" w:line="274" w:lineRule="auto"/>
        <w:rPr>
          <w:sz w:val="20"/>
          <w:szCs w:val="20"/>
          <w:color w:val="auto"/>
        </w:rPr>
      </w:pPr>
      <w:r>
        <w:rPr>
          <w:rFonts w:ascii="Arial" w:cs="Arial" w:eastAsia="Arial" w:hAnsi="Arial"/>
          <w:sz w:val="16"/>
          <w:szCs w:val="16"/>
          <w:color w:val="auto"/>
        </w:rPr>
        <w:t>As of December 31, 2025 and 2024, the Group classified financial liabilities at initial recognition as measured at amortized cost, except for financial liabilities at fair value through profit or loss. These liabilities include derivatives that are measured at fair value.</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interest incurred is accrued in the “Interest and similar income” item in the consolidated statement of income.</w:t>
      </w:r>
    </w:p>
    <w:p>
      <w:pPr>
        <w:spacing w:after="0" w:line="178" w:lineRule="exact"/>
        <w:rPr>
          <w:sz w:val="20"/>
          <w:szCs w:val="20"/>
          <w:color w:val="auto"/>
        </w:rPr>
      </w:pPr>
    </w:p>
    <w:p>
      <w:pPr>
        <w:ind w:left="4" w:right="80"/>
        <w:spacing w:after="0" w:line="274" w:lineRule="auto"/>
        <w:rPr>
          <w:sz w:val="20"/>
          <w:szCs w:val="20"/>
          <w:color w:val="auto"/>
        </w:rPr>
      </w:pPr>
      <w:r>
        <w:rPr>
          <w:rFonts w:ascii="Arial" w:cs="Arial" w:eastAsia="Arial" w:hAnsi="Arial"/>
          <w:sz w:val="16"/>
          <w:szCs w:val="16"/>
          <w:color w:val="auto"/>
        </w:rPr>
        <w:t>Likewise, at initial recognition, Management may irrevocably designate financial liabilities as measured at fair value through profit or loss when one of the following criteria is met:</w:t>
      </w:r>
    </w:p>
    <w:p>
      <w:pPr>
        <w:spacing w:after="0" w:line="123" w:lineRule="exact"/>
        <w:rPr>
          <w:sz w:val="20"/>
          <w:szCs w:val="20"/>
          <w:color w:val="auto"/>
        </w:rPr>
      </w:pPr>
    </w:p>
    <w:p>
      <w:pPr>
        <w:ind w:left="224" w:right="200" w:hanging="224"/>
        <w:spacing w:after="0" w:line="246" w:lineRule="auto"/>
        <w:tabs>
          <w:tab w:leader="none" w:pos="2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measurement inconsistency that would otherwise arise when using different criteria to measure assets or liabilities is eliminated or significantly reduced; or</w:t>
      </w:r>
    </w:p>
    <w:p>
      <w:pPr>
        <w:ind w:left="224" w:right="220" w:hanging="224"/>
        <w:spacing w:after="0" w:line="236" w:lineRule="auto"/>
        <w:tabs>
          <w:tab w:leader="none" w:pos="2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They are part of a group of financial liabilities, which are managed and their performance is evaluated on a fair value basis, in accordance with a documented investment or risk management strategy; or</w:t>
      </w:r>
    </w:p>
    <w:p>
      <w:pPr>
        <w:ind w:left="224" w:hanging="224"/>
        <w:spacing w:after="0"/>
        <w:tabs>
          <w:tab w:leader="none" w:pos="2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financial liability contains one or more embedded derivatives that significantly modify the otherwise required cash flows.</w:t>
      </w:r>
    </w:p>
    <w:p>
      <w:pPr>
        <w:spacing w:after="0" w:line="342" w:lineRule="exact"/>
        <w:rPr>
          <w:rFonts w:ascii="Arial" w:cs="Arial" w:eastAsia="Arial" w:hAnsi="Arial"/>
          <w:sz w:val="16"/>
          <w:szCs w:val="16"/>
          <w:color w:val="auto"/>
        </w:rPr>
      </w:pPr>
    </w:p>
    <w:p>
      <w:pPr>
        <w:ind w:left="4964" w:hanging="104"/>
        <w:spacing w:after="0"/>
        <w:tabs>
          <w:tab w:leader="none" w:pos="49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47" w:name="page48"/>
    <w:bookmarkEnd w:id="47"/>
    <w:p>
      <w:pPr>
        <w:ind w:left="284" w:hanging="284"/>
        <w:spacing w:after="0"/>
        <w:tabs>
          <w:tab w:leader="none" w:pos="284"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Reclassification of financial assets and liabilities -</w:t>
      </w:r>
    </w:p>
    <w:p>
      <w:pPr>
        <w:spacing w:after="0" w:line="202" w:lineRule="exact"/>
        <w:rPr>
          <w:rFonts w:ascii="Arial" w:cs="Arial" w:eastAsia="Arial" w:hAnsi="Arial"/>
          <w:sz w:val="16"/>
          <w:szCs w:val="16"/>
          <w:color w:val="auto"/>
        </w:rPr>
      </w:pPr>
    </w:p>
    <w:p>
      <w:pPr>
        <w:ind w:left="284" w:right="60"/>
        <w:spacing w:after="0" w:line="255" w:lineRule="auto"/>
        <w:rPr>
          <w:rFonts w:ascii="Arial" w:cs="Arial" w:eastAsia="Arial" w:hAnsi="Arial"/>
          <w:sz w:val="16"/>
          <w:szCs w:val="16"/>
          <w:color w:val="auto"/>
        </w:rPr>
      </w:pPr>
      <w:r>
        <w:rPr>
          <w:rFonts w:ascii="Arial" w:cs="Arial" w:eastAsia="Arial" w:hAnsi="Arial"/>
          <w:sz w:val="16"/>
          <w:szCs w:val="16"/>
          <w:color w:val="auto"/>
        </w:rPr>
        <w:t>The reclassification of financial assets will take place whenever the business model for managing the financial assets changes. It is expected that this change will be very infrequent. These changes are determined by approval of the Group's management as a result of external or internal changes, which must be significant to the Group's operations and demonstrable to third parties. Financial liabilities are never reclassified.</w:t>
      </w:r>
    </w:p>
    <w:p>
      <w:pPr>
        <w:spacing w:after="0" w:line="137" w:lineRule="exact"/>
        <w:rPr>
          <w:rFonts w:ascii="Arial" w:cs="Arial" w:eastAsia="Arial" w:hAnsi="Arial"/>
          <w:sz w:val="16"/>
          <w:szCs w:val="16"/>
          <w:color w:val="auto"/>
        </w:rPr>
      </w:pPr>
    </w:p>
    <w:p>
      <w:pPr>
        <w:ind w:left="284" w:right="320"/>
        <w:spacing w:after="0" w:line="255" w:lineRule="auto"/>
        <w:rPr>
          <w:rFonts w:ascii="Arial" w:cs="Arial" w:eastAsia="Arial" w:hAnsi="Arial"/>
          <w:sz w:val="16"/>
          <w:szCs w:val="16"/>
          <w:color w:val="auto"/>
        </w:rPr>
      </w:pPr>
      <w:r>
        <w:rPr>
          <w:rFonts w:ascii="Arial" w:cs="Arial" w:eastAsia="Arial" w:hAnsi="Arial"/>
          <w:sz w:val="16"/>
          <w:szCs w:val="16"/>
          <w:color w:val="auto"/>
        </w:rPr>
        <w:t>When the Group changes its business model for managing financial assets, it will prospectively reclassify all affected financial assets from the date of reclassification. The Group will not restate previously recognized gains, losses, or interest (including gains or losses on impairment) recognized.</w:t>
      </w:r>
    </w:p>
    <w:p>
      <w:pPr>
        <w:spacing w:after="0" w:line="13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202124"/>
        </w:rPr>
        <w:t>If the Group reclassifies:</w:t>
      </w:r>
    </w:p>
    <w:p>
      <w:pPr>
        <w:spacing w:after="0" w:line="177" w:lineRule="exact"/>
        <w:rPr>
          <w:rFonts w:ascii="Arial" w:cs="Arial" w:eastAsia="Arial" w:hAnsi="Arial"/>
          <w:sz w:val="16"/>
          <w:szCs w:val="16"/>
          <w:color w:val="auto"/>
        </w:rPr>
      </w:pPr>
    </w:p>
    <w:p>
      <w:pPr>
        <w:ind w:left="864" w:right="380" w:hanging="285"/>
        <w:spacing w:after="0" w:line="255" w:lineRule="auto"/>
        <w:tabs>
          <w:tab w:leader="none" w:pos="864" w:val="left"/>
        </w:tabs>
        <w:numPr>
          <w:ilvl w:val="1"/>
          <w:numId w:val="45"/>
        </w:numPr>
        <w:rPr>
          <w:rFonts w:ascii="Arial" w:cs="Arial" w:eastAsia="Arial" w:hAnsi="Arial"/>
          <w:sz w:val="16"/>
          <w:szCs w:val="16"/>
          <w:color w:val="202124"/>
        </w:rPr>
      </w:pPr>
      <w:r>
        <w:rPr>
          <w:rFonts w:ascii="Arial" w:cs="Arial" w:eastAsia="Arial" w:hAnsi="Arial"/>
          <w:sz w:val="16"/>
          <w:szCs w:val="16"/>
          <w:color w:val="202124"/>
        </w:rPr>
        <w:t>A financial asset from the amortized cost measurement category to the fair value through profit or loss category: its fair value will be measured at the reclassification date. Any gain or loss arising from differences between the previously amortized cost of the financial asset and the fair value will be recognized in profit or loss for the period.</w:t>
      </w:r>
    </w:p>
    <w:p>
      <w:pPr>
        <w:spacing w:after="0" w:line="137" w:lineRule="exact"/>
        <w:rPr>
          <w:rFonts w:ascii="Arial" w:cs="Arial" w:eastAsia="Arial" w:hAnsi="Arial"/>
          <w:sz w:val="16"/>
          <w:szCs w:val="16"/>
          <w:color w:val="202124"/>
        </w:rPr>
      </w:pPr>
    </w:p>
    <w:p>
      <w:pPr>
        <w:ind w:left="864" w:right="500" w:hanging="285"/>
        <w:spacing w:after="0" w:line="274" w:lineRule="auto"/>
        <w:tabs>
          <w:tab w:leader="none" w:pos="864" w:val="left"/>
        </w:tabs>
        <w:numPr>
          <w:ilvl w:val="1"/>
          <w:numId w:val="45"/>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profit or loss measurement category to the amortized cost category: its fair value at the reclassification date becomes its new gross carrying amount.</w:t>
      </w:r>
    </w:p>
    <w:p>
      <w:pPr>
        <w:spacing w:after="0" w:line="122" w:lineRule="exact"/>
        <w:rPr>
          <w:rFonts w:ascii="Arial" w:cs="Arial" w:eastAsia="Arial" w:hAnsi="Arial"/>
          <w:sz w:val="16"/>
          <w:szCs w:val="16"/>
          <w:color w:val="202124"/>
        </w:rPr>
      </w:pPr>
    </w:p>
    <w:p>
      <w:pPr>
        <w:ind w:left="864" w:right="80" w:hanging="285"/>
        <w:spacing w:after="0" w:line="248" w:lineRule="auto"/>
        <w:tabs>
          <w:tab w:leader="none" w:pos="864" w:val="left"/>
        </w:tabs>
        <w:numPr>
          <w:ilvl w:val="1"/>
          <w:numId w:val="45"/>
        </w:numPr>
        <w:rPr>
          <w:rFonts w:ascii="Arial" w:cs="Arial" w:eastAsia="Arial" w:hAnsi="Arial"/>
          <w:sz w:val="16"/>
          <w:szCs w:val="16"/>
          <w:color w:val="202124"/>
        </w:rPr>
      </w:pPr>
      <w:r>
        <w:rPr>
          <w:rFonts w:ascii="Arial" w:cs="Arial" w:eastAsia="Arial" w:hAnsi="Arial"/>
          <w:sz w:val="16"/>
          <w:szCs w:val="16"/>
          <w:color w:val="202124"/>
        </w:rPr>
        <w:t>A financial asset from the amortized cost measurement category to the fair value through other comprehensive income category: its fair value will be measured at the reclassification date. Any gain or loss arising from differences between the previously amortized cost of the financial asset and the fair value will be recognized in other comprehensive income. The effective interest rate and the measurement of expected credit losses will not be adjusted as a result of reclassification.</w:t>
      </w:r>
    </w:p>
    <w:p>
      <w:pPr>
        <w:spacing w:after="0" w:line="144" w:lineRule="exact"/>
        <w:rPr>
          <w:rFonts w:ascii="Arial" w:cs="Arial" w:eastAsia="Arial" w:hAnsi="Arial"/>
          <w:sz w:val="16"/>
          <w:szCs w:val="16"/>
          <w:color w:val="202124"/>
        </w:rPr>
      </w:pPr>
    </w:p>
    <w:p>
      <w:pPr>
        <w:ind w:left="864" w:hanging="285"/>
        <w:spacing w:after="0" w:line="245" w:lineRule="auto"/>
        <w:tabs>
          <w:tab w:leader="none" w:pos="864" w:val="left"/>
        </w:tabs>
        <w:numPr>
          <w:ilvl w:val="1"/>
          <w:numId w:val="45"/>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other comprehensive income measurement category to the amortized cost category, the financial asset will be reclassified at its fair value at the reclassification date. However, previously recognized accumulated gains or losses in other comprehensive income will be removed from equity and adjusted against the fair value of the financial asset at the reclassification date. As a result, the financial asset will be measured at the reclassification date as if it had always been measured at amortized cost. This adjustment affects other comprehensive income but not profit or loss for the period.</w:t>
      </w:r>
    </w:p>
    <w:p>
      <w:pPr>
        <w:spacing w:after="0" w:line="146" w:lineRule="exact"/>
        <w:rPr>
          <w:rFonts w:ascii="Arial" w:cs="Arial" w:eastAsia="Arial" w:hAnsi="Arial"/>
          <w:sz w:val="16"/>
          <w:szCs w:val="16"/>
          <w:color w:val="202124"/>
        </w:rPr>
      </w:pPr>
    </w:p>
    <w:p>
      <w:pPr>
        <w:ind w:left="864" w:right="260" w:hanging="285"/>
        <w:spacing w:after="0" w:line="274" w:lineRule="auto"/>
        <w:tabs>
          <w:tab w:leader="none" w:pos="864" w:val="left"/>
        </w:tabs>
        <w:numPr>
          <w:ilvl w:val="1"/>
          <w:numId w:val="45"/>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profit or loss measurement category to the fair value through other comprehensive income category, the financial asset will continue to be measured at fair value.</w:t>
      </w:r>
    </w:p>
    <w:p>
      <w:pPr>
        <w:spacing w:after="0" w:line="122" w:lineRule="exact"/>
        <w:rPr>
          <w:rFonts w:ascii="Arial" w:cs="Arial" w:eastAsia="Arial" w:hAnsi="Arial"/>
          <w:sz w:val="16"/>
          <w:szCs w:val="16"/>
          <w:color w:val="202124"/>
        </w:rPr>
      </w:pPr>
    </w:p>
    <w:p>
      <w:pPr>
        <w:ind w:left="864" w:right="260" w:hanging="285"/>
        <w:spacing w:after="0" w:line="255" w:lineRule="auto"/>
        <w:tabs>
          <w:tab w:leader="none" w:pos="864" w:val="left"/>
        </w:tabs>
        <w:numPr>
          <w:ilvl w:val="1"/>
          <w:numId w:val="45"/>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other comprehensive income measurement category to the fair value through profit or loss category, the financial asset will continue to be measured at fair value. The previously recognized accumulated gain or loss in other comprehensive income will be reclassified from equity to profit or loss for the period.</w:t>
      </w:r>
    </w:p>
    <w:p>
      <w:pPr>
        <w:spacing w:after="0" w:line="294" w:lineRule="exact"/>
        <w:rPr>
          <w:rFonts w:ascii="Arial" w:cs="Arial" w:eastAsia="Arial" w:hAnsi="Arial"/>
          <w:sz w:val="16"/>
          <w:szCs w:val="16"/>
          <w:color w:val="202124"/>
        </w:rPr>
      </w:pPr>
    </w:p>
    <w:p>
      <w:pPr>
        <w:ind w:left="4964" w:hanging="104"/>
        <w:spacing w:after="0"/>
        <w:tabs>
          <w:tab w:leader="none" w:pos="4964" w:val="left"/>
        </w:tabs>
        <w:numPr>
          <w:ilvl w:val="2"/>
          <w:numId w:val="45"/>
        </w:numPr>
        <w:rPr>
          <w:rFonts w:ascii="Arial" w:cs="Arial" w:eastAsia="Arial" w:hAnsi="Arial"/>
          <w:sz w:val="16"/>
          <w:szCs w:val="16"/>
          <w:color w:val="auto"/>
        </w:rPr>
      </w:pPr>
      <w:r>
        <w:rPr>
          <w:rFonts w:ascii="Arial" w:cs="Arial" w:eastAsia="Arial" w:hAnsi="Arial"/>
          <w:sz w:val="16"/>
          <w:szCs w:val="16"/>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292" w:right="339" w:bottom="1440" w:gutter="0" w:footer="0" w:header="0"/>
        </w:sectPr>
      </w:pPr>
    </w:p>
    <w:bookmarkStart w:id="48" w:name="page49"/>
    <w:bookmarkEnd w:id="48"/>
    <w:p>
      <w:pPr>
        <w:ind w:left="284" w:right="6960" w:hanging="284"/>
        <w:spacing w:after="0" w:line="487" w:lineRule="auto"/>
        <w:tabs>
          <w:tab w:leader="none" w:pos="284"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De-recognition of financial assets and liabilities - Financial assets:</w:t>
      </w:r>
    </w:p>
    <w:p>
      <w:pPr>
        <w:spacing w:after="0" w:line="1" w:lineRule="exact"/>
        <w:rPr>
          <w:rFonts w:ascii="Arial" w:cs="Arial" w:eastAsia="Arial" w:hAnsi="Arial"/>
          <w:sz w:val="16"/>
          <w:szCs w:val="16"/>
          <w:color w:val="auto"/>
        </w:rPr>
      </w:pPr>
    </w:p>
    <w:p>
      <w:pPr>
        <w:ind w:left="284" w:right="20"/>
        <w:spacing w:after="0" w:line="245" w:lineRule="auto"/>
        <w:rPr>
          <w:rFonts w:ascii="Arial" w:cs="Arial" w:eastAsia="Arial" w:hAnsi="Arial"/>
          <w:sz w:val="16"/>
          <w:szCs w:val="16"/>
          <w:color w:val="auto"/>
        </w:rPr>
      </w:pPr>
      <w:r>
        <w:rPr>
          <w:rFonts w:ascii="Arial" w:cs="Arial" w:eastAsia="Arial" w:hAnsi="Arial"/>
          <w:sz w:val="16"/>
          <w:szCs w:val="16"/>
          <w:color w:val="auto"/>
        </w:rPr>
        <w:t>A financial asset (or, where applicable, a portion of a financial asset or a portion of a group of similar financial assets) is derecognized when: (i) the rights to receive cash flows from the asset have expired; or (ii) the Group has transferred its rights to receive cash flows from the asset or has assumed an obligation to pay the received cash flows in full immediately to a third party under a pass-through arrangement; and the Group has also transferred substantially all the risks and rewards of the asset, or has neither transferred nor retained substantially all the risks and rewards of the asset but has transferred control of the asset.</w:t>
      </w:r>
    </w:p>
    <w:p>
      <w:pPr>
        <w:spacing w:after="0" w:line="146" w:lineRule="exact"/>
        <w:rPr>
          <w:rFonts w:ascii="Arial" w:cs="Arial" w:eastAsia="Arial" w:hAnsi="Arial"/>
          <w:sz w:val="16"/>
          <w:szCs w:val="16"/>
          <w:color w:val="auto"/>
        </w:rPr>
      </w:pPr>
    </w:p>
    <w:p>
      <w:pPr>
        <w:ind w:left="284" w:right="180"/>
        <w:spacing w:after="0" w:line="248" w:lineRule="auto"/>
        <w:rPr>
          <w:rFonts w:ascii="Arial" w:cs="Arial" w:eastAsia="Arial" w:hAnsi="Arial"/>
          <w:sz w:val="16"/>
          <w:szCs w:val="16"/>
          <w:color w:val="auto"/>
        </w:rPr>
      </w:pPr>
      <w:r>
        <w:rPr>
          <w:rFonts w:ascii="Arial" w:cs="Arial" w:eastAsia="Arial" w:hAnsi="Arial"/>
          <w:sz w:val="16"/>
          <w:szCs w:val="16"/>
          <w:color w:val="auto"/>
        </w:rPr>
        <w:t>When contractual rights to receive cash flows from the financial asset have been transferred, or a transfer agreement has been entered into, the Group assesses whether it has retained, and to what extent, the risks and benefits inherent in ownership of the asset. When the Group has neither transferred nor retained substantially all risks and benefits inherent in ownership of the asset, nor transferred control of the asset, the Group continues to recognize the transferred asset to the extent of its continued involvement with the asset.</w:t>
      </w:r>
    </w:p>
    <w:p>
      <w:pPr>
        <w:spacing w:after="0" w:line="144" w:lineRule="exact"/>
        <w:rPr>
          <w:rFonts w:ascii="Arial" w:cs="Arial" w:eastAsia="Arial" w:hAnsi="Arial"/>
          <w:sz w:val="16"/>
          <w:szCs w:val="16"/>
          <w:color w:val="auto"/>
        </w:rPr>
      </w:pPr>
    </w:p>
    <w:p>
      <w:pPr>
        <w:ind w:left="284" w:right="260"/>
        <w:spacing w:after="0" w:line="274" w:lineRule="auto"/>
        <w:rPr>
          <w:rFonts w:ascii="Arial" w:cs="Arial" w:eastAsia="Arial" w:hAnsi="Arial"/>
          <w:sz w:val="16"/>
          <w:szCs w:val="16"/>
          <w:color w:val="auto"/>
        </w:rPr>
      </w:pPr>
      <w:r>
        <w:rPr>
          <w:rFonts w:ascii="Arial" w:cs="Arial" w:eastAsia="Arial" w:hAnsi="Arial"/>
          <w:sz w:val="16"/>
          <w:szCs w:val="16"/>
          <w:color w:val="auto"/>
        </w:rPr>
        <w:t>In that case, the Group also recognizes the related liability. The transferred financial asset and related liability are measured so as to reflect the rights and obligations that the Group has retained.</w:t>
      </w:r>
    </w:p>
    <w:p>
      <w:pPr>
        <w:spacing w:after="0" w:line="122" w:lineRule="exact"/>
        <w:rPr>
          <w:rFonts w:ascii="Arial" w:cs="Arial" w:eastAsia="Arial" w:hAnsi="Arial"/>
          <w:sz w:val="16"/>
          <w:szCs w:val="16"/>
          <w:color w:val="auto"/>
        </w:rPr>
      </w:pPr>
    </w:p>
    <w:p>
      <w:pPr>
        <w:ind w:left="284" w:right="100"/>
        <w:spacing w:after="0" w:line="274" w:lineRule="auto"/>
        <w:rPr>
          <w:rFonts w:ascii="Arial" w:cs="Arial" w:eastAsia="Arial" w:hAnsi="Arial"/>
          <w:sz w:val="16"/>
          <w:szCs w:val="16"/>
          <w:color w:val="auto"/>
        </w:rPr>
      </w:pPr>
      <w:r>
        <w:rPr>
          <w:rFonts w:ascii="Arial" w:cs="Arial" w:eastAsia="Arial" w:hAnsi="Arial"/>
          <w:sz w:val="16"/>
          <w:szCs w:val="16"/>
          <w:color w:val="auto"/>
        </w:rPr>
        <w:t>Continued involvement in the form of a guarantee over the transferred asset is measured as the lower of (i) the carrying amount of the asset, and (ii) the maximum consideration received that the Group would be required to repay.</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Financial liabilities:</w:t>
      </w:r>
    </w:p>
    <w:p>
      <w:pPr>
        <w:spacing w:after="0" w:line="178" w:lineRule="exact"/>
        <w:rPr>
          <w:sz w:val="20"/>
          <w:szCs w:val="20"/>
          <w:color w:val="auto"/>
        </w:rPr>
      </w:pPr>
    </w:p>
    <w:p>
      <w:pPr>
        <w:ind w:left="284"/>
        <w:spacing w:after="0" w:line="245" w:lineRule="auto"/>
        <w:rPr>
          <w:sz w:val="20"/>
          <w:szCs w:val="20"/>
          <w:color w:val="auto"/>
        </w:rPr>
      </w:pPr>
      <w:r>
        <w:rPr>
          <w:rFonts w:ascii="Arial" w:cs="Arial" w:eastAsia="Arial" w:hAnsi="Arial"/>
          <w:sz w:val="16"/>
          <w:szCs w:val="16"/>
          <w:color w:val="auto"/>
        </w:rPr>
        <w:t>A financial liability is derecognized when the obligation to pay is discharged, cancelled, or expires. When an existing financial liability is exchanged for another from the same borrower under significantly different terms (fails the 10.0 percent test established in IFRS 9), or the terms are substantially modified, such exchange or modification is treated as a derecognition of the original liability and a new liability is recognized, with the difference between the carrying amount of the initial financial liability and the consideration paid recognized in the consolidated statement of comprehensive income.</w:t>
      </w:r>
    </w:p>
    <w:p>
      <w:pPr>
        <w:spacing w:after="0" w:line="147" w:lineRule="exact"/>
        <w:rPr>
          <w:sz w:val="20"/>
          <w:szCs w:val="20"/>
          <w:color w:val="auto"/>
        </w:rPr>
      </w:pP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Offsetting financial instruments -</w:t>
      </w:r>
    </w:p>
    <w:p>
      <w:pPr>
        <w:spacing w:after="0" w:line="202" w:lineRule="exact"/>
        <w:rPr>
          <w:rFonts w:ascii="Arial" w:cs="Arial" w:eastAsia="Arial" w:hAnsi="Arial"/>
          <w:sz w:val="16"/>
          <w:szCs w:val="16"/>
          <w:color w:val="auto"/>
        </w:rPr>
      </w:pPr>
    </w:p>
    <w:p>
      <w:pPr>
        <w:ind w:left="284" w:right="40"/>
        <w:spacing w:after="0" w:line="255" w:lineRule="auto"/>
        <w:rPr>
          <w:rFonts w:ascii="Arial" w:cs="Arial" w:eastAsia="Arial" w:hAnsi="Arial"/>
          <w:sz w:val="16"/>
          <w:szCs w:val="16"/>
          <w:color w:val="auto"/>
        </w:rPr>
      </w:pPr>
      <w:r>
        <w:rPr>
          <w:rFonts w:ascii="Arial" w:cs="Arial" w:eastAsia="Arial" w:hAnsi="Arial"/>
          <w:sz w:val="16"/>
          <w:szCs w:val="16"/>
          <w:color w:val="auto"/>
        </w:rPr>
        <w:t>Financial assets and liabilities are offset and the net amount is presented in the consolidated statement of financial position when there is a legally enforceable right to offset them and the Management intends to settle them on a net basis or to realize the asset and settle the liability simultaneously.</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Impairment of financial assets -</w:t>
      </w:r>
    </w:p>
    <w:p>
      <w:pPr>
        <w:spacing w:after="0" w:line="202" w:lineRule="exact"/>
        <w:rPr>
          <w:rFonts w:ascii="Arial" w:cs="Arial" w:eastAsia="Arial" w:hAnsi="Arial"/>
          <w:sz w:val="16"/>
          <w:szCs w:val="16"/>
          <w:color w:val="auto"/>
        </w:rPr>
      </w:pPr>
    </w:p>
    <w:p>
      <w:pPr>
        <w:ind w:left="284" w:right="380"/>
        <w:spacing w:after="0" w:line="274" w:lineRule="auto"/>
        <w:rPr>
          <w:rFonts w:ascii="Arial" w:cs="Arial" w:eastAsia="Arial" w:hAnsi="Arial"/>
          <w:sz w:val="16"/>
          <w:szCs w:val="16"/>
          <w:color w:val="auto"/>
        </w:rPr>
      </w:pPr>
      <w:r>
        <w:rPr>
          <w:rFonts w:ascii="Arial" w:cs="Arial" w:eastAsia="Arial" w:hAnsi="Arial"/>
          <w:sz w:val="16"/>
          <w:szCs w:val="16"/>
          <w:color w:val="auto"/>
        </w:rPr>
        <w:t>As of December 31, 2025, and 2024, the Group applies a three-stage approach to measure the provision for credit losses, using an expected credit loss impairment model as set out in IFRS 9, for the following categories:</w:t>
      </w:r>
    </w:p>
    <w:p>
      <w:pPr>
        <w:spacing w:after="0" w:line="122" w:lineRule="exact"/>
        <w:rPr>
          <w:rFonts w:ascii="Arial" w:cs="Arial" w:eastAsia="Arial" w:hAnsi="Arial"/>
          <w:sz w:val="16"/>
          <w:szCs w:val="16"/>
          <w:color w:val="auto"/>
        </w:rPr>
      </w:pPr>
    </w:p>
    <w:p>
      <w:pPr>
        <w:ind w:left="584" w:hanging="295"/>
        <w:spacing w:after="0"/>
        <w:tabs>
          <w:tab w:leader="none" w:pos="584" w:val="left"/>
        </w:tabs>
        <w:numPr>
          <w:ilvl w:val="1"/>
          <w:numId w:val="47"/>
        </w:numPr>
        <w:rPr>
          <w:rFonts w:ascii="Arial" w:cs="Arial" w:eastAsia="Arial" w:hAnsi="Arial"/>
          <w:sz w:val="16"/>
          <w:szCs w:val="16"/>
          <w:color w:val="auto"/>
        </w:rPr>
      </w:pPr>
      <w:r>
        <w:rPr>
          <w:rFonts w:ascii="Arial" w:cs="Arial" w:eastAsia="Arial" w:hAnsi="Arial"/>
          <w:sz w:val="16"/>
          <w:szCs w:val="16"/>
          <w:color w:val="auto"/>
        </w:rPr>
        <w:t>Financial assets at amortized cost.</w:t>
      </w:r>
    </w:p>
    <w:p>
      <w:pPr>
        <w:spacing w:after="0" w:line="29" w:lineRule="exact"/>
        <w:rPr>
          <w:rFonts w:ascii="Arial" w:cs="Arial" w:eastAsia="Arial" w:hAnsi="Arial"/>
          <w:sz w:val="16"/>
          <w:szCs w:val="16"/>
          <w:color w:val="auto"/>
        </w:rPr>
      </w:pPr>
    </w:p>
    <w:p>
      <w:pPr>
        <w:ind w:left="584" w:hanging="295"/>
        <w:spacing w:after="0"/>
        <w:tabs>
          <w:tab w:leader="none" w:pos="584"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Debt instruments classified as investments at fair value through other comprehensive income, and</w:t>
      </w:r>
    </w:p>
    <w:p>
      <w:pPr>
        <w:spacing w:after="0" w:line="21" w:lineRule="exact"/>
        <w:rPr>
          <w:rFonts w:ascii="Arial" w:cs="Arial" w:eastAsia="Arial" w:hAnsi="Arial"/>
          <w:sz w:val="16"/>
          <w:szCs w:val="16"/>
          <w:color w:val="auto"/>
        </w:rPr>
      </w:pPr>
    </w:p>
    <w:p>
      <w:pPr>
        <w:ind w:left="584" w:hanging="295"/>
        <w:spacing w:after="0"/>
        <w:tabs>
          <w:tab w:leader="none" w:pos="584"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Indirect credits that are presented in accounts outside the consolidated statement of financial position.</w:t>
      </w:r>
    </w:p>
    <w:p>
      <w:pPr>
        <w:spacing w:after="0" w:line="194" w:lineRule="exact"/>
        <w:rPr>
          <w:sz w:val="20"/>
          <w:szCs w:val="20"/>
          <w:color w:val="auto"/>
        </w:rPr>
      </w:pPr>
    </w:p>
    <w:p>
      <w:pPr>
        <w:ind w:left="284" w:right="760"/>
        <w:spacing w:after="0" w:line="274" w:lineRule="auto"/>
        <w:rPr>
          <w:sz w:val="20"/>
          <w:szCs w:val="20"/>
          <w:color w:val="auto"/>
        </w:rPr>
      </w:pPr>
      <w:r>
        <w:rPr>
          <w:rFonts w:ascii="Arial" w:cs="Arial" w:eastAsia="Arial" w:hAnsi="Arial"/>
          <w:sz w:val="16"/>
          <w:szCs w:val="16"/>
          <w:color w:val="auto"/>
        </w:rPr>
        <w:t>Financial assets classified or designated at fair value through profit or loss and equity instruments designated at fair value through other comprehensive income are not subject to impairment assessment.</w:t>
      </w:r>
    </w:p>
    <w:p>
      <w:pPr>
        <w:spacing w:after="0" w:line="280" w:lineRule="exact"/>
        <w:rPr>
          <w:sz w:val="20"/>
          <w:szCs w:val="20"/>
          <w:color w:val="auto"/>
        </w:rPr>
      </w:pPr>
    </w:p>
    <w:p>
      <w:pPr>
        <w:ind w:left="4864"/>
        <w:spacing w:after="0"/>
        <w:rPr>
          <w:sz w:val="20"/>
          <w:szCs w:val="20"/>
          <w:color w:val="auto"/>
        </w:rPr>
      </w:pPr>
      <w:r>
        <w:rPr>
          <w:rFonts w:ascii="Arial" w:cs="Arial" w:eastAsia="Arial" w:hAnsi="Arial"/>
          <w:sz w:val="16"/>
          <w:szCs w:val="16"/>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292" w:right="31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Financial assets migrate through three stages based on changes in credit risk from initial recognition.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Impairment model of expected credit losses -</w:t>
      </w:r>
    </w:p>
    <w:p>
      <w:pPr>
        <w:spacing w:after="0" w:line="178"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Calculations of credit losses result from models with a series of underlying assumptions regarding the choice of variable inputs and their interdependencies. The expected credit loss impairment model reflects the present value of all cash shortfall events related to default events, either (i) over the following twelve months or (ii) over the expected life of a financial instrument depending on credit impairment from inception. The expected credit loss reflects a probability-weighted outcome considering a range of multiple outcomes based on reasonable and supported forecasts.</w:t>
      </w:r>
    </w:p>
    <w:p>
      <w:pPr>
        <w:spacing w:after="0" w:line="147"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Provisions for credit losses will be measured at each reporting date following a three-stage expected credit loss model based on the degree of credit deterioration from inception:</w:t>
      </w:r>
    </w:p>
    <w:p>
      <w:pPr>
        <w:spacing w:after="0" w:line="123" w:lineRule="exact"/>
        <w:rPr>
          <w:sz w:val="20"/>
          <w:szCs w:val="20"/>
          <w:color w:val="auto"/>
        </w:rPr>
      </w:pPr>
    </w:p>
    <w:p>
      <w:pPr>
        <w:ind w:left="300" w:right="60" w:hanging="295"/>
        <w:spacing w:after="0" w:line="255" w:lineRule="auto"/>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Stage 1: Financial assets whose credit risk has not increased significantly since initial recognition will recognize a reserve for losses equivalent to the credit losses expected to occur from defaults in the next 12 months. For instruments with a maturity of less than 12 months, a default probability corresponding to the remaining term to maturity is used.</w:t>
      </w:r>
    </w:p>
    <w:p>
      <w:pPr>
        <w:spacing w:after="0" w:line="137" w:lineRule="exact"/>
        <w:rPr>
          <w:rFonts w:ascii="Arial" w:cs="Arial" w:eastAsia="Arial" w:hAnsi="Arial"/>
          <w:sz w:val="16"/>
          <w:szCs w:val="16"/>
          <w:color w:val="auto"/>
        </w:rPr>
      </w:pPr>
    </w:p>
    <w:p>
      <w:pPr>
        <w:jc w:val="both"/>
        <w:ind w:left="300" w:right="340" w:hanging="295"/>
        <w:spacing w:after="0" w:line="255" w:lineRule="auto"/>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Stage 2: Financial assets that have experienced a significant increase in credit risk compared to initial recognition but are not considered impaired will recognize a loss reserve equivalent to the expected credit losses that are expected to occur during the remaining life of the asset.</w:t>
      </w:r>
    </w:p>
    <w:p>
      <w:pPr>
        <w:spacing w:after="0" w:line="137" w:lineRule="exact"/>
        <w:rPr>
          <w:rFonts w:ascii="Arial" w:cs="Arial" w:eastAsia="Arial" w:hAnsi="Arial"/>
          <w:sz w:val="16"/>
          <w:szCs w:val="16"/>
          <w:color w:val="auto"/>
        </w:rPr>
      </w:pPr>
    </w:p>
    <w:p>
      <w:pPr>
        <w:ind w:left="300" w:right="80" w:hanging="295"/>
        <w:spacing w:after="0" w:line="274" w:lineRule="auto"/>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Stage 3: Financial assets with credit impairment at the reporting date will recognize a loss reserve equivalent to the expected credit losses over the entire life of the asset. Interest income will be recognized based on the carrying amount of the asset, net of the credit loss provision.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Measurement of expected loss –</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measurement of expected credit loss is primarily based on the product of the probability of default (PD), the loss given default (LGD), and the exposure at default (EAD), discounted to the reporting date and considering expected macroeconomic effects and all in accordance with the new regulations.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these statistical parameters are the following:</w:t>
      </w:r>
    </w:p>
    <w:p>
      <w:pPr>
        <w:spacing w:after="0" w:line="178" w:lineRule="exact"/>
        <w:rPr>
          <w:sz w:val="20"/>
          <w:szCs w:val="20"/>
          <w:color w:val="auto"/>
        </w:rPr>
      </w:pPr>
    </w:p>
    <w:p>
      <w:pPr>
        <w:ind w:left="300" w:right="340" w:hanging="295"/>
        <w:spacing w:after="0" w:line="274" w:lineRule="auto"/>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PD: It is an estimate of the probability of default over a specified time horizon. Default can only occur at a specific point in time during the estimated remaining life, provided the financial asset has not been derecognized previously and still remains in the portfolio.</w:t>
      </w:r>
    </w:p>
    <w:p>
      <w:pPr>
        <w:spacing w:after="0" w:line="122" w:lineRule="exact"/>
        <w:rPr>
          <w:rFonts w:ascii="Arial" w:cs="Arial" w:eastAsia="Arial" w:hAnsi="Arial"/>
          <w:sz w:val="16"/>
          <w:szCs w:val="16"/>
          <w:color w:val="auto"/>
        </w:rPr>
      </w:pPr>
    </w:p>
    <w:p>
      <w:pPr>
        <w:ind w:left="300" w:right="100" w:hanging="295"/>
        <w:spacing w:after="0" w:line="255" w:lineRule="auto"/>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LGD: It is an estimate of the loss that occurs in the event of default at a given point in time. It is based on the difference between contractual cash flows owed and those the lender would expect to receive, including from the realization of any collateral. It is typically expressed as a percentage of the EAD.</w:t>
      </w:r>
    </w:p>
    <w:p>
      <w:pPr>
        <w:spacing w:after="0" w:line="137" w:lineRule="exact"/>
        <w:rPr>
          <w:rFonts w:ascii="Arial" w:cs="Arial" w:eastAsia="Arial" w:hAnsi="Arial"/>
          <w:sz w:val="16"/>
          <w:szCs w:val="16"/>
          <w:color w:val="auto"/>
        </w:rPr>
      </w:pPr>
    </w:p>
    <w:p>
      <w:pPr>
        <w:ind w:left="300" w:right="420" w:hanging="295"/>
        <w:spacing w:after="0" w:line="274" w:lineRule="auto"/>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EAD: It is an estimate of exposure at a future default date, considering expected changes in exposure after the reporting date, including principal and interest repayments, either scheduled by contract or otherwise, and interest accrued for overdue payments.</w:t>
      </w:r>
    </w:p>
    <w:p>
      <w:pPr>
        <w:spacing w:after="0" w:line="279" w:lineRule="exact"/>
        <w:rPr>
          <w:rFonts w:ascii="Arial" w:cs="Arial" w:eastAsia="Arial" w:hAnsi="Arial"/>
          <w:sz w:val="16"/>
          <w:szCs w:val="16"/>
          <w:color w:val="auto"/>
        </w:rPr>
      </w:pPr>
    </w:p>
    <w:p>
      <w:pPr>
        <w:ind w:left="4680" w:hanging="104"/>
        <w:spacing w:after="0"/>
        <w:tabs>
          <w:tab w:leader="none" w:pos="46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40"/>
          </w:cols>
          <w:pgMar w:left="1180" w:top="316" w:right="379" w:bottom="1440" w:gutter="0" w:footer="0" w:header="0"/>
        </w:sectPr>
      </w:pPr>
    </w:p>
    <w:bookmarkStart w:id="50" w:name="page51"/>
    <w:bookmarkEnd w:id="50"/>
    <w:p>
      <w:pPr>
        <w:ind w:right="120"/>
        <w:spacing w:after="0" w:line="248" w:lineRule="auto"/>
        <w:rPr>
          <w:sz w:val="20"/>
          <w:szCs w:val="20"/>
          <w:color w:val="auto"/>
        </w:rPr>
      </w:pPr>
      <w:r>
        <w:rPr>
          <w:rFonts w:ascii="Arial" w:cs="Arial" w:eastAsia="Arial" w:hAnsi="Arial"/>
          <w:sz w:val="16"/>
          <w:szCs w:val="16"/>
          <w:color w:val="auto"/>
        </w:rPr>
        <w:t>The fundamental difference between credit loss considered in stage 1 and stage 2 is the PD horizon. Stage 1 estimates use a 12-month horizon, while those in stage 2 use an expected loss calculated with the remaining term of the asset and consider the effect of significant risk increase. Finally, in stage 3, the expected loss will be estimated based on the best estimate ("ELBE"), given the status of the collection process for each asset.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Changes from one stage to another –</w:t>
      </w:r>
    </w:p>
    <w:p>
      <w:pPr>
        <w:spacing w:after="0" w:line="178" w:lineRule="exact"/>
        <w:rPr>
          <w:sz w:val="20"/>
          <w:szCs w:val="20"/>
          <w:color w:val="auto"/>
        </w:rPr>
      </w:pPr>
    </w:p>
    <w:p>
      <w:pPr>
        <w:ind w:right="500"/>
        <w:spacing w:after="0" w:line="274"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on the reporting date compared with the origination date; in this sense, the definition used considers the following criteria:</w:t>
      </w:r>
    </w:p>
    <w:p>
      <w:pPr>
        <w:spacing w:after="0" w:line="123" w:lineRule="exact"/>
        <w:rPr>
          <w:sz w:val="20"/>
          <w:szCs w:val="20"/>
          <w:color w:val="auto"/>
        </w:rPr>
      </w:pPr>
    </w:p>
    <w:p>
      <w:pPr>
        <w:ind w:left="300" w:hanging="295"/>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account is classified in stage 2 if it has more than 30 days in arrears.</w:t>
      </w:r>
    </w:p>
    <w:p>
      <w:pPr>
        <w:spacing w:after="0" w:line="202" w:lineRule="exact"/>
        <w:rPr>
          <w:rFonts w:ascii="Arial" w:cs="Arial" w:eastAsia="Arial" w:hAnsi="Arial"/>
          <w:sz w:val="16"/>
          <w:szCs w:val="16"/>
          <w:color w:val="auto"/>
        </w:rPr>
      </w:pPr>
    </w:p>
    <w:p>
      <w:pPr>
        <w:ind w:left="300" w:right="420" w:hanging="295"/>
        <w:spacing w:after="0" w:line="274"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probability of default ("PD") at the reporting date exceeds the PD at the origination date by 50.0 percent (absolute thresholds) in all portfolios.</w:t>
      </w:r>
    </w:p>
    <w:p>
      <w:pPr>
        <w:spacing w:after="0" w:line="122" w:lineRule="exact"/>
        <w:rPr>
          <w:rFonts w:ascii="Arial" w:cs="Arial" w:eastAsia="Arial" w:hAnsi="Arial"/>
          <w:sz w:val="16"/>
          <w:szCs w:val="16"/>
          <w:color w:val="auto"/>
        </w:rPr>
      </w:pPr>
    </w:p>
    <w:p>
      <w:pPr>
        <w:ind w:left="300" w:right="360" w:hanging="295"/>
        <w:spacing w:after="0" w:line="274"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PD at the reporting date exceeds the PD at the origination date at an individualized level for each risk level and by portfolio (relative thresholds).</w:t>
      </w:r>
    </w:p>
    <w:p>
      <w:pPr>
        <w:spacing w:after="0" w:line="123"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Additionally, all accounts classified as defaults at the reporting date are considered stage 3. Assessments of significant risk increase from initial recognition and credit impairment are independently conducted at each reporting date. Assets can move in both directions from one stage to another. See further detail in Note 30.1(c).</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Information –</w:t>
      </w:r>
    </w:p>
    <w:p>
      <w:pPr>
        <w:spacing w:after="0" w:line="17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measurement of expected credit losses for each stage and the evaluation of significant increases in credit risk should consider information on past events and current conditions, as well as projections of future events and economic conditions. For the estimation of the risk parameters (PD, LGD and EAD), used in the calculation of the provision in stage 1 and 2, the significance of the macroeconomic variables (or their variations) that have the greatest influence on each portfolio was tested, which give a better prospective and systemic vision to the estimation, based on econometric techniques. These projections have a period of 3 years and, additionally, a long-term projection.</w:t>
      </w:r>
    </w:p>
    <w:p>
      <w:pPr>
        <w:spacing w:after="0" w:line="147" w:lineRule="exact"/>
        <w:rPr>
          <w:sz w:val="20"/>
          <w:szCs w:val="20"/>
          <w:color w:val="auto"/>
        </w:rPr>
      </w:pPr>
    </w:p>
    <w:p>
      <w:pPr>
        <w:ind w:right="480"/>
        <w:spacing w:after="0" w:line="245" w:lineRule="auto"/>
        <w:rPr>
          <w:sz w:val="20"/>
          <w:szCs w:val="20"/>
          <w:color w:val="auto"/>
        </w:rPr>
      </w:pPr>
      <w:r>
        <w:rPr>
          <w:rFonts w:ascii="Arial" w:cs="Arial" w:eastAsia="Arial" w:hAnsi="Arial"/>
          <w:sz w:val="16"/>
          <w:szCs w:val="16"/>
          <w:color w:val="auto"/>
        </w:rPr>
        <w:t>The estimate of the expected loss is a weighted estimate that considers three future macroeconomic scenarios. The base, optimistic and pessimistic scenarios are based on macroeconomic projections provided by the internal economic studies team and approved by Senior Management; these projections are made for the main countries where Credicorp operates. This same team also provides the probability of occurrence of each scenario. It should be noted that the design of the scenarios is reviewed quarterly and may be more frequent if the environmental conditions so require.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Macroeconomic Factors –</w:t>
      </w:r>
    </w:p>
    <w:p>
      <w:pPr>
        <w:spacing w:after="0" w:line="178"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In its models, the Group relies on a wide range of prospective information as economic inputs, such as gross domestic product (GDP) growth, unemployment rates, central bank base rates, among others. The inputs and models used to calculate expected credit losses may not always capture all market characteristics at the date of the financial statements. To reflect this, qualitative adjustments or overlays may be made using expert judgment.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Expected Lifetime –</w:t>
      </w:r>
    </w:p>
    <w:p>
      <w:pPr>
        <w:spacing w:after="0" w:line="178" w:lineRule="exact"/>
        <w:rPr>
          <w:sz w:val="20"/>
          <w:szCs w:val="20"/>
          <w:color w:val="auto"/>
        </w:rPr>
      </w:pPr>
    </w:p>
    <w:p>
      <w:pPr>
        <w:ind w:right="400"/>
        <w:spacing w:after="0" w:line="255" w:lineRule="auto"/>
        <w:rPr>
          <w:sz w:val="20"/>
          <w:szCs w:val="20"/>
          <w:color w:val="auto"/>
        </w:rPr>
      </w:pPr>
      <w:r>
        <w:rPr>
          <w:rFonts w:ascii="Arial" w:cs="Arial" w:eastAsia="Arial" w:hAnsi="Arial"/>
          <w:sz w:val="16"/>
          <w:szCs w:val="16"/>
          <w:color w:val="auto"/>
        </w:rPr>
        <w:t>For instruments in Stage 2 or 3, loss reserves will cover expected credit losses during the instrument's lifetime. For most instruments, the expected lifetime is limited to the remaining term of the product, adjusted for expected prepayments. For revolving products, an analysis was conducted to determine the expected lifetime period.</w:t>
      </w:r>
    </w:p>
    <w:p>
      <w:pPr>
        <w:spacing w:after="0" w:line="29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80"/>
          </w:cols>
          <w:pgMar w:left="1180" w:top="316" w:right="339" w:bottom="1440" w:gutter="0" w:footer="0" w:header="0"/>
        </w:sectPr>
      </w:pPr>
    </w:p>
    <w:bookmarkStart w:id="51" w:name="page52"/>
    <w:bookmarkEnd w:id="51"/>
    <w:p>
      <w:pPr>
        <w:ind w:left="284"/>
        <w:spacing w:after="0"/>
        <w:rPr>
          <w:sz w:val="20"/>
          <w:szCs w:val="20"/>
          <w:color w:val="auto"/>
        </w:rPr>
      </w:pPr>
      <w:r>
        <w:rPr>
          <w:rFonts w:ascii="Arial" w:cs="Arial" w:eastAsia="Arial" w:hAnsi="Arial"/>
          <w:sz w:val="16"/>
          <w:szCs w:val="16"/>
          <w:color w:val="auto"/>
        </w:rPr>
        <w:t>Presentation of provision for credit losses in the consolidated statement of financial position -</w:t>
      </w:r>
    </w:p>
    <w:p>
      <w:pPr>
        <w:spacing w:after="0" w:line="178" w:lineRule="exact"/>
        <w:rPr>
          <w:sz w:val="20"/>
          <w:szCs w:val="20"/>
          <w:color w:val="auto"/>
        </w:rPr>
      </w:pPr>
    </w:p>
    <w:p>
      <w:pPr>
        <w:ind w:left="584" w:hanging="295"/>
        <w:spacing w:after="0"/>
        <w:tabs>
          <w:tab w:leader="none" w:pos="584"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Financial assets measured at amortized cost: as a deduction from the gross carrying amount of financial assets;</w:t>
      </w:r>
    </w:p>
    <w:p>
      <w:pPr>
        <w:spacing w:after="0" w:line="29" w:lineRule="exact"/>
        <w:rPr>
          <w:rFonts w:ascii="Arial" w:cs="Arial" w:eastAsia="Arial" w:hAnsi="Arial"/>
          <w:sz w:val="16"/>
          <w:szCs w:val="16"/>
          <w:color w:val="auto"/>
        </w:rPr>
      </w:pPr>
    </w:p>
    <w:p>
      <w:pPr>
        <w:ind w:left="584" w:right="280" w:hanging="295"/>
        <w:spacing w:after="0" w:line="239" w:lineRule="auto"/>
        <w:tabs>
          <w:tab w:leader="none" w:pos="584"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Debt instruments measured at fair value through other comprehensive income: no provision is recognized in the consolidated statement of financial position because the carrying amount of these assets is their fair value; however, the expected credit loss is presented in accumulated other comprehensive income;</w:t>
      </w:r>
    </w:p>
    <w:p>
      <w:pPr>
        <w:ind w:left="584" w:hanging="295"/>
        <w:spacing w:after="0"/>
        <w:tabs>
          <w:tab w:leader="none" w:pos="584"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Indirect credits: the provision for credit loss is presented under "Other liabilities" in the consolidated statement of financial position.</w:t>
      </w:r>
    </w:p>
    <w:p>
      <w:pPr>
        <w:spacing w:after="0" w:line="186" w:lineRule="exact"/>
        <w:rPr>
          <w:sz w:val="20"/>
          <w:szCs w:val="20"/>
          <w:color w:val="auto"/>
        </w:rPr>
      </w:pPr>
    </w:p>
    <w:p>
      <w:pPr>
        <w:ind w:left="284"/>
        <w:spacing w:after="0"/>
        <w:rPr>
          <w:sz w:val="20"/>
          <w:szCs w:val="20"/>
          <w:color w:val="auto"/>
        </w:rPr>
      </w:pPr>
      <w:r>
        <w:rPr>
          <w:rFonts w:ascii="Arial" w:cs="Arial" w:eastAsia="Arial" w:hAnsi="Arial"/>
          <w:sz w:val="16"/>
          <w:szCs w:val="16"/>
          <w:color w:val="auto"/>
        </w:rPr>
        <w:t>Renegotiated Credits –</w:t>
      </w:r>
    </w:p>
    <w:p>
      <w:pPr>
        <w:spacing w:after="0" w:line="178" w:lineRule="exact"/>
        <w:rPr>
          <w:sz w:val="20"/>
          <w:szCs w:val="20"/>
          <w:color w:val="auto"/>
        </w:rPr>
      </w:pPr>
    </w:p>
    <w:p>
      <w:pPr>
        <w:ind w:left="284"/>
        <w:spacing w:after="0" w:line="248" w:lineRule="auto"/>
        <w:rPr>
          <w:sz w:val="20"/>
          <w:szCs w:val="20"/>
          <w:color w:val="auto"/>
        </w:rPr>
      </w:pPr>
      <w:r>
        <w:rPr>
          <w:rFonts w:ascii="Arial" w:cs="Arial" w:eastAsia="Arial" w:hAnsi="Arial"/>
          <w:sz w:val="16"/>
          <w:szCs w:val="16"/>
          <w:color w:val="auto"/>
        </w:rPr>
        <w:t>When a credit is modified, it is not considered past due but maintains its previous classification as impaired or unimpaired. If the borrower complies with the new agreement for the next six months, and the analysis of their repayment capacity supports a new risk rating improvement, the credit is classified as unimpaired. If after the credit is modified, the borrower defaults on the new agreement, it is considered impaired and past due. See further detail in Note 30.1(c).</w:t>
      </w:r>
    </w:p>
    <w:p>
      <w:pPr>
        <w:spacing w:after="0" w:line="144" w:lineRule="exact"/>
        <w:rPr>
          <w:sz w:val="20"/>
          <w:szCs w:val="20"/>
          <w:color w:val="auto"/>
        </w:rPr>
      </w:pPr>
    </w:p>
    <w:p>
      <w:pPr>
        <w:ind w:left="284" w:hanging="284"/>
        <w:spacing w:after="0"/>
        <w:tabs>
          <w:tab w:leader="none" w:pos="284" w:val="left"/>
        </w:tabs>
        <w:numPr>
          <w:ilvl w:val="0"/>
          <w:numId w:val="52"/>
        </w:numPr>
        <w:rPr>
          <w:rFonts w:ascii="Arial" w:cs="Arial" w:eastAsia="Arial" w:hAnsi="Arial"/>
          <w:sz w:val="16"/>
          <w:szCs w:val="16"/>
          <w:color w:val="auto"/>
        </w:rPr>
      </w:pPr>
      <w:r>
        <w:rPr>
          <w:rFonts w:ascii="Arial" w:cs="Arial" w:eastAsia="Arial" w:hAnsi="Arial"/>
          <w:sz w:val="16"/>
          <w:szCs w:val="16"/>
          <w:color w:val="auto"/>
        </w:rPr>
        <w:t>Business Combinations –</w:t>
      </w:r>
    </w:p>
    <w:p>
      <w:pPr>
        <w:spacing w:after="0" w:line="202" w:lineRule="exact"/>
        <w:rPr>
          <w:rFonts w:ascii="Arial" w:cs="Arial" w:eastAsia="Arial" w:hAnsi="Arial"/>
          <w:sz w:val="16"/>
          <w:szCs w:val="16"/>
          <w:color w:val="auto"/>
        </w:rPr>
      </w:pPr>
    </w:p>
    <w:p>
      <w:pPr>
        <w:ind w:left="284" w:right="60"/>
        <w:spacing w:after="0" w:line="245" w:lineRule="auto"/>
        <w:rPr>
          <w:rFonts w:ascii="Arial" w:cs="Arial" w:eastAsia="Arial" w:hAnsi="Arial"/>
          <w:sz w:val="16"/>
          <w:szCs w:val="16"/>
          <w:color w:val="auto"/>
        </w:rPr>
      </w:pPr>
      <w:r>
        <w:rPr>
          <w:rFonts w:ascii="Arial" w:cs="Arial" w:eastAsia="Arial" w:hAnsi="Arial"/>
          <w:sz w:val="16"/>
          <w:szCs w:val="16"/>
          <w:color w:val="auto"/>
        </w:rPr>
        <w:t>Business combinations are accounted for using the acquisition method, as required by IFRS 3 “Business Combinations”. The acquisition cost is measured at the fair value of the consideration transferred at the acquisition date and the amount of any non-controlling interest in the acquiree. For each business combination, the Group elects whether to measure the non-controlling interest in the acquiree at fair value or at the non-controlling interest’s proportionate share of the acquiree’s identifiable net assets. Acquisition-related costs are expensed as incurred and included in “Administrative expenses” in the consolidated statement of income.</w:t>
      </w:r>
    </w:p>
    <w:p>
      <w:pPr>
        <w:spacing w:after="0" w:line="146" w:lineRule="exact"/>
        <w:rPr>
          <w:rFonts w:ascii="Arial" w:cs="Arial" w:eastAsia="Arial" w:hAnsi="Arial"/>
          <w:sz w:val="16"/>
          <w:szCs w:val="16"/>
          <w:color w:val="auto"/>
        </w:rPr>
      </w:pPr>
    </w:p>
    <w:p>
      <w:pPr>
        <w:ind w:left="284"/>
        <w:spacing w:after="0" w:line="255" w:lineRule="auto"/>
        <w:rPr>
          <w:rFonts w:ascii="Arial" w:cs="Arial" w:eastAsia="Arial" w:hAnsi="Arial"/>
          <w:sz w:val="16"/>
          <w:szCs w:val="16"/>
          <w:color w:val="auto"/>
        </w:rPr>
      </w:pPr>
      <w:r>
        <w:rPr>
          <w:rFonts w:ascii="Arial" w:cs="Arial" w:eastAsia="Arial" w:hAnsi="Arial"/>
          <w:sz w:val="16"/>
          <w:szCs w:val="16"/>
          <w:color w:val="auto"/>
        </w:rPr>
        <w:t>When the Group acquires a business, it assesses the financial assets and liabilities assumed for proper classification and naming in accordance with contractual terms, economic circumstances, and conditions relevant at the acquisition date. This includes the separation of implicit derivatives in contracts entered into by the acquiree.</w:t>
      </w:r>
    </w:p>
    <w:p>
      <w:pPr>
        <w:spacing w:after="0" w:line="137" w:lineRule="exact"/>
        <w:rPr>
          <w:rFonts w:ascii="Arial" w:cs="Arial" w:eastAsia="Arial" w:hAnsi="Arial"/>
          <w:sz w:val="16"/>
          <w:szCs w:val="16"/>
          <w:color w:val="auto"/>
        </w:rPr>
      </w:pPr>
    </w:p>
    <w:p>
      <w:pPr>
        <w:ind w:left="284" w:right="160"/>
        <w:spacing w:after="0" w:line="248" w:lineRule="auto"/>
        <w:rPr>
          <w:rFonts w:ascii="Arial" w:cs="Arial" w:eastAsia="Arial" w:hAnsi="Arial"/>
          <w:sz w:val="16"/>
          <w:szCs w:val="16"/>
          <w:color w:val="auto"/>
        </w:rPr>
      </w:pPr>
      <w:r>
        <w:rPr>
          <w:rFonts w:ascii="Arial" w:cs="Arial" w:eastAsia="Arial" w:hAnsi="Arial"/>
          <w:sz w:val="16"/>
          <w:szCs w:val="16"/>
          <w:color w:val="auto"/>
        </w:rPr>
        <w:t>Any contingency transferred by the acquirer must be recognized at its fair value at the acquisition date. The contingency classified as a financial instrument and within the scope of IFRS 9: "Financial Instruments" is measured at fair value with changes recognized in the consolidated statement of profit or loss. If the contingency does not fall within the scope of IFRS 9, it is measured in accordance with the applicable IFRS. A contingency classified as equity shall not be remeasured, and its subsequent settlement is accounted for within equity.</w:t>
      </w:r>
    </w:p>
    <w:p>
      <w:pPr>
        <w:spacing w:after="0" w:line="144" w:lineRule="exact"/>
        <w:rPr>
          <w:rFonts w:ascii="Arial" w:cs="Arial" w:eastAsia="Arial" w:hAnsi="Arial"/>
          <w:sz w:val="16"/>
          <w:szCs w:val="16"/>
          <w:color w:val="auto"/>
        </w:rPr>
      </w:pPr>
    </w:p>
    <w:p>
      <w:pPr>
        <w:ind w:left="284" w:right="260"/>
        <w:spacing w:after="0" w:line="255" w:lineRule="auto"/>
        <w:rPr>
          <w:rFonts w:ascii="Arial" w:cs="Arial" w:eastAsia="Arial" w:hAnsi="Arial"/>
          <w:sz w:val="16"/>
          <w:szCs w:val="16"/>
          <w:color w:val="auto"/>
        </w:rPr>
      </w:pPr>
      <w:r>
        <w:rPr>
          <w:rFonts w:ascii="Arial" w:cs="Arial" w:eastAsia="Arial" w:hAnsi="Arial"/>
          <w:sz w:val="16"/>
          <w:szCs w:val="16"/>
          <w:color w:val="auto"/>
        </w:rPr>
        <w:t>The acquisition of additional non-controlling interest is recognized directly in equity; the difference between the amount paid and the net assets acquired is recognized as an equity transaction. Therefore, the Group does not recognize any additional goodwill after acquiring the non-controlling interest, nor does it recognize a gain or loss on the sale of the non-controlling interest.</w:t>
      </w:r>
    </w:p>
    <w:p>
      <w:pPr>
        <w:spacing w:after="0" w:line="137" w:lineRule="exact"/>
        <w:rPr>
          <w:rFonts w:ascii="Arial" w:cs="Arial" w:eastAsia="Arial" w:hAnsi="Arial"/>
          <w:sz w:val="16"/>
          <w:szCs w:val="16"/>
          <w:color w:val="auto"/>
        </w:rPr>
      </w:pPr>
    </w:p>
    <w:p>
      <w:pPr>
        <w:ind w:left="284" w:right="220"/>
        <w:spacing w:after="0" w:line="248" w:lineRule="auto"/>
        <w:rPr>
          <w:rFonts w:ascii="Arial" w:cs="Arial" w:eastAsia="Arial" w:hAnsi="Arial"/>
          <w:sz w:val="16"/>
          <w:szCs w:val="16"/>
          <w:color w:val="auto"/>
        </w:rPr>
      </w:pPr>
      <w:r>
        <w:rPr>
          <w:rFonts w:ascii="Arial" w:cs="Arial" w:eastAsia="Arial" w:hAnsi="Arial"/>
          <w:sz w:val="16"/>
          <w:szCs w:val="16"/>
          <w:color w:val="auto"/>
        </w:rPr>
        <w:t>If there is a contractual obligation to acquire the shares of the non-controlling interest through a put option, the Group will initially recognize a liability at fair value through profit or loss equivalent to the fair value of the non-controlling interest against the "Reserves and others" account in equity. After initial recognition, the liability is measured at fair value, recording changes in the statement of profit or loss until the option is exercised. If the option expires without being exercised, the liability is derecognized, adjusting equity.</w:t>
      </w:r>
    </w:p>
    <w:p>
      <w:pPr>
        <w:spacing w:after="0" w:line="301" w:lineRule="exact"/>
        <w:rPr>
          <w:rFonts w:ascii="Arial" w:cs="Arial" w:eastAsia="Arial" w:hAnsi="Arial"/>
          <w:sz w:val="16"/>
          <w:szCs w:val="16"/>
          <w:color w:val="auto"/>
        </w:rPr>
      </w:pPr>
    </w:p>
    <w:p>
      <w:pPr>
        <w:ind w:left="4964" w:hanging="104"/>
        <w:spacing w:after="0"/>
        <w:tabs>
          <w:tab w:leader="none" w:pos="4964" w:val="left"/>
        </w:tabs>
        <w:numPr>
          <w:ilvl w:val="1"/>
          <w:numId w:val="52"/>
        </w:numPr>
        <w:rPr>
          <w:rFonts w:ascii="Arial" w:cs="Arial" w:eastAsia="Arial" w:hAnsi="Arial"/>
          <w:sz w:val="16"/>
          <w:szCs w:val="16"/>
          <w:color w:val="auto"/>
        </w:rPr>
      </w:pPr>
      <w:r>
        <w:rPr>
          <w:rFonts w:ascii="Arial" w:cs="Arial" w:eastAsia="Arial" w:hAnsi="Arial"/>
          <w:sz w:val="16"/>
          <w:szCs w:val="16"/>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52" w:name="page53"/>
    <w:bookmarkEnd w:id="52"/>
    <w:p>
      <w:pPr>
        <w:ind w:left="284" w:right="40"/>
        <w:spacing w:after="0" w:line="255" w:lineRule="auto"/>
        <w:rPr>
          <w:sz w:val="20"/>
          <w:szCs w:val="20"/>
          <w:color w:val="auto"/>
        </w:rPr>
      </w:pPr>
      <w:r>
        <w:rPr>
          <w:rFonts w:ascii="Arial" w:cs="Arial" w:eastAsia="Arial" w:hAnsi="Arial"/>
          <w:sz w:val="16"/>
          <w:szCs w:val="16"/>
          <w:color w:val="auto"/>
        </w:rPr>
        <w:t>The equity attributable to the non-controlling interest is presented separately in the consolidated statement of financial position. Profit attributable to the non-controlling interest is presented separately in the consolidated statement of profit or loss and in the consolidated statement of comprehensive income.</w:t>
      </w:r>
    </w:p>
    <w:p>
      <w:pPr>
        <w:spacing w:after="0" w:line="137" w:lineRule="exact"/>
        <w:rPr>
          <w:sz w:val="20"/>
          <w:szCs w:val="20"/>
          <w:color w:val="auto"/>
        </w:rPr>
      </w:pPr>
    </w:p>
    <w:p>
      <w:pPr>
        <w:ind w:left="284" w:right="60"/>
        <w:spacing w:after="0" w:line="255" w:lineRule="auto"/>
        <w:rPr>
          <w:sz w:val="20"/>
          <w:szCs w:val="20"/>
          <w:color w:val="auto"/>
        </w:rPr>
      </w:pPr>
      <w:r>
        <w:rPr>
          <w:rFonts w:ascii="Arial" w:cs="Arial" w:eastAsia="Arial" w:hAnsi="Arial"/>
          <w:sz w:val="16"/>
          <w:szCs w:val="16"/>
          <w:color w:val="auto"/>
        </w:rPr>
        <w:t>If a business combination is achieved in stages, the carrying amount of the previous participation held in the acquiree is remeasured at fair value at the date of acquisition, with the resulting gains or loss recognized in profit or loss. Likewise, in accordance with IFRS 3, from the acquisition date of a company not under common control, the acquirer has a period of 12 months to make adjustments to the initial recognition of goodwill.</w:t>
      </w:r>
    </w:p>
    <w:p>
      <w:pPr>
        <w:spacing w:after="0" w:line="137" w:lineRule="exact"/>
        <w:rPr>
          <w:sz w:val="20"/>
          <w:szCs w:val="20"/>
          <w:color w:val="auto"/>
        </w:rPr>
      </w:pPr>
    </w:p>
    <w:p>
      <w:pPr>
        <w:ind w:left="284"/>
        <w:spacing w:after="0"/>
        <w:rPr>
          <w:sz w:val="20"/>
          <w:szCs w:val="20"/>
          <w:color w:val="auto"/>
        </w:rPr>
      </w:pPr>
      <w:r>
        <w:rPr>
          <w:rFonts w:ascii="Arial" w:cs="Arial" w:eastAsia="Arial" w:hAnsi="Arial"/>
          <w:sz w:val="16"/>
          <w:szCs w:val="16"/>
          <w:color w:val="auto"/>
        </w:rPr>
        <w:t>Combinations of Entities under Common Control</w:t>
      </w:r>
    </w:p>
    <w:p>
      <w:pPr>
        <w:spacing w:after="0" w:line="178" w:lineRule="exact"/>
        <w:rPr>
          <w:sz w:val="20"/>
          <w:szCs w:val="20"/>
          <w:color w:val="auto"/>
        </w:rPr>
      </w:pPr>
    </w:p>
    <w:p>
      <w:pPr>
        <w:ind w:left="284"/>
        <w:spacing w:after="0" w:line="248" w:lineRule="auto"/>
        <w:rPr>
          <w:sz w:val="20"/>
          <w:szCs w:val="20"/>
          <w:color w:val="auto"/>
        </w:rPr>
      </w:pPr>
      <w:r>
        <w:rPr>
          <w:rFonts w:ascii="Arial" w:cs="Arial" w:eastAsia="Arial" w:hAnsi="Arial"/>
          <w:sz w:val="16"/>
          <w:szCs w:val="16"/>
          <w:color w:val="auto"/>
        </w:rPr>
        <w:t>A business combination between entities or businesses under common control is outside the scope of IFRS 3, as it represents a business combination in which all entities or businesses being combined are ultimately controlled by the same party or parties, both before and after the business combination. In these transactions, the Group recognizes acquired assets under the pooling of interest method, whereby the assets and liabilities of the combined companies are reflected at their carrying values and no goodwill is recognized as a result of the combination.</w:t>
      </w:r>
    </w:p>
    <w:p>
      <w:pPr>
        <w:spacing w:after="0" w:line="14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consolidated financial statements of the Group have been presented considering the aforementioned.</w:t>
      </w:r>
    </w:p>
    <w:p>
      <w:pPr>
        <w:spacing w:after="0" w:line="178" w:lineRule="exact"/>
        <w:rPr>
          <w:sz w:val="20"/>
          <w:szCs w:val="20"/>
          <w:color w:val="auto"/>
        </w:rPr>
      </w:pPr>
    </w:p>
    <w:p>
      <w:pPr>
        <w:ind w:left="284" w:hanging="284"/>
        <w:spacing w:after="0"/>
        <w:tabs>
          <w:tab w:leader="none" w:pos="2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202" w:lineRule="exact"/>
        <w:rPr>
          <w:rFonts w:ascii="Arial" w:cs="Arial" w:eastAsia="Arial" w:hAnsi="Arial"/>
          <w:sz w:val="16"/>
          <w:szCs w:val="16"/>
          <w:color w:val="auto"/>
        </w:rPr>
      </w:pPr>
    </w:p>
    <w:p>
      <w:pPr>
        <w:ind w:left="284" w:right="680"/>
        <w:spacing w:after="0" w:line="274" w:lineRule="auto"/>
        <w:rPr>
          <w:rFonts w:ascii="Arial" w:cs="Arial" w:eastAsia="Arial" w:hAnsi="Arial"/>
          <w:sz w:val="16"/>
          <w:szCs w:val="16"/>
          <w:color w:val="auto"/>
        </w:rPr>
      </w:pPr>
      <w:r>
        <w:rPr>
          <w:rFonts w:ascii="Arial" w:cs="Arial" w:eastAsia="Arial" w:hAnsi="Arial"/>
          <w:sz w:val="16"/>
          <w:szCs w:val="16"/>
          <w:color w:val="auto"/>
        </w:rPr>
        <w:t>Comprise internally developed and acquired software licenses used by the Group. Acquired software licenses are measured upon initial recognition at cost and are amortized using the straight-line method over their estimated useful life.</w:t>
      </w:r>
    </w:p>
    <w:p>
      <w:pPr>
        <w:spacing w:after="0" w:line="122" w:lineRule="exact"/>
        <w:rPr>
          <w:rFonts w:ascii="Arial" w:cs="Arial" w:eastAsia="Arial" w:hAnsi="Arial"/>
          <w:sz w:val="16"/>
          <w:szCs w:val="16"/>
          <w:color w:val="auto"/>
        </w:rPr>
      </w:pPr>
    </w:p>
    <w:p>
      <w:pPr>
        <w:ind w:left="284" w:right="440"/>
        <w:spacing w:after="0" w:line="274" w:lineRule="auto"/>
        <w:rPr>
          <w:rFonts w:ascii="Arial" w:cs="Arial" w:eastAsia="Arial" w:hAnsi="Arial"/>
          <w:sz w:val="16"/>
          <w:szCs w:val="16"/>
          <w:color w:val="auto"/>
        </w:rPr>
      </w:pPr>
      <w:r>
        <w:rPr>
          <w:rFonts w:ascii="Arial" w:cs="Arial" w:eastAsia="Arial" w:hAnsi="Arial"/>
          <w:sz w:val="16"/>
          <w:szCs w:val="16"/>
          <w:color w:val="auto"/>
        </w:rPr>
        <w:t>Intangible assets resulting from business combinations are recognized in the consolidated statement of financial position at their fair values determined on the acquisition date and are amortized using the straight line method over their estimated useful life as follows:</w:t>
      </w:r>
    </w:p>
    <w:p>
      <w:pPr>
        <w:spacing w:after="0" w:line="120" w:lineRule="exact"/>
        <w:rPr>
          <w:sz w:val="20"/>
          <w:szCs w:val="20"/>
          <w:color w:val="auto"/>
        </w:rPr>
      </w:pPr>
    </w:p>
    <w:tbl>
      <w:tblPr>
        <w:tblLayout w:type="fixed"/>
        <w:tblInd w:w="344"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auto"/>
              </w:rPr>
              <w:t>Estimated useful</w:t>
            </w:r>
          </w:p>
        </w:tc>
      </w:tr>
      <w:tr>
        <w:trPr>
          <w:trHeight w:val="198"/>
        </w:trPr>
        <w:tc>
          <w:tcPr>
            <w:tcW w:w="7020" w:type="dxa"/>
            <w:vAlign w:val="bottom"/>
          </w:tcPr>
          <w:p>
            <w:pPr>
              <w:spacing w:after="0"/>
              <w:rPr>
                <w:sz w:val="17"/>
                <w:szCs w:val="17"/>
                <w:color w:val="auto"/>
              </w:rPr>
            </w:pPr>
          </w:p>
        </w:tc>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life in years</w:t>
            </w:r>
          </w:p>
        </w:tc>
      </w:tr>
      <w:tr>
        <w:trPr>
          <w:trHeight w:val="337"/>
        </w:trPr>
        <w:tc>
          <w:tcPr>
            <w:tcW w:w="7020" w:type="dxa"/>
            <w:vAlign w:val="bottom"/>
          </w:tcPr>
          <w:p>
            <w:pPr>
              <w:spacing w:after="0"/>
              <w:rPr>
                <w:sz w:val="20"/>
                <w:szCs w:val="20"/>
                <w:color w:val="auto"/>
              </w:rPr>
            </w:pPr>
            <w:r>
              <w:rPr>
                <w:rFonts w:ascii="Arial" w:cs="Arial" w:eastAsia="Arial" w:hAnsi="Arial"/>
                <w:sz w:val="16"/>
                <w:szCs w:val="16"/>
                <w:color w:val="auto"/>
              </w:rPr>
              <w:t>Client relationship - Prima AFP (AFP Unión Vida)</w:t>
            </w:r>
          </w:p>
        </w:tc>
        <w:tc>
          <w:tcPr>
            <w:tcW w:w="25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Client relationship – Credicorp Capital Holding Chile (Inversiones IMT)</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22.0</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Client relationship - Ultraserfinco</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9.2</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Client relationship – Pacífico EPS and Medical Services</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10.0</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Brand - Mibanco</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25.0</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Brand - Joinnus</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20.0</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Brand - Culqi</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5.0</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Brand - Pacífico EPS and Medical Services</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Indefinite</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Fund manager contract - Credicorp Capital Colombia</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20.0 and 28.0</w:t>
            </w:r>
          </w:p>
        </w:tc>
      </w:tr>
      <w:tr>
        <w:trPr>
          <w:trHeight w:val="181"/>
        </w:trPr>
        <w:tc>
          <w:tcPr>
            <w:tcW w:w="7020" w:type="dxa"/>
            <w:vAlign w:val="bottom"/>
          </w:tcPr>
          <w:p>
            <w:pPr>
              <w:spacing w:after="0" w:line="181" w:lineRule="exact"/>
              <w:rPr>
                <w:sz w:val="20"/>
                <w:szCs w:val="20"/>
                <w:color w:val="auto"/>
              </w:rPr>
            </w:pPr>
            <w:r>
              <w:rPr>
                <w:rFonts w:ascii="Arial" w:cs="Arial" w:eastAsia="Arial" w:hAnsi="Arial"/>
                <w:sz w:val="16"/>
                <w:szCs w:val="16"/>
                <w:color w:val="auto"/>
              </w:rPr>
              <w:t>Fund manager contract - Credicorp Capital Holding Chile (Inversiones IMT)</w:t>
            </w:r>
          </w:p>
        </w:tc>
        <w:tc>
          <w:tcPr>
            <w:tcW w:w="2500" w:type="dxa"/>
            <w:vAlign w:val="bottom"/>
          </w:tcPr>
          <w:p>
            <w:pPr>
              <w:jc w:val="right"/>
              <w:spacing w:after="0" w:line="181" w:lineRule="exact"/>
              <w:rPr>
                <w:sz w:val="20"/>
                <w:szCs w:val="20"/>
                <w:color w:val="auto"/>
              </w:rPr>
            </w:pPr>
            <w:r>
              <w:rPr>
                <w:rFonts w:ascii="Arial" w:cs="Arial" w:eastAsia="Arial" w:hAnsi="Arial"/>
                <w:sz w:val="16"/>
                <w:szCs w:val="16"/>
                <w:color w:val="auto"/>
              </w:rPr>
              <w:t>11.0 and 24.0</w:t>
            </w:r>
          </w:p>
        </w:tc>
      </w:tr>
      <w:tr>
        <w:trPr>
          <w:trHeight w:val="214"/>
        </w:trPr>
        <w:tc>
          <w:tcPr>
            <w:tcW w:w="7020" w:type="dxa"/>
            <w:vAlign w:val="bottom"/>
          </w:tcPr>
          <w:p>
            <w:pPr>
              <w:spacing w:after="0"/>
              <w:rPr>
                <w:sz w:val="20"/>
                <w:szCs w:val="20"/>
                <w:color w:val="auto"/>
              </w:rPr>
            </w:pPr>
            <w:r>
              <w:rPr>
                <w:rFonts w:ascii="Arial" w:cs="Arial" w:eastAsia="Arial" w:hAnsi="Arial"/>
                <w:sz w:val="16"/>
                <w:szCs w:val="16"/>
                <w:color w:val="auto"/>
              </w:rPr>
              <w:t>Fund manager contract - Ultraserfinco</w:t>
            </w:r>
          </w:p>
        </w:tc>
        <w:tc>
          <w:tcPr>
            <w:tcW w:w="2500" w:type="dxa"/>
            <w:vAlign w:val="bottom"/>
          </w:tcPr>
          <w:p>
            <w:pPr>
              <w:jc w:val="right"/>
              <w:spacing w:after="0"/>
              <w:rPr>
                <w:sz w:val="20"/>
                <w:szCs w:val="20"/>
                <w:color w:val="auto"/>
              </w:rPr>
            </w:pPr>
            <w:r>
              <w:rPr>
                <w:rFonts w:ascii="Arial" w:cs="Arial" w:eastAsia="Arial" w:hAnsi="Arial"/>
                <w:sz w:val="16"/>
                <w:szCs w:val="16"/>
                <w:color w:val="auto"/>
              </w:rPr>
              <w:t>23.0</w:t>
            </w:r>
          </w:p>
        </w:tc>
      </w:tr>
    </w:tbl>
    <w:p>
      <w:pPr>
        <w:spacing w:after="0" w:line="160" w:lineRule="exact"/>
        <w:rPr>
          <w:sz w:val="20"/>
          <w:szCs w:val="20"/>
          <w:color w:val="auto"/>
        </w:rPr>
      </w:pPr>
    </w:p>
    <w:p>
      <w:pPr>
        <w:ind w:left="284" w:right="340"/>
        <w:spacing w:after="0" w:line="255" w:lineRule="auto"/>
        <w:rPr>
          <w:sz w:val="20"/>
          <w:szCs w:val="20"/>
          <w:color w:val="auto"/>
        </w:rPr>
      </w:pPr>
      <w:r>
        <w:rPr>
          <w:rFonts w:ascii="Arial" w:cs="Arial" w:eastAsia="Arial" w:hAnsi="Arial"/>
          <w:sz w:val="16"/>
          <w:szCs w:val="16"/>
          <w:color w:val="auto"/>
        </w:rPr>
        <w:t>The period and the amortization method, for intangible assets are reviewed at the end of each period. If the expected useful life differs from previous estimates, the amortization period will be changed accordingly. If there has been a change in the expected pattern of conduct of the future economic benefits embodied in the asset, the amortization method shall be amended to reflect these changes.</w:t>
      </w:r>
    </w:p>
    <w:p>
      <w:pPr>
        <w:spacing w:after="0" w:line="294" w:lineRule="exact"/>
        <w:rPr>
          <w:sz w:val="20"/>
          <w:szCs w:val="20"/>
          <w:color w:val="auto"/>
        </w:rPr>
      </w:pPr>
    </w:p>
    <w:p>
      <w:pPr>
        <w:jc w:val="center"/>
        <w:ind w:right="496"/>
        <w:spacing w:after="0"/>
        <w:rPr>
          <w:sz w:val="20"/>
          <w:szCs w:val="20"/>
          <w:color w:val="auto"/>
        </w:rPr>
      </w:pPr>
      <w:r>
        <w:rPr>
          <w:rFonts w:ascii="Arial" w:cs="Arial" w:eastAsia="Arial" w:hAnsi="Arial"/>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04"/>
          </w:cols>
          <w:pgMar w:left="896" w:top="316" w:right="399" w:bottom="1440" w:gutter="0" w:footer="0" w:header="0"/>
        </w:sectPr>
      </w:pPr>
    </w:p>
    <w:bookmarkStart w:id="53" w:name="page54"/>
    <w:bookmarkEnd w:id="53"/>
    <w:p>
      <w:pPr>
        <w:ind w:left="284" w:right="380"/>
        <w:spacing w:after="0" w:line="274" w:lineRule="auto"/>
        <w:rPr>
          <w:sz w:val="20"/>
          <w:szCs w:val="20"/>
          <w:color w:val="auto"/>
        </w:rPr>
      </w:pPr>
      <w:r>
        <w:rPr>
          <w:rFonts w:ascii="Arial" w:cs="Arial" w:eastAsia="Arial" w:hAnsi="Arial"/>
          <w:sz w:val="16"/>
          <w:szCs w:val="16"/>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23" w:lineRule="exact"/>
        <w:rPr>
          <w:sz w:val="20"/>
          <w:szCs w:val="20"/>
          <w:color w:val="auto"/>
        </w:rPr>
      </w:pPr>
    </w:p>
    <w:p>
      <w:pPr>
        <w:ind w:left="284" w:hanging="284"/>
        <w:spacing w:after="0"/>
        <w:tabs>
          <w:tab w:leader="none" w:pos="284" w:val="left"/>
        </w:tabs>
        <w:numPr>
          <w:ilvl w:val="0"/>
          <w:numId w:val="54"/>
        </w:numPr>
        <w:rPr>
          <w:rFonts w:ascii="Arial" w:cs="Arial" w:eastAsia="Arial" w:hAnsi="Arial"/>
          <w:sz w:val="16"/>
          <w:szCs w:val="16"/>
          <w:color w:val="auto"/>
        </w:rPr>
      </w:pPr>
      <w:r>
        <w:rPr>
          <w:rFonts w:ascii="Arial" w:cs="Arial" w:eastAsia="Arial" w:hAnsi="Arial"/>
          <w:sz w:val="16"/>
          <w:szCs w:val="16"/>
          <w:color w:val="auto"/>
        </w:rPr>
        <w:t>Goodwill –</w:t>
      </w:r>
    </w:p>
    <w:p>
      <w:pPr>
        <w:spacing w:after="0" w:line="202" w:lineRule="exact"/>
        <w:rPr>
          <w:rFonts w:ascii="Arial" w:cs="Arial" w:eastAsia="Arial" w:hAnsi="Arial"/>
          <w:sz w:val="16"/>
          <w:szCs w:val="16"/>
          <w:color w:val="auto"/>
        </w:rPr>
      </w:pPr>
    </w:p>
    <w:p>
      <w:pPr>
        <w:ind w:left="284" w:right="100"/>
        <w:spacing w:after="0" w:line="255" w:lineRule="auto"/>
        <w:rPr>
          <w:rFonts w:ascii="Arial" w:cs="Arial" w:eastAsia="Arial" w:hAnsi="Arial"/>
          <w:sz w:val="16"/>
          <w:szCs w:val="16"/>
          <w:color w:val="auto"/>
        </w:rPr>
      </w:pPr>
      <w:r>
        <w:rPr>
          <w:rFonts w:ascii="Arial" w:cs="Arial" w:eastAsia="Arial" w:hAnsi="Arial"/>
          <w:sz w:val="16"/>
          <w:szCs w:val="16"/>
          <w:color w:val="auto"/>
        </w:rPr>
        <w:t>Goodwill is the excess of the sum of the consideration transferred and the fair value recognized for the acquisition of the net assets acquired and liabilities assumed in a business combination. If the fair value of the net assets acquired exceeds the consideration transferred, the gain will be recognized in the consolidated statement of income.</w:t>
      </w:r>
    </w:p>
    <w:p>
      <w:pPr>
        <w:spacing w:after="0" w:line="137" w:lineRule="exact"/>
        <w:rPr>
          <w:rFonts w:ascii="Arial" w:cs="Arial" w:eastAsia="Arial" w:hAnsi="Arial"/>
          <w:sz w:val="16"/>
          <w:szCs w:val="16"/>
          <w:color w:val="auto"/>
        </w:rPr>
      </w:pPr>
    </w:p>
    <w:p>
      <w:pPr>
        <w:jc w:val="both"/>
        <w:ind w:left="284" w:right="20"/>
        <w:spacing w:after="0" w:line="255" w:lineRule="auto"/>
        <w:rPr>
          <w:rFonts w:ascii="Arial" w:cs="Arial" w:eastAsia="Arial" w:hAnsi="Arial"/>
          <w:sz w:val="16"/>
          <w:szCs w:val="16"/>
          <w:color w:val="auto"/>
        </w:rPr>
      </w:pPr>
      <w:r>
        <w:rPr>
          <w:rFonts w:ascii="Arial" w:cs="Arial" w:eastAsia="Arial" w:hAnsi="Arial"/>
          <w:sz w:val="16"/>
          <w:szCs w:val="16"/>
          <w:color w:val="auto"/>
        </w:rPr>
        <w:t>After initial recognition, goodwill is measured at cost less accumulated impairment losses. For impairment testing purposes, goodwill acquired in a business combination is, from the acquisition date, allocated to each cash-generating unit (CGU) of the Group that is expected to benefit from the business combination, regardless of whether other assets or liabilities of the acquired entity have been allocated to these units.</w:t>
      </w:r>
    </w:p>
    <w:p>
      <w:pPr>
        <w:spacing w:after="0" w:line="137" w:lineRule="exact"/>
        <w:rPr>
          <w:rFonts w:ascii="Arial" w:cs="Arial" w:eastAsia="Arial" w:hAnsi="Arial"/>
          <w:sz w:val="16"/>
          <w:szCs w:val="16"/>
          <w:color w:val="auto"/>
        </w:rPr>
      </w:pPr>
    </w:p>
    <w:p>
      <w:pPr>
        <w:jc w:val="both"/>
        <w:ind w:left="284" w:right="220"/>
        <w:spacing w:after="0" w:line="255" w:lineRule="auto"/>
        <w:rPr>
          <w:rFonts w:ascii="Arial" w:cs="Arial" w:eastAsia="Arial" w:hAnsi="Arial"/>
          <w:sz w:val="16"/>
          <w:szCs w:val="16"/>
          <w:color w:val="auto"/>
        </w:rPr>
      </w:pPr>
      <w:r>
        <w:rPr>
          <w:rFonts w:ascii="Arial" w:cs="Arial" w:eastAsia="Arial" w:hAnsi="Arial"/>
          <w:sz w:val="16"/>
          <w:szCs w:val="16"/>
          <w:color w:val="auto"/>
        </w:rPr>
        <w:t>If goodwill has been allocated to a cash-generating unit and part of the assets with which that unit operates is disposed of, the goodwill and the disposed assets are included in the transaction's carrying amount when determining the loss or disposal. Under these circumstances, disposed goodwill is measured based on the relative value of the disposed assets and the portion of the retained cash-generating unit.</w:t>
      </w:r>
    </w:p>
    <w:p>
      <w:pPr>
        <w:spacing w:after="0" w:line="137" w:lineRule="exact"/>
        <w:rPr>
          <w:rFonts w:ascii="Arial" w:cs="Arial" w:eastAsia="Arial" w:hAnsi="Arial"/>
          <w:sz w:val="16"/>
          <w:szCs w:val="16"/>
          <w:color w:val="auto"/>
        </w:rPr>
      </w:pPr>
    </w:p>
    <w:p>
      <w:pPr>
        <w:ind w:left="284" w:right="180"/>
        <w:spacing w:after="0" w:line="255" w:lineRule="auto"/>
        <w:rPr>
          <w:rFonts w:ascii="Arial" w:cs="Arial" w:eastAsia="Arial" w:hAnsi="Arial"/>
          <w:sz w:val="16"/>
          <w:szCs w:val="16"/>
          <w:color w:val="auto"/>
        </w:rPr>
      </w:pPr>
      <w:r>
        <w:rPr>
          <w:rFonts w:ascii="Arial" w:cs="Arial" w:eastAsia="Arial" w:hAnsi="Arial"/>
          <w:sz w:val="16"/>
          <w:szCs w:val="16"/>
          <w:color w:val="auto"/>
        </w:rPr>
        <w:t>The impairment of goodwill is determined by evaluating the recoverable amount for each CGU (or group of CGUs) to which the goodwill relates. When the recoverable amount of the CGU is less than the carrying amount, an impairment loss is recognized. Impairment losses related to goodwill cannot be reversed in future periods.</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54"/>
        </w:numPr>
        <w:rPr>
          <w:rFonts w:ascii="Arial" w:cs="Arial" w:eastAsia="Arial" w:hAnsi="Arial"/>
          <w:sz w:val="16"/>
          <w:szCs w:val="16"/>
          <w:color w:val="auto"/>
        </w:rPr>
      </w:pPr>
      <w:r>
        <w:rPr>
          <w:rFonts w:ascii="Arial" w:cs="Arial" w:eastAsia="Arial" w:hAnsi="Arial"/>
          <w:sz w:val="16"/>
          <w:szCs w:val="16"/>
          <w:color w:val="auto"/>
        </w:rPr>
        <w:t>Impairment of Non-Financial Assets –</w:t>
      </w:r>
    </w:p>
    <w:p>
      <w:pPr>
        <w:spacing w:after="0" w:line="202" w:lineRule="exact"/>
        <w:rPr>
          <w:rFonts w:ascii="Arial" w:cs="Arial" w:eastAsia="Arial" w:hAnsi="Arial"/>
          <w:sz w:val="16"/>
          <w:szCs w:val="16"/>
          <w:color w:val="auto"/>
        </w:rPr>
      </w:pPr>
    </w:p>
    <w:p>
      <w:pPr>
        <w:ind w:left="284" w:right="60"/>
        <w:spacing w:after="0" w:line="248" w:lineRule="auto"/>
        <w:rPr>
          <w:rFonts w:ascii="Arial" w:cs="Arial" w:eastAsia="Arial" w:hAnsi="Arial"/>
          <w:sz w:val="16"/>
          <w:szCs w:val="16"/>
          <w:color w:val="auto"/>
        </w:rPr>
      </w:pPr>
      <w:r>
        <w:rPr>
          <w:rFonts w:ascii="Arial" w:cs="Arial" w:eastAsia="Arial" w:hAnsi="Arial"/>
          <w:sz w:val="16"/>
          <w:szCs w:val="16"/>
          <w:color w:val="auto"/>
        </w:rPr>
        <w:t>The Group assesses, at each reporting date, whether there is any indication that an asset may be impaired in value. If there is any indication or when an annual impairment test of an asset is required, the Group estimates the recoverable amount of the asset. The recoverable amount of an asset is the higher of the asset or CGU's fair value less costs of disposal and its value in use and is determined for each asset individually, unless the asset generates cash flows that are largely independent of those of other assets or group of assets.</w:t>
      </w:r>
    </w:p>
    <w:p>
      <w:pPr>
        <w:spacing w:after="0" w:line="144" w:lineRule="exact"/>
        <w:rPr>
          <w:rFonts w:ascii="Arial" w:cs="Arial" w:eastAsia="Arial" w:hAnsi="Arial"/>
          <w:sz w:val="16"/>
          <w:szCs w:val="16"/>
          <w:color w:val="auto"/>
        </w:rPr>
      </w:pPr>
    </w:p>
    <w:p>
      <w:pPr>
        <w:ind w:left="284"/>
        <w:spacing w:after="0" w:line="243" w:lineRule="auto"/>
        <w:rPr>
          <w:rFonts w:ascii="Arial" w:cs="Arial" w:eastAsia="Arial" w:hAnsi="Arial"/>
          <w:sz w:val="16"/>
          <w:szCs w:val="16"/>
          <w:color w:val="auto"/>
        </w:rPr>
      </w:pPr>
      <w:r>
        <w:rPr>
          <w:rFonts w:ascii="Arial" w:cs="Arial" w:eastAsia="Arial" w:hAnsi="Arial"/>
          <w:sz w:val="16"/>
          <w:szCs w:val="16"/>
          <w:color w:val="auto"/>
        </w:rPr>
        <w:t>When the carrying amount of an asset or its CGU exceeds its recoverable amount, the asset or cash-generating unit is considered impaired and is reduced to its recoverable amount. When assessing the value in use, future cash flows are discounted to their present value using a pre-tax discount rate that reflects current market assessments of the time value of money and the specific risks of the asset. For the determination of fair value less costs of disposal, recent market transactions, if any, are taken into account. If such transactions cannot be identified, a valuation model that is appropriate is used. These calculations are verified against valuation multiples, stock quotes for subsidiaries listed on the stock exchange, and other available indicators of fair value.</w:t>
      </w:r>
    </w:p>
    <w:p>
      <w:pPr>
        <w:spacing w:after="0" w:line="148" w:lineRule="exact"/>
        <w:rPr>
          <w:rFonts w:ascii="Arial" w:cs="Arial" w:eastAsia="Arial" w:hAnsi="Arial"/>
          <w:sz w:val="16"/>
          <w:szCs w:val="16"/>
          <w:color w:val="auto"/>
        </w:rPr>
      </w:pPr>
    </w:p>
    <w:p>
      <w:pPr>
        <w:ind w:left="284" w:right="420"/>
        <w:spacing w:after="0" w:line="248" w:lineRule="auto"/>
        <w:rPr>
          <w:rFonts w:ascii="Arial" w:cs="Arial" w:eastAsia="Arial" w:hAnsi="Arial"/>
          <w:sz w:val="16"/>
          <w:szCs w:val="16"/>
          <w:color w:val="auto"/>
        </w:rPr>
      </w:pPr>
      <w:r>
        <w:rPr>
          <w:rFonts w:ascii="Arial" w:cs="Arial" w:eastAsia="Arial" w:hAnsi="Arial"/>
          <w:sz w:val="16"/>
          <w:szCs w:val="16"/>
          <w:color w:val="auto"/>
        </w:rPr>
        <w:t>For non-financial assets, excluding goodwill, an assessment is made at each reporting date of whether there are indications that previously recognized impairment losses may no longer exist or may have decreased. If such an indication exists, the Group estimates the recoverable amount. A previously recognized impairment loss is reversed only if there has been a change in the estimates used to determine the asset's recoverable amount since the last impairment loss was recognized.</w:t>
      </w:r>
    </w:p>
    <w:p>
      <w:pPr>
        <w:spacing w:after="0" w:line="144" w:lineRule="exact"/>
        <w:rPr>
          <w:rFonts w:ascii="Arial" w:cs="Arial" w:eastAsia="Arial" w:hAnsi="Arial"/>
          <w:sz w:val="16"/>
          <w:szCs w:val="16"/>
          <w:color w:val="auto"/>
        </w:rPr>
      </w:pPr>
    </w:p>
    <w:p>
      <w:pPr>
        <w:jc w:val="both"/>
        <w:ind w:left="284" w:right="340"/>
        <w:spacing w:after="0" w:line="255" w:lineRule="auto"/>
        <w:rPr>
          <w:rFonts w:ascii="Arial" w:cs="Arial" w:eastAsia="Arial" w:hAnsi="Arial"/>
          <w:sz w:val="16"/>
          <w:szCs w:val="16"/>
          <w:color w:val="auto"/>
        </w:rPr>
      </w:pPr>
      <w:r>
        <w:rPr>
          <w:rFonts w:ascii="Arial" w:cs="Arial" w:eastAsia="Arial" w:hAnsi="Arial"/>
          <w:sz w:val="16"/>
          <w:szCs w:val="16"/>
          <w:color w:val="auto"/>
        </w:rPr>
        <w:t>The reversal is limited so that the carrying amount of the asset does not exceed its recoverable amount, nor exceed the carrying amount that would have been determined net of depreciation, as if no impairment had been recognized in previous years. Such reversal is recorded in the consolidated statement of income.</w:t>
      </w:r>
    </w:p>
    <w:p>
      <w:pPr>
        <w:spacing w:after="0" w:line="294" w:lineRule="exact"/>
        <w:rPr>
          <w:rFonts w:ascii="Arial" w:cs="Arial" w:eastAsia="Arial" w:hAnsi="Arial"/>
          <w:sz w:val="16"/>
          <w:szCs w:val="16"/>
          <w:color w:val="auto"/>
        </w:rPr>
      </w:pPr>
    </w:p>
    <w:p>
      <w:pPr>
        <w:ind w:left="4964" w:hanging="104"/>
        <w:spacing w:after="0"/>
        <w:tabs>
          <w:tab w:leader="none" w:pos="4964" w:val="left"/>
        </w:tabs>
        <w:numPr>
          <w:ilvl w:val="1"/>
          <w:numId w:val="54"/>
        </w:numPr>
        <w:rPr>
          <w:rFonts w:ascii="Arial" w:cs="Arial" w:eastAsia="Arial" w:hAnsi="Arial"/>
          <w:sz w:val="16"/>
          <w:szCs w:val="16"/>
          <w:color w:val="auto"/>
        </w:rPr>
      </w:pPr>
      <w:r>
        <w:rPr>
          <w:rFonts w:ascii="Arial" w:cs="Arial" w:eastAsia="Arial" w:hAnsi="Arial"/>
          <w:sz w:val="16"/>
          <w:szCs w:val="16"/>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54" w:name="page55"/>
    <w:bookmarkEnd w:id="54"/>
    <w:p>
      <w:pPr>
        <w:ind w:left="284" w:hanging="284"/>
        <w:spacing w:after="0"/>
        <w:tabs>
          <w:tab w:leader="none" w:pos="2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Bank Acceptances –</w:t>
      </w:r>
    </w:p>
    <w:p>
      <w:pPr>
        <w:spacing w:after="0" w:line="202" w:lineRule="exact"/>
        <w:rPr>
          <w:rFonts w:ascii="Arial" w:cs="Arial" w:eastAsia="Arial" w:hAnsi="Arial"/>
          <w:sz w:val="16"/>
          <w:szCs w:val="16"/>
          <w:color w:val="auto"/>
        </w:rPr>
      </w:pPr>
    </w:p>
    <w:p>
      <w:pPr>
        <w:ind w:left="284" w:right="160"/>
        <w:spacing w:after="0" w:line="274" w:lineRule="auto"/>
        <w:rPr>
          <w:rFonts w:ascii="Arial" w:cs="Arial" w:eastAsia="Arial" w:hAnsi="Arial"/>
          <w:sz w:val="16"/>
          <w:szCs w:val="16"/>
          <w:color w:val="auto"/>
        </w:rPr>
      </w:pPr>
      <w:r>
        <w:rPr>
          <w:rFonts w:ascii="Arial" w:cs="Arial" w:eastAsia="Arial" w:hAnsi="Arial"/>
          <w:sz w:val="16"/>
          <w:szCs w:val="16"/>
          <w:color w:val="auto"/>
        </w:rPr>
        <w:t>Customer debt for acceptances corresponds to accounts payable by customers for import and export transactions, the obligations of which have been accepted by the Group. Obligations to be assumed by the Group are recorded as liabilities.</w:t>
      </w:r>
    </w:p>
    <w:p>
      <w:pPr>
        <w:spacing w:after="0" w:line="122" w:lineRule="exact"/>
        <w:rPr>
          <w:rFonts w:ascii="Arial" w:cs="Arial" w:eastAsia="Arial" w:hAnsi="Arial"/>
          <w:sz w:val="16"/>
          <w:szCs w:val="16"/>
          <w:color w:val="auto"/>
        </w:rPr>
      </w:pPr>
    </w:p>
    <w:p>
      <w:pPr>
        <w:ind w:left="284" w:hanging="284"/>
        <w:spacing w:after="0"/>
        <w:tabs>
          <w:tab w:leader="none" w:pos="2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Financial Guarantees -</w:t>
      </w:r>
    </w:p>
    <w:p>
      <w:pPr>
        <w:spacing w:after="0" w:line="202" w:lineRule="exact"/>
        <w:rPr>
          <w:rFonts w:ascii="Arial" w:cs="Arial" w:eastAsia="Arial" w:hAnsi="Arial"/>
          <w:sz w:val="16"/>
          <w:szCs w:val="16"/>
          <w:color w:val="auto"/>
        </w:rPr>
      </w:pPr>
    </w:p>
    <w:p>
      <w:pPr>
        <w:ind w:left="284" w:right="40"/>
        <w:spacing w:after="0" w:line="255" w:lineRule="auto"/>
        <w:rPr>
          <w:rFonts w:ascii="Arial" w:cs="Arial" w:eastAsia="Arial" w:hAnsi="Arial"/>
          <w:sz w:val="16"/>
          <w:szCs w:val="16"/>
          <w:color w:val="auto"/>
        </w:rPr>
      </w:pPr>
      <w:r>
        <w:rPr>
          <w:rFonts w:ascii="Arial" w:cs="Arial" w:eastAsia="Arial" w:hAnsi="Arial"/>
          <w:sz w:val="16"/>
          <w:szCs w:val="16"/>
          <w:color w:val="auto"/>
        </w:rPr>
        <w:t>In the ordinary course of the Group’s operations, financial guarantees are granted, such as letters of credit, guarantees, bank acceptances and documentary credits for import and export. These financial guarantees are initially recognized at fair value, corresponding to the amount of the fee received for issuing them.</w:t>
      </w:r>
    </w:p>
    <w:p>
      <w:pPr>
        <w:spacing w:after="0" w:line="137" w:lineRule="exact"/>
        <w:rPr>
          <w:rFonts w:ascii="Arial" w:cs="Arial" w:eastAsia="Arial" w:hAnsi="Arial"/>
          <w:sz w:val="16"/>
          <w:szCs w:val="16"/>
          <w:color w:val="auto"/>
        </w:rPr>
      </w:pPr>
    </w:p>
    <w:p>
      <w:pPr>
        <w:ind w:left="284" w:right="20"/>
        <w:spacing w:after="0" w:line="248" w:lineRule="auto"/>
        <w:rPr>
          <w:rFonts w:ascii="Arial" w:cs="Arial" w:eastAsia="Arial" w:hAnsi="Arial"/>
          <w:sz w:val="16"/>
          <w:szCs w:val="16"/>
          <w:color w:val="auto"/>
        </w:rPr>
      </w:pPr>
      <w:r>
        <w:rPr>
          <w:rFonts w:ascii="Arial" w:cs="Arial" w:eastAsia="Arial" w:hAnsi="Arial"/>
          <w:sz w:val="16"/>
          <w:szCs w:val="16"/>
          <w:color w:val="auto"/>
        </w:rPr>
        <w:t>The nominal amounts associated with financial guarantees, letters of credit, guarantees, bankers’ acceptances and documentary credits for import and export are considered off-balance-sheet exposures, as they do not represent a contractual asset or liability for the Group. Consequently, they are not recognized at their nominal amount in the consolidated statement of financial position; however, they are subject to recognition and measurement in accordance with the requirements of IFRS 9, specifically for expected credit losses and/or initial fair value.</w:t>
      </w:r>
    </w:p>
    <w:p>
      <w:pPr>
        <w:spacing w:after="0" w:line="144" w:lineRule="exact"/>
        <w:rPr>
          <w:rFonts w:ascii="Arial" w:cs="Arial" w:eastAsia="Arial" w:hAnsi="Arial"/>
          <w:sz w:val="16"/>
          <w:szCs w:val="16"/>
          <w:color w:val="auto"/>
        </w:rPr>
      </w:pPr>
    </w:p>
    <w:p>
      <w:pPr>
        <w:ind w:left="284" w:right="160"/>
        <w:spacing w:after="0" w:line="274" w:lineRule="auto"/>
        <w:rPr>
          <w:rFonts w:ascii="Arial" w:cs="Arial" w:eastAsia="Arial" w:hAnsi="Arial"/>
          <w:sz w:val="16"/>
          <w:szCs w:val="16"/>
          <w:color w:val="auto"/>
        </w:rPr>
      </w:pPr>
      <w:r>
        <w:rPr>
          <w:rFonts w:ascii="Arial" w:cs="Arial" w:eastAsia="Arial" w:hAnsi="Arial"/>
          <w:sz w:val="16"/>
          <w:szCs w:val="16"/>
          <w:color w:val="auto"/>
        </w:rPr>
        <w:t>The premium received is recognized in the "Commissions and Fees" line item of the consolidated statement of income, based on its straight-line amortization over the term of the granted financial guarantee.</w:t>
      </w:r>
    </w:p>
    <w:p>
      <w:pPr>
        <w:spacing w:after="0" w:line="122" w:lineRule="exact"/>
        <w:rPr>
          <w:rFonts w:ascii="Arial" w:cs="Arial" w:eastAsia="Arial" w:hAnsi="Arial"/>
          <w:sz w:val="16"/>
          <w:szCs w:val="16"/>
          <w:color w:val="auto"/>
        </w:rPr>
      </w:pPr>
    </w:p>
    <w:p>
      <w:pPr>
        <w:ind w:left="284" w:hanging="284"/>
        <w:spacing w:after="0"/>
        <w:tabs>
          <w:tab w:leader="none" w:pos="2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Provisions –</w:t>
      </w:r>
    </w:p>
    <w:p>
      <w:pPr>
        <w:spacing w:after="0" w:line="202" w:lineRule="exact"/>
        <w:rPr>
          <w:rFonts w:ascii="Arial" w:cs="Arial" w:eastAsia="Arial" w:hAnsi="Arial"/>
          <w:sz w:val="16"/>
          <w:szCs w:val="16"/>
          <w:color w:val="auto"/>
        </w:rPr>
      </w:pPr>
    </w:p>
    <w:p>
      <w:pPr>
        <w:ind w:left="284" w:right="120"/>
        <w:spacing w:after="0" w:line="274" w:lineRule="auto"/>
        <w:rPr>
          <w:rFonts w:ascii="Arial" w:cs="Arial" w:eastAsia="Arial" w:hAnsi="Arial"/>
          <w:sz w:val="16"/>
          <w:szCs w:val="16"/>
          <w:color w:val="auto"/>
        </w:rPr>
      </w:pPr>
      <w:r>
        <w:rPr>
          <w:rFonts w:ascii="Arial" w:cs="Arial" w:eastAsia="Arial" w:hAnsi="Arial"/>
          <w:sz w:val="16"/>
          <w:szCs w:val="16"/>
          <w:color w:val="auto"/>
        </w:rPr>
        <w:t>Provisions are recognized when the Group has a present obligation (legal or implicit) as a result of a past event, and it is probable that resources will be required to settle that obligation, and the amount can be reliably estimated.</w:t>
      </w:r>
    </w:p>
    <w:p>
      <w:pPr>
        <w:spacing w:after="0" w:line="122" w:lineRule="exact"/>
        <w:rPr>
          <w:rFonts w:ascii="Arial" w:cs="Arial" w:eastAsia="Arial" w:hAnsi="Arial"/>
          <w:sz w:val="16"/>
          <w:szCs w:val="16"/>
          <w:color w:val="auto"/>
        </w:rPr>
      </w:pPr>
    </w:p>
    <w:p>
      <w:pPr>
        <w:ind w:left="284" w:right="40"/>
        <w:spacing w:after="0" w:line="255" w:lineRule="auto"/>
        <w:rPr>
          <w:rFonts w:ascii="Arial" w:cs="Arial" w:eastAsia="Arial" w:hAnsi="Arial"/>
          <w:sz w:val="16"/>
          <w:szCs w:val="16"/>
          <w:color w:val="auto"/>
        </w:rPr>
      </w:pPr>
      <w:r>
        <w:rPr>
          <w:rFonts w:ascii="Arial" w:cs="Arial" w:eastAsia="Arial" w:hAnsi="Arial"/>
          <w:sz w:val="16"/>
          <w:szCs w:val="16"/>
          <w:color w:val="auto"/>
        </w:rPr>
        <w:t>The expense related to any provision is presented in the consolidated statement of income net of any reimbursement. If the effect of the time value of money is material, the provision is discounted using a current pre-tax rate that reflects, where appropriate, the specific risks of the liability. When discounting is used, the increase in the provision over time is recognized as a financial cost.</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Contingencies –</w:t>
      </w:r>
    </w:p>
    <w:p>
      <w:pPr>
        <w:spacing w:after="0" w:line="202" w:lineRule="exact"/>
        <w:rPr>
          <w:rFonts w:ascii="Arial" w:cs="Arial" w:eastAsia="Arial" w:hAnsi="Arial"/>
          <w:sz w:val="16"/>
          <w:szCs w:val="16"/>
          <w:color w:val="auto"/>
        </w:rPr>
      </w:pPr>
    </w:p>
    <w:p>
      <w:pPr>
        <w:ind w:left="284" w:right="100"/>
        <w:spacing w:after="0" w:line="274" w:lineRule="auto"/>
        <w:rPr>
          <w:rFonts w:ascii="Arial" w:cs="Arial" w:eastAsia="Arial" w:hAnsi="Arial"/>
          <w:sz w:val="16"/>
          <w:szCs w:val="16"/>
          <w:color w:val="auto"/>
        </w:rPr>
      </w:pPr>
      <w:r>
        <w:rPr>
          <w:rFonts w:ascii="Arial" w:cs="Arial" w:eastAsia="Arial" w:hAnsi="Arial"/>
          <w:sz w:val="16"/>
          <w:szCs w:val="16"/>
          <w:color w:val="auto"/>
        </w:rPr>
        <w:t>Contingent liabilities are not recognized in the consolidated financial statements. These are disclosed in notes unless the likelihood of a payout is remote.</w:t>
      </w:r>
    </w:p>
    <w:p>
      <w:pPr>
        <w:spacing w:after="0" w:line="122" w:lineRule="exact"/>
        <w:rPr>
          <w:rFonts w:ascii="Arial" w:cs="Arial" w:eastAsia="Arial" w:hAnsi="Arial"/>
          <w:sz w:val="16"/>
          <w:szCs w:val="16"/>
          <w:color w:val="auto"/>
        </w:rPr>
      </w:pPr>
    </w:p>
    <w:p>
      <w:pPr>
        <w:ind w:left="284" w:right="160"/>
        <w:spacing w:after="0" w:line="274" w:lineRule="auto"/>
        <w:rPr>
          <w:rFonts w:ascii="Arial" w:cs="Arial" w:eastAsia="Arial" w:hAnsi="Arial"/>
          <w:sz w:val="16"/>
          <w:szCs w:val="16"/>
          <w:color w:val="auto"/>
        </w:rPr>
      </w:pPr>
      <w:r>
        <w:rPr>
          <w:rFonts w:ascii="Arial" w:cs="Arial" w:eastAsia="Arial" w:hAnsi="Arial"/>
          <w:sz w:val="16"/>
          <w:szCs w:val="16"/>
          <w:color w:val="auto"/>
        </w:rPr>
        <w:t>Contingent assets are not recorded in the financial statements; however, these are disclosed in the notes when an inflow of economic benefits is considered probable.</w:t>
      </w:r>
    </w:p>
    <w:p>
      <w:pPr>
        <w:spacing w:after="0" w:line="122" w:lineRule="exact"/>
        <w:rPr>
          <w:rFonts w:ascii="Arial" w:cs="Arial" w:eastAsia="Arial" w:hAnsi="Arial"/>
          <w:sz w:val="16"/>
          <w:szCs w:val="16"/>
          <w:color w:val="auto"/>
        </w:rPr>
      </w:pPr>
    </w:p>
    <w:p>
      <w:pPr>
        <w:ind w:left="284" w:hanging="284"/>
        <w:spacing w:after="0"/>
        <w:tabs>
          <w:tab w:leader="none" w:pos="2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Income Tax –</w:t>
      </w:r>
    </w:p>
    <w:p>
      <w:pPr>
        <w:spacing w:after="0" w:line="20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Income tax is calculated based on the individual financial statements of each Group entity.</w:t>
      </w:r>
    </w:p>
    <w:p>
      <w:pPr>
        <w:spacing w:after="0" w:line="177" w:lineRule="exact"/>
        <w:rPr>
          <w:rFonts w:ascii="Arial" w:cs="Arial" w:eastAsia="Arial" w:hAnsi="Arial"/>
          <w:sz w:val="16"/>
          <w:szCs w:val="16"/>
          <w:color w:val="auto"/>
        </w:rPr>
      </w:pPr>
    </w:p>
    <w:p>
      <w:pPr>
        <w:ind w:left="284"/>
        <w:spacing w:after="0" w:line="245" w:lineRule="auto"/>
        <w:rPr>
          <w:rFonts w:ascii="Arial" w:cs="Arial" w:eastAsia="Arial" w:hAnsi="Arial"/>
          <w:sz w:val="16"/>
          <w:szCs w:val="16"/>
          <w:color w:val="auto"/>
        </w:rPr>
      </w:pPr>
      <w:r>
        <w:rPr>
          <w:rFonts w:ascii="Arial" w:cs="Arial" w:eastAsia="Arial" w:hAnsi="Arial"/>
          <w:sz w:val="16"/>
          <w:szCs w:val="16"/>
          <w:color w:val="auto"/>
        </w:rPr>
        <w:t>Deferred income tax reflects the effects of temporary differences between the carrying amounts of assets and liabilities for accounting purposes and those determined for tax purposes. Deferred assets and liabilities are measured using the tax rates expected to apply to taxable income in the years in which these differences are expected to be recovered or settled. The measurement of deferred assets and liabilities reflects the tax consequences derived from how Credicorp and its Subsidiaries expect to recover or settle the value of their assets and liabilities at the date of the consolidated statement of financial position.</w:t>
      </w:r>
    </w:p>
    <w:p>
      <w:pPr>
        <w:spacing w:after="0" w:line="303" w:lineRule="exact"/>
        <w:rPr>
          <w:rFonts w:ascii="Arial" w:cs="Arial" w:eastAsia="Arial" w:hAnsi="Arial"/>
          <w:sz w:val="16"/>
          <w:szCs w:val="16"/>
          <w:color w:val="auto"/>
        </w:rPr>
      </w:pPr>
    </w:p>
    <w:p>
      <w:pPr>
        <w:ind w:left="4964" w:hanging="104"/>
        <w:spacing w:after="0"/>
        <w:tabs>
          <w:tab w:leader="none" w:pos="4964" w:val="left"/>
        </w:tabs>
        <w:numPr>
          <w:ilvl w:val="1"/>
          <w:numId w:val="55"/>
        </w:numPr>
        <w:rPr>
          <w:rFonts w:ascii="Arial" w:cs="Arial" w:eastAsia="Arial" w:hAnsi="Arial"/>
          <w:sz w:val="16"/>
          <w:szCs w:val="16"/>
          <w:color w:val="auto"/>
        </w:rPr>
      </w:pPr>
      <w:r>
        <w:rPr>
          <w:rFonts w:ascii="Arial" w:cs="Arial" w:eastAsia="Arial" w:hAnsi="Arial"/>
          <w:sz w:val="16"/>
          <w:szCs w:val="16"/>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292" w:right="319" w:bottom="1440" w:gutter="0" w:footer="0" w:header="0"/>
        </w:sectPr>
      </w:pPr>
    </w:p>
    <w:bookmarkStart w:id="55" w:name="page56"/>
    <w:bookmarkEnd w:id="55"/>
    <w:p>
      <w:pPr>
        <w:ind w:left="284" w:right="40"/>
        <w:spacing w:after="0" w:line="248" w:lineRule="auto"/>
        <w:rPr>
          <w:sz w:val="20"/>
          <w:szCs w:val="20"/>
          <w:color w:val="auto"/>
        </w:rPr>
      </w:pPr>
      <w:r>
        <w:rPr>
          <w:rFonts w:ascii="Arial" w:cs="Arial" w:eastAsia="Arial" w:hAnsi="Arial"/>
          <w:sz w:val="16"/>
          <w:szCs w:val="16"/>
          <w:color w:val="auto"/>
        </w:rPr>
        <w:t>The carrying amount of deferred tax assets and liabilities may change, even when the amount of temporary differences has not changed, due to a change in the income tax rate. The effect of the change in deferred tax, corresponding to the rate change, will be recognized in the consolidated statement of income for the period, except for items previously recognized outside the consolidated statement of income (either in other comprehensive income or directly in equity).</w:t>
      </w:r>
    </w:p>
    <w:p>
      <w:pPr>
        <w:spacing w:after="0" w:line="144" w:lineRule="exact"/>
        <w:rPr>
          <w:sz w:val="20"/>
          <w:szCs w:val="20"/>
          <w:color w:val="auto"/>
        </w:rPr>
      </w:pPr>
    </w:p>
    <w:p>
      <w:pPr>
        <w:ind w:left="284" w:right="180"/>
        <w:spacing w:after="0" w:line="248" w:lineRule="auto"/>
        <w:rPr>
          <w:sz w:val="20"/>
          <w:szCs w:val="20"/>
          <w:color w:val="auto"/>
        </w:rPr>
      </w:pPr>
      <w:r>
        <w:rPr>
          <w:rFonts w:ascii="Arial" w:cs="Arial" w:eastAsia="Arial" w:hAnsi="Arial"/>
          <w:sz w:val="16"/>
          <w:szCs w:val="16"/>
          <w:color w:val="auto"/>
        </w:rPr>
        <w:t>Deferred tax assets and liabilities are recognized regardless of the time it is estimated that temporary differences are offset. Deferred assets are recognized when it is probable that there will be sufficient future taxable income for the temporary difference to be applied. At the date of the consolidated statement of financial position, Credicorp and its subsidiaries assess unrecognized deferred assets and the recoverability of recognized ones.</w:t>
      </w:r>
    </w:p>
    <w:p>
      <w:pPr>
        <w:spacing w:after="0" w:line="144" w:lineRule="exact"/>
        <w:rPr>
          <w:sz w:val="20"/>
          <w:szCs w:val="20"/>
          <w:color w:val="auto"/>
        </w:rPr>
      </w:pPr>
    </w:p>
    <w:p>
      <w:pPr>
        <w:ind w:left="284"/>
        <w:spacing w:after="0" w:line="274" w:lineRule="auto"/>
        <w:rPr>
          <w:sz w:val="20"/>
          <w:szCs w:val="20"/>
          <w:color w:val="auto"/>
        </w:rPr>
      </w:pPr>
      <w:r>
        <w:rPr>
          <w:rFonts w:ascii="Arial" w:cs="Arial" w:eastAsia="Arial" w:hAnsi="Arial"/>
          <w:sz w:val="16"/>
          <w:szCs w:val="16"/>
          <w:color w:val="auto"/>
        </w:rPr>
        <w:t>Credicorp and its subsidiaries determine their deferred tax based on the tax rate applicable to their undistributed profits, recognizing any additional tax for dividend distribution on the date the liability is recognized.</w:t>
      </w:r>
    </w:p>
    <w:p>
      <w:pPr>
        <w:spacing w:after="0" w:line="123" w:lineRule="exact"/>
        <w:rPr>
          <w:sz w:val="20"/>
          <w:szCs w:val="20"/>
          <w:color w:val="auto"/>
        </w:rPr>
      </w:pPr>
    </w:p>
    <w:p>
      <w:pPr>
        <w:ind w:left="284" w:right="80"/>
        <w:spacing w:after="0" w:line="274" w:lineRule="auto"/>
        <w:rPr>
          <w:sz w:val="20"/>
          <w:szCs w:val="20"/>
          <w:color w:val="auto"/>
        </w:rPr>
      </w:pPr>
      <w:r>
        <w:rPr>
          <w:rFonts w:ascii="Arial" w:cs="Arial" w:eastAsia="Arial" w:hAnsi="Arial"/>
          <w:sz w:val="16"/>
          <w:szCs w:val="16"/>
          <w:color w:val="auto"/>
        </w:rPr>
        <w:t>Deferred tax assets and liabilities are offset if there is a legal right to offset them and the deferred taxes are related to the same taxable entity and the same tax authority.</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Uncertain Tax Treatments:</w:t>
      </w:r>
    </w:p>
    <w:p>
      <w:pPr>
        <w:spacing w:after="0" w:line="178" w:lineRule="exact"/>
        <w:rPr>
          <w:sz w:val="20"/>
          <w:szCs w:val="20"/>
          <w:color w:val="auto"/>
        </w:rPr>
      </w:pPr>
    </w:p>
    <w:p>
      <w:pPr>
        <w:ind w:left="284" w:right="20"/>
        <w:spacing w:after="0" w:line="255" w:lineRule="auto"/>
        <w:rPr>
          <w:sz w:val="20"/>
          <w:szCs w:val="20"/>
          <w:color w:val="auto"/>
        </w:rPr>
      </w:pPr>
      <w:r>
        <w:rPr>
          <w:rFonts w:ascii="Arial" w:cs="Arial" w:eastAsia="Arial" w:hAnsi="Arial"/>
          <w:sz w:val="16"/>
          <w:szCs w:val="16"/>
          <w:color w:val="auto"/>
        </w:rPr>
        <w:t>The Group continually assesses the likelihood that tax authorities will accept the tax treatments applied to its operations. In accordance with IFRIC 23 “Uncertainty over Income Tax Treatments”, this assessment involves determining whether each uncertain tax treatment should be evaluated individually or in conjunction with other related tax positions, applying the approach that most reliably reflects the expected outcome.</w:t>
      </w:r>
    </w:p>
    <w:p>
      <w:pPr>
        <w:spacing w:after="0" w:line="137" w:lineRule="exact"/>
        <w:rPr>
          <w:sz w:val="20"/>
          <w:szCs w:val="20"/>
          <w:color w:val="auto"/>
        </w:rPr>
      </w:pPr>
    </w:p>
    <w:p>
      <w:pPr>
        <w:ind w:left="284" w:right="240"/>
        <w:spacing w:after="0" w:line="274" w:lineRule="auto"/>
        <w:rPr>
          <w:sz w:val="20"/>
          <w:szCs w:val="20"/>
          <w:color w:val="auto"/>
        </w:rPr>
      </w:pPr>
      <w:r>
        <w:rPr>
          <w:rFonts w:ascii="Arial" w:cs="Arial" w:eastAsia="Arial" w:hAnsi="Arial"/>
          <w:sz w:val="16"/>
          <w:szCs w:val="16"/>
          <w:color w:val="auto"/>
        </w:rPr>
        <w:t>Additionally, the Group periodically reviews these judgments, especially when new facts, rulings, or criteria from the tax authority arise that may affect the original assessment. Any change in such judgments is recognized prospectively in the results of the period.</w:t>
      </w:r>
    </w:p>
    <w:p>
      <w:pPr>
        <w:spacing w:after="0" w:line="123" w:lineRule="exact"/>
        <w:rPr>
          <w:sz w:val="20"/>
          <w:szCs w:val="20"/>
          <w:color w:val="auto"/>
        </w:rPr>
      </w:pPr>
    </w:p>
    <w:p>
      <w:pPr>
        <w:ind w:left="284" w:hanging="284"/>
        <w:spacing w:after="0"/>
        <w:tabs>
          <w:tab w:leader="none" w:pos="284"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Earnings for Share –</w:t>
      </w:r>
    </w:p>
    <w:p>
      <w:pPr>
        <w:spacing w:after="0" w:line="202" w:lineRule="exact"/>
        <w:rPr>
          <w:rFonts w:ascii="Arial" w:cs="Arial" w:eastAsia="Arial" w:hAnsi="Arial"/>
          <w:sz w:val="16"/>
          <w:szCs w:val="16"/>
          <w:color w:val="auto"/>
        </w:rPr>
      </w:pPr>
    </w:p>
    <w:p>
      <w:pPr>
        <w:ind w:left="284" w:right="280"/>
        <w:spacing w:after="0" w:line="274" w:lineRule="auto"/>
        <w:rPr>
          <w:rFonts w:ascii="Arial" w:cs="Arial" w:eastAsia="Arial" w:hAnsi="Arial"/>
          <w:sz w:val="16"/>
          <w:szCs w:val="16"/>
          <w:color w:val="auto"/>
        </w:rPr>
      </w:pPr>
      <w:r>
        <w:rPr>
          <w:rFonts w:ascii="Arial" w:cs="Arial" w:eastAsia="Arial" w:hAnsi="Arial"/>
          <w:sz w:val="16"/>
          <w:szCs w:val="16"/>
          <w:color w:val="auto"/>
        </w:rPr>
        <w:t>Basic earnings per share are calculated by dividing the net income for the year attributable to Credicorp shareholders by the weighted average number of common shares outstanding during the period, excluding common shares purchased and held as treasury shares.</w:t>
      </w:r>
    </w:p>
    <w:p>
      <w:pPr>
        <w:spacing w:after="0" w:line="122" w:lineRule="exact"/>
        <w:rPr>
          <w:rFonts w:ascii="Arial" w:cs="Arial" w:eastAsia="Arial" w:hAnsi="Arial"/>
          <w:sz w:val="16"/>
          <w:szCs w:val="16"/>
          <w:color w:val="auto"/>
        </w:rPr>
      </w:pPr>
    </w:p>
    <w:p>
      <w:pPr>
        <w:ind w:left="284" w:right="20"/>
        <w:spacing w:after="0" w:line="255" w:lineRule="auto"/>
        <w:rPr>
          <w:rFonts w:ascii="Arial" w:cs="Arial" w:eastAsia="Arial" w:hAnsi="Arial"/>
          <w:sz w:val="16"/>
          <w:szCs w:val="16"/>
          <w:color w:val="auto"/>
        </w:rPr>
      </w:pPr>
      <w:r>
        <w:rPr>
          <w:rFonts w:ascii="Arial" w:cs="Arial" w:eastAsia="Arial" w:hAnsi="Arial"/>
          <w:sz w:val="16"/>
          <w:szCs w:val="16"/>
          <w:color w:val="auto"/>
        </w:rPr>
        <w:t>Diluted earnings per share are calculated by dividing the net income for the year attributable to Credicorp shareholders by the weighted average of common shares outstanding during the period, excluding common shares purchased and held as treasury shares, plus the weighted average of common shares that would have been issued if all potential dilutive common shares had been converted into common shares.</w:t>
      </w:r>
    </w:p>
    <w:p>
      <w:pPr>
        <w:spacing w:after="0" w:line="137" w:lineRule="exact"/>
        <w:rPr>
          <w:rFonts w:ascii="Arial" w:cs="Arial" w:eastAsia="Arial" w:hAnsi="Arial"/>
          <w:sz w:val="16"/>
          <w:szCs w:val="16"/>
          <w:color w:val="auto"/>
        </w:rPr>
      </w:pPr>
    </w:p>
    <w:p>
      <w:pPr>
        <w:ind w:left="284" w:right="6400" w:hanging="284"/>
        <w:spacing w:after="0" w:line="487" w:lineRule="auto"/>
        <w:tabs>
          <w:tab w:leader="none" w:pos="284"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Derivative financial instruments and hedge accounting – Trading –</w:t>
      </w:r>
    </w:p>
    <w:p>
      <w:pPr>
        <w:spacing w:after="0" w:line="1" w:lineRule="exact"/>
        <w:rPr>
          <w:rFonts w:ascii="Arial" w:cs="Arial" w:eastAsia="Arial" w:hAnsi="Arial"/>
          <w:sz w:val="16"/>
          <w:szCs w:val="16"/>
          <w:color w:val="auto"/>
        </w:rPr>
      </w:pPr>
    </w:p>
    <w:p>
      <w:pPr>
        <w:ind w:left="284" w:right="460"/>
        <w:spacing w:after="0" w:line="274" w:lineRule="auto"/>
        <w:rPr>
          <w:rFonts w:ascii="Arial" w:cs="Arial" w:eastAsia="Arial" w:hAnsi="Arial"/>
          <w:sz w:val="16"/>
          <w:szCs w:val="16"/>
          <w:color w:val="auto"/>
        </w:rPr>
      </w:pPr>
      <w:r>
        <w:rPr>
          <w:rFonts w:ascii="Arial" w:cs="Arial" w:eastAsia="Arial" w:hAnsi="Arial"/>
          <w:sz w:val="16"/>
          <w:szCs w:val="16"/>
          <w:color w:val="auto"/>
        </w:rPr>
        <w:t>The Group trades derivative financial instruments to meet the needs of its clients. The Group may also take positions with the expectation of benefitting from favorable movements in prices, rates, or indices.</w:t>
      </w:r>
    </w:p>
    <w:p>
      <w:pPr>
        <w:spacing w:after="0" w:line="122" w:lineRule="exact"/>
        <w:rPr>
          <w:rFonts w:ascii="Arial" w:cs="Arial" w:eastAsia="Arial" w:hAnsi="Arial"/>
          <w:sz w:val="16"/>
          <w:szCs w:val="16"/>
          <w:color w:val="auto"/>
        </w:rPr>
      </w:pPr>
    </w:p>
    <w:p>
      <w:pPr>
        <w:ind w:left="284" w:right="100"/>
        <w:spacing w:after="0" w:line="274" w:lineRule="auto"/>
        <w:rPr>
          <w:rFonts w:ascii="Arial" w:cs="Arial" w:eastAsia="Arial" w:hAnsi="Arial"/>
          <w:sz w:val="16"/>
          <w:szCs w:val="16"/>
          <w:color w:val="auto"/>
        </w:rPr>
      </w:pPr>
      <w:r>
        <w:rPr>
          <w:rFonts w:ascii="Arial" w:cs="Arial" w:eastAsia="Arial" w:hAnsi="Arial"/>
          <w:sz w:val="16"/>
          <w:szCs w:val="16"/>
          <w:color w:val="auto"/>
        </w:rPr>
        <w:t>Part of the derivative transactions that provide effective economic hedges under the Group's risk management positions do not qualify as hedges under the specific rules of IFRS 9 and are therefore treated as derivatives for trading purposes.</w:t>
      </w:r>
    </w:p>
    <w:p>
      <w:pPr>
        <w:spacing w:after="0" w:line="279" w:lineRule="exact"/>
        <w:rPr>
          <w:rFonts w:ascii="Arial" w:cs="Arial" w:eastAsia="Arial" w:hAnsi="Arial"/>
          <w:sz w:val="16"/>
          <w:szCs w:val="16"/>
          <w:color w:val="auto"/>
        </w:rPr>
      </w:pPr>
    </w:p>
    <w:p>
      <w:pPr>
        <w:ind w:left="4964" w:hanging="104"/>
        <w:spacing w:after="0"/>
        <w:tabs>
          <w:tab w:leader="none" w:pos="4964" w:val="left"/>
        </w:tabs>
        <w:numPr>
          <w:ilvl w:val="1"/>
          <w:numId w:val="56"/>
        </w:numPr>
        <w:rPr>
          <w:rFonts w:ascii="Arial" w:cs="Arial" w:eastAsia="Arial" w:hAnsi="Arial"/>
          <w:sz w:val="16"/>
          <w:szCs w:val="16"/>
          <w:color w:val="auto"/>
        </w:rPr>
      </w:pPr>
      <w:r>
        <w:rPr>
          <w:rFonts w:ascii="Arial" w:cs="Arial" w:eastAsia="Arial" w:hAnsi="Arial"/>
          <w:sz w:val="16"/>
          <w:szCs w:val="16"/>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316" w:right="319" w:bottom="1440" w:gutter="0" w:footer="0" w:header="0"/>
        </w:sectPr>
      </w:pPr>
    </w:p>
    <w:bookmarkStart w:id="56" w:name="page57"/>
    <w:bookmarkEnd w:id="56"/>
    <w:p>
      <w:pPr>
        <w:ind w:right="20"/>
        <w:spacing w:after="0" w:line="248" w:lineRule="auto"/>
        <w:rPr>
          <w:sz w:val="20"/>
          <w:szCs w:val="20"/>
          <w:color w:val="auto"/>
        </w:rPr>
      </w:pPr>
      <w:r>
        <w:rPr>
          <w:rFonts w:ascii="Arial" w:cs="Arial" w:eastAsia="Arial" w:hAnsi="Arial"/>
          <w:sz w:val="16"/>
          <w:szCs w:val="16"/>
          <w:color w:val="auto"/>
        </w:rPr>
        <w:t>Derivative financial instruments are initially recognized in the consolidated statement of financial position at fair value and subsequently measured at fair value. Fair values are​ obtained based on market exchange rates and interest rates. All derivatives are considered assets when fair value is positive and liabilities when fair value is negative. Gains and losses from changes in fair value are recorded in the consolidated statement of income.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Hedging –</w:t>
      </w:r>
    </w:p>
    <w:p>
      <w:pPr>
        <w:spacing w:after="0" w:line="17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Group uses derivative instruments to manage its exposure to interest rates and foreign currency. In order to manage specific risks, the Group applies hedge accounting for transactions that meet the specific criteria for it.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According to IFRS 9, to qualify as hedging transactions, all the following conditions must be met:</w:t>
      </w:r>
    </w:p>
    <w:p>
      <w:pPr>
        <w:spacing w:after="0" w:line="178" w:lineRule="exact"/>
        <w:rPr>
          <w:sz w:val="20"/>
          <w:szCs w:val="20"/>
          <w:color w:val="auto"/>
        </w:rPr>
      </w:pPr>
    </w:p>
    <w:p>
      <w:pPr>
        <w:ind w:left="300" w:hanging="295"/>
        <w:spacing w:after="0"/>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hedging relationship consists only of hedging instruments and eligible hedged items.</w:t>
      </w:r>
    </w:p>
    <w:p>
      <w:pPr>
        <w:spacing w:after="0" w:line="202" w:lineRule="exact"/>
        <w:rPr>
          <w:rFonts w:ascii="Arial" w:cs="Arial" w:eastAsia="Arial" w:hAnsi="Arial"/>
          <w:sz w:val="16"/>
          <w:szCs w:val="16"/>
          <w:color w:val="auto"/>
        </w:rPr>
      </w:pPr>
    </w:p>
    <w:p>
      <w:pPr>
        <w:ind w:left="300" w:right="120" w:hanging="295"/>
        <w:spacing w:after="0" w:line="248" w:lineRule="auto"/>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the beginning of the hedging relationship, there is a formal designation and documentation of the hedging relationship and the entity's risk management objective and strategy to undertake the hedge. This documentation will include the identification of the hedging instrument, the hedged item, the nature of the risk being hedged, and how the entity will assess whether the hedging relationship meets the hedge effectiveness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hedging relationship meets all of the following hedge effectiveness requirements:</w:t>
      </w:r>
    </w:p>
    <w:p>
      <w:pPr>
        <w:spacing w:after="0" w:line="178" w:lineRule="exact"/>
        <w:rPr>
          <w:sz w:val="20"/>
          <w:szCs w:val="20"/>
          <w:color w:val="auto"/>
        </w:rPr>
      </w:pPr>
    </w:p>
    <w:p>
      <w:pPr>
        <w:ind w:left="300" w:hanging="295"/>
        <w:spacing w:after="0"/>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There is an economic relationship between the hedged item and the hedging instrument.</w:t>
      </w:r>
    </w:p>
    <w:p>
      <w:pPr>
        <w:spacing w:after="0" w:line="29" w:lineRule="exact"/>
        <w:rPr>
          <w:rFonts w:ascii="Arial" w:cs="Arial" w:eastAsia="Arial" w:hAnsi="Arial"/>
          <w:sz w:val="16"/>
          <w:szCs w:val="16"/>
          <w:color w:val="auto"/>
        </w:rPr>
      </w:pPr>
    </w:p>
    <w:p>
      <w:pPr>
        <w:ind w:left="300" w:hanging="295"/>
        <w:spacing w:after="0"/>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effect of credit risk does not dominate the value changes that come from this economic relationship.</w:t>
      </w:r>
    </w:p>
    <w:p>
      <w:pPr>
        <w:spacing w:after="0" w:line="21" w:lineRule="exact"/>
        <w:rPr>
          <w:rFonts w:ascii="Arial" w:cs="Arial" w:eastAsia="Arial" w:hAnsi="Arial"/>
          <w:sz w:val="16"/>
          <w:szCs w:val="16"/>
          <w:color w:val="auto"/>
        </w:rPr>
      </w:pPr>
    </w:p>
    <w:p>
      <w:pPr>
        <w:ind w:left="300" w:right="40" w:hanging="295"/>
        <w:spacing w:after="0" w:line="263"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hedge ratio of the hedging relationship is the same as that arising from the amount of the hedged item that the entity actually hedges and the amount of the hedging instrument that the entity actually uses to hedge that amount of the hedged item.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treatment is established according to the nature of the hedged item and the fulfillment of the hedging criteria.</w:t>
      </w:r>
    </w:p>
    <w:p>
      <w:pPr>
        <w:spacing w:after="0" w:line="178" w:lineRule="exact"/>
        <w:rPr>
          <w:sz w:val="20"/>
          <w:szCs w:val="20"/>
          <w:color w:val="auto"/>
        </w:rPr>
      </w:pPr>
    </w:p>
    <w:p>
      <w:pPr>
        <w:ind w:left="300" w:hanging="295"/>
        <w:spacing w:after="0"/>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Cash flow hedges –</w:t>
      </w:r>
    </w:p>
    <w:p>
      <w:pPr>
        <w:spacing w:after="0" w:line="202" w:lineRule="exact"/>
        <w:rPr>
          <w:rFonts w:ascii="Arial" w:cs="Arial" w:eastAsia="Arial" w:hAnsi="Arial"/>
          <w:sz w:val="16"/>
          <w:szCs w:val="16"/>
          <w:color w:val="auto"/>
        </w:rPr>
      </w:pPr>
    </w:p>
    <w:p>
      <w:pPr>
        <w:ind w:left="300"/>
        <w:spacing w:after="0" w:line="248" w:lineRule="auto"/>
        <w:rPr>
          <w:rFonts w:ascii="Arial" w:cs="Arial" w:eastAsia="Arial" w:hAnsi="Arial"/>
          <w:sz w:val="16"/>
          <w:szCs w:val="16"/>
          <w:color w:val="auto"/>
        </w:rPr>
      </w:pPr>
      <w:r>
        <w:rPr>
          <w:rFonts w:ascii="Arial" w:cs="Arial" w:eastAsia="Arial" w:hAnsi="Arial"/>
          <w:sz w:val="16"/>
          <w:szCs w:val="16"/>
          <w:color w:val="auto"/>
        </w:rPr>
        <w:t>The effective portion of the cumulative gain or loss on the hedging instrument is recognized directly in other comprehensive income in the "Cash flow hedge reserves" line of the consolidated statement of changes in equity, and is reclassified to the consolidated statement of income in the same period or periods in which the hedged transaction affects results; that is, when the income or financial expenses related to the hedge are recorded, or when an anticipated transaction occurs.</w:t>
      </w:r>
    </w:p>
    <w:p>
      <w:pPr>
        <w:spacing w:after="0" w:line="144" w:lineRule="exact"/>
        <w:rPr>
          <w:rFonts w:ascii="Arial" w:cs="Arial" w:eastAsia="Arial" w:hAnsi="Arial"/>
          <w:sz w:val="16"/>
          <w:szCs w:val="16"/>
          <w:color w:val="auto"/>
        </w:rPr>
      </w:pPr>
    </w:p>
    <w:p>
      <w:pPr>
        <w:ind w:left="300" w:right="240"/>
        <w:spacing w:after="0" w:line="274" w:lineRule="auto"/>
        <w:rPr>
          <w:rFonts w:ascii="Arial" w:cs="Arial" w:eastAsia="Arial" w:hAnsi="Arial"/>
          <w:sz w:val="16"/>
          <w:szCs w:val="16"/>
          <w:color w:val="auto"/>
        </w:rPr>
      </w:pPr>
      <w:r>
        <w:rPr>
          <w:rFonts w:ascii="Arial" w:cs="Arial" w:eastAsia="Arial" w:hAnsi="Arial"/>
          <w:sz w:val="16"/>
          <w:szCs w:val="16"/>
          <w:color w:val="auto"/>
        </w:rPr>
        <w:t>The part of the gain or loss on derivatives that represents the ineffective portion is recognized immediately in the consolidated statement of income.</w:t>
      </w:r>
    </w:p>
    <w:p>
      <w:pPr>
        <w:spacing w:after="0" w:line="122" w:lineRule="exact"/>
        <w:rPr>
          <w:rFonts w:ascii="Arial" w:cs="Arial" w:eastAsia="Arial" w:hAnsi="Arial"/>
          <w:sz w:val="16"/>
          <w:szCs w:val="16"/>
          <w:color w:val="auto"/>
        </w:rPr>
      </w:pPr>
    </w:p>
    <w:p>
      <w:pPr>
        <w:ind w:left="300" w:right="500"/>
        <w:spacing w:after="0" w:line="274" w:lineRule="auto"/>
        <w:rPr>
          <w:rFonts w:ascii="Arial" w:cs="Arial" w:eastAsia="Arial" w:hAnsi="Arial"/>
          <w:sz w:val="16"/>
          <w:szCs w:val="16"/>
          <w:color w:val="auto"/>
        </w:rPr>
      </w:pPr>
      <w:r>
        <w:rPr>
          <w:rFonts w:ascii="Arial" w:cs="Arial" w:eastAsia="Arial" w:hAnsi="Arial"/>
          <w:sz w:val="16"/>
          <w:szCs w:val="16"/>
          <w:color w:val="auto"/>
        </w:rPr>
        <w:t>Amounts originally recorded in other comprehensive income and subsequently reclassified to the consolidated statement of income are recorded in the corresponding expense or income lines in which the hedged item is reported.</w:t>
      </w:r>
    </w:p>
    <w:p>
      <w:pPr>
        <w:spacing w:after="0" w:line="279" w:lineRule="exact"/>
        <w:rPr>
          <w:rFonts w:ascii="Arial" w:cs="Arial" w:eastAsia="Arial" w:hAnsi="Arial"/>
          <w:sz w:val="16"/>
          <w:szCs w:val="16"/>
          <w:color w:val="auto"/>
        </w:rPr>
      </w:pPr>
    </w:p>
    <w:p>
      <w:pPr>
        <w:ind w:left="4680" w:hanging="104"/>
        <w:spacing w:after="0"/>
        <w:tabs>
          <w:tab w:leader="none" w:pos="46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80"/>
          </w:cols>
          <w:pgMar w:left="1180" w:top="316" w:right="339" w:bottom="1440" w:gutter="0" w:footer="0" w:header="0"/>
        </w:sectPr>
      </w:pPr>
    </w:p>
    <w:bookmarkStart w:id="57" w:name="page58"/>
    <w:bookmarkEnd w:id="57"/>
    <w:p>
      <w:pPr>
        <w:ind w:left="295" w:right="60"/>
        <w:spacing w:after="0" w:line="245" w:lineRule="auto"/>
        <w:rPr>
          <w:sz w:val="20"/>
          <w:szCs w:val="20"/>
          <w:color w:val="auto"/>
        </w:rPr>
      </w:pPr>
      <w:r>
        <w:rPr>
          <w:rFonts w:ascii="Arial" w:cs="Arial" w:eastAsia="Arial" w:hAnsi="Arial"/>
          <w:sz w:val="16"/>
          <w:szCs w:val="16"/>
          <w:color w:val="auto"/>
        </w:rPr>
        <w:t>If the anticipated transaction or firm commitment is no longer expected to occur, the cumulative gain or loss in the cash flow hedge reserve is transferred to the consolidated statement of income. If the derivative expires or is sold, settled, or exercised without replacement or renewal, or if its designation as a hedge has been revoked, any unrealized gain or loss accumulated in the cash flow hedge reserve remains in that reserve until the anticipated transaction or firm commitment affects results. At the same time, the derivative is recognized as a tradable derivative financial instrument.</w:t>
      </w:r>
    </w:p>
    <w:p>
      <w:pPr>
        <w:spacing w:after="0" w:line="147" w:lineRule="exact"/>
        <w:rPr>
          <w:sz w:val="20"/>
          <w:szCs w:val="20"/>
          <w:color w:val="auto"/>
        </w:rPr>
      </w:pPr>
    </w:p>
    <w:p>
      <w:pPr>
        <w:ind w:left="295" w:hanging="295"/>
        <w:spacing w:after="0"/>
        <w:tabs>
          <w:tab w:leader="none" w:pos="2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Fair value hedges –</w:t>
      </w:r>
    </w:p>
    <w:p>
      <w:pPr>
        <w:spacing w:after="0" w:line="202" w:lineRule="exact"/>
        <w:rPr>
          <w:rFonts w:ascii="Arial" w:cs="Arial" w:eastAsia="Arial" w:hAnsi="Arial"/>
          <w:sz w:val="16"/>
          <w:szCs w:val="16"/>
          <w:color w:val="auto"/>
        </w:rPr>
      </w:pPr>
    </w:p>
    <w:p>
      <w:pPr>
        <w:ind w:left="295" w:right="460"/>
        <w:spacing w:after="0" w:line="274" w:lineRule="auto"/>
        <w:rPr>
          <w:rFonts w:ascii="Arial" w:cs="Arial" w:eastAsia="Arial" w:hAnsi="Arial"/>
          <w:sz w:val="16"/>
          <w:szCs w:val="16"/>
          <w:color w:val="auto"/>
        </w:rPr>
      </w:pPr>
      <w:r>
        <w:rPr>
          <w:rFonts w:ascii="Arial" w:cs="Arial" w:eastAsia="Arial" w:hAnsi="Arial"/>
          <w:sz w:val="16"/>
          <w:szCs w:val="16"/>
          <w:color w:val="auto"/>
        </w:rPr>
        <w:t>The change in the fair value of a fair value hedge and the change in the fair value of the hedged item attributable to the hedged risk are recorded by affecting the carrying amount of the hedged item and are recognized in the consolidated statement of income.</w:t>
      </w:r>
    </w:p>
    <w:p>
      <w:pPr>
        <w:spacing w:after="0" w:line="122" w:lineRule="exact"/>
        <w:rPr>
          <w:rFonts w:ascii="Arial" w:cs="Arial" w:eastAsia="Arial" w:hAnsi="Arial"/>
          <w:sz w:val="16"/>
          <w:szCs w:val="16"/>
          <w:color w:val="auto"/>
        </w:rPr>
      </w:pPr>
    </w:p>
    <w:p>
      <w:pPr>
        <w:ind w:left="295" w:right="80"/>
        <w:spacing w:after="0" w:line="248" w:lineRule="auto"/>
        <w:rPr>
          <w:rFonts w:ascii="Arial" w:cs="Arial" w:eastAsia="Arial" w:hAnsi="Arial"/>
          <w:sz w:val="16"/>
          <w:szCs w:val="16"/>
          <w:color w:val="auto"/>
        </w:rPr>
      </w:pPr>
      <w:r>
        <w:rPr>
          <w:rFonts w:ascii="Arial" w:cs="Arial" w:eastAsia="Arial" w:hAnsi="Arial"/>
          <w:sz w:val="16"/>
          <w:szCs w:val="16"/>
          <w:color w:val="auto"/>
        </w:rPr>
        <w:t>For fair value hedges related to items recorded at amortized cost, any adjustment to the carrying amount of such items as a result of hedge discontinuation will be amortized through the consolidated statement of income over the remaining term of the hedge. Amortization at the effective interest rate may begin as soon as an adjustment occurs, but no later than when the hedged item is no longer adjusted for changes in its fair value attributable to the hedged risk.</w:t>
      </w:r>
    </w:p>
    <w:p>
      <w:pPr>
        <w:spacing w:after="0" w:line="144"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If the hedged item is derecognized, the unamortized fair value is recognized immediately in the consolidated statement of income.</w:t>
      </w:r>
    </w:p>
    <w:p>
      <w:pPr>
        <w:spacing w:after="0" w:line="177" w:lineRule="exact"/>
        <w:rPr>
          <w:rFonts w:ascii="Arial" w:cs="Arial" w:eastAsia="Arial" w:hAnsi="Arial"/>
          <w:sz w:val="16"/>
          <w:szCs w:val="16"/>
          <w:color w:val="auto"/>
        </w:rPr>
      </w:pPr>
    </w:p>
    <w:p>
      <w:pPr>
        <w:ind w:left="295"/>
        <w:spacing w:after="0" w:line="245" w:lineRule="auto"/>
        <w:rPr>
          <w:rFonts w:ascii="Arial" w:cs="Arial" w:eastAsia="Arial" w:hAnsi="Arial"/>
          <w:sz w:val="16"/>
          <w:szCs w:val="16"/>
          <w:color w:val="auto"/>
        </w:rPr>
      </w:pPr>
      <w:r>
        <w:rPr>
          <w:rFonts w:ascii="Arial" w:cs="Arial" w:eastAsia="Arial" w:hAnsi="Arial"/>
          <w:sz w:val="16"/>
          <w:szCs w:val="16"/>
          <w:color w:val="auto"/>
        </w:rPr>
        <w:t>If a hedging instrument expires, is sold, settled, or exercised, or if its designation as a hedge no longer meets the criteria to be recorded as such, the hedging relationship is terminated. For fair value hedges related to items recorded at amortized cost, the difference between the fair value and the carrying amount of the hedged item at the end and the face value is amortized over the remaining term of the initial hedge, using the effective interest rate. If the hedged item is derecognized, the unamortized fair value is immediately recognized in the consolidated statement of income. At the same time, the derivative is recognized as a tradable derivative financial instrument.</w:t>
      </w:r>
    </w:p>
    <w:p>
      <w:pPr>
        <w:spacing w:after="0" w:line="146" w:lineRule="exact"/>
        <w:rPr>
          <w:rFonts w:ascii="Arial" w:cs="Arial" w:eastAsia="Arial" w:hAnsi="Arial"/>
          <w:sz w:val="16"/>
          <w:szCs w:val="16"/>
          <w:color w:val="auto"/>
        </w:rPr>
      </w:pPr>
    </w:p>
    <w:p>
      <w:pPr>
        <w:ind w:left="295" w:hanging="295"/>
        <w:spacing w:after="0"/>
        <w:tabs>
          <w:tab w:leader="none" w:pos="2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Hedges of net investments in foreign operations –</w:t>
      </w:r>
    </w:p>
    <w:p>
      <w:pPr>
        <w:spacing w:after="0" w:line="202"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Hedges of net investments in foreign operations are accounted for similarly to cash flow hedges</w:t>
      </w:r>
    </w:p>
    <w:p>
      <w:pPr>
        <w:spacing w:after="0" w:line="177" w:lineRule="exact"/>
        <w:rPr>
          <w:rFonts w:ascii="Arial" w:cs="Arial" w:eastAsia="Arial" w:hAnsi="Arial"/>
          <w:sz w:val="16"/>
          <w:szCs w:val="16"/>
          <w:color w:val="auto"/>
        </w:rPr>
      </w:pPr>
    </w:p>
    <w:p>
      <w:pPr>
        <w:ind w:left="295" w:right="100"/>
        <w:spacing w:after="0" w:line="255" w:lineRule="auto"/>
        <w:rPr>
          <w:rFonts w:ascii="Arial" w:cs="Arial" w:eastAsia="Arial" w:hAnsi="Arial"/>
          <w:sz w:val="16"/>
          <w:szCs w:val="16"/>
          <w:color w:val="auto"/>
        </w:rPr>
      </w:pPr>
      <w:r>
        <w:rPr>
          <w:rFonts w:ascii="Arial" w:cs="Arial" w:eastAsia="Arial" w:hAnsi="Arial"/>
          <w:sz w:val="16"/>
          <w:szCs w:val="16"/>
          <w:color w:val="auto"/>
        </w:rPr>
        <w:t>Any gain or loss on the hedging instrument related to the effective portion of the hedge is recognized in other comprehensive income and accumulated in the "Translation of operations abroad" line of the consolidated statement of changes in equity. The gain or loss related to the ineffective portion is recognized immediately in the consolidated statement of income within "Other income" or "Other expenses".</w:t>
      </w:r>
    </w:p>
    <w:p>
      <w:pPr>
        <w:spacing w:after="0" w:line="137" w:lineRule="exact"/>
        <w:rPr>
          <w:rFonts w:ascii="Arial" w:cs="Arial" w:eastAsia="Arial" w:hAnsi="Arial"/>
          <w:sz w:val="16"/>
          <w:szCs w:val="16"/>
          <w:color w:val="auto"/>
        </w:rPr>
      </w:pPr>
    </w:p>
    <w:p>
      <w:pPr>
        <w:ind w:left="295" w:right="240"/>
        <w:spacing w:after="0" w:line="274" w:lineRule="auto"/>
        <w:rPr>
          <w:rFonts w:ascii="Arial" w:cs="Arial" w:eastAsia="Arial" w:hAnsi="Arial"/>
          <w:sz w:val="16"/>
          <w:szCs w:val="16"/>
          <w:color w:val="auto"/>
        </w:rPr>
      </w:pPr>
      <w:r>
        <w:rPr>
          <w:rFonts w:ascii="Arial" w:cs="Arial" w:eastAsia="Arial" w:hAnsi="Arial"/>
          <w:sz w:val="16"/>
          <w:szCs w:val="16"/>
          <w:color w:val="auto"/>
        </w:rPr>
        <w:t>Accumulated gains and losses in the consolidated statement of changes in equity are reclassified to the consolidated statement of income when the net investment abroad is disposed of or partially sold.</w:t>
      </w:r>
    </w:p>
    <w:p>
      <w:pPr>
        <w:spacing w:after="0" w:line="122" w:lineRule="exact"/>
        <w:rPr>
          <w:rFonts w:ascii="Arial" w:cs="Arial" w:eastAsia="Arial" w:hAnsi="Arial"/>
          <w:sz w:val="16"/>
          <w:szCs w:val="16"/>
          <w:color w:val="auto"/>
        </w:rPr>
      </w:pPr>
    </w:p>
    <w:p>
      <w:pPr>
        <w:ind w:left="295" w:hanging="295"/>
        <w:spacing w:after="0"/>
        <w:tabs>
          <w:tab w:leader="none" w:pos="2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Implicit derivatives –</w:t>
      </w:r>
    </w:p>
    <w:p>
      <w:pPr>
        <w:spacing w:after="0" w:line="202" w:lineRule="exact"/>
        <w:rPr>
          <w:rFonts w:ascii="Arial" w:cs="Arial" w:eastAsia="Arial" w:hAnsi="Arial"/>
          <w:sz w:val="16"/>
          <w:szCs w:val="16"/>
          <w:color w:val="auto"/>
        </w:rPr>
      </w:pPr>
    </w:p>
    <w:p>
      <w:pPr>
        <w:ind w:left="295" w:right="700"/>
        <w:spacing w:after="0" w:line="255" w:lineRule="auto"/>
        <w:rPr>
          <w:rFonts w:ascii="Arial" w:cs="Arial" w:eastAsia="Arial" w:hAnsi="Arial"/>
          <w:sz w:val="16"/>
          <w:szCs w:val="16"/>
          <w:color w:val="auto"/>
        </w:rPr>
      </w:pPr>
      <w:r>
        <w:rPr>
          <w:rFonts w:ascii="Arial" w:cs="Arial" w:eastAsia="Arial" w:hAnsi="Arial"/>
          <w:sz w:val="16"/>
          <w:szCs w:val="16"/>
          <w:color w:val="auto"/>
        </w:rPr>
        <w:t>Implicit derivatives in a principal (or host) contract are treated as separate derivatives and recorded at fair value if their economic characteristics and risks are not closely related to those of the principal contract and such principal contract is not held for trading or measured at fair value with effect on income.</w:t>
      </w:r>
    </w:p>
    <w:p>
      <w:pPr>
        <w:spacing w:after="0" w:line="294" w:lineRule="exact"/>
        <w:rPr>
          <w:rFonts w:ascii="Arial" w:cs="Arial" w:eastAsia="Arial" w:hAnsi="Arial"/>
          <w:sz w:val="16"/>
          <w:szCs w:val="16"/>
          <w:color w:val="auto"/>
        </w:rPr>
      </w:pPr>
    </w:p>
    <w:p>
      <w:pPr>
        <w:ind w:left="4675" w:hanging="104"/>
        <w:spacing w:after="0"/>
        <w:tabs>
          <w:tab w:leader="none" w:pos="4675" w:val="left"/>
        </w:tabs>
        <w:numPr>
          <w:ilvl w:val="1"/>
          <w:numId w:val="60"/>
        </w:numPr>
        <w:rPr>
          <w:rFonts w:ascii="Arial" w:cs="Arial" w:eastAsia="Arial" w:hAnsi="Arial"/>
          <w:sz w:val="16"/>
          <w:szCs w:val="16"/>
          <w:color w:val="auto"/>
        </w:rPr>
      </w:pPr>
      <w:r>
        <w:rPr>
          <w:rFonts w:ascii="Arial" w:cs="Arial" w:eastAsia="Arial" w:hAnsi="Arial"/>
          <w:sz w:val="16"/>
          <w:szCs w:val="16"/>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39370</wp:posOffset>
            </wp:positionV>
            <wp:extent cx="714692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35"/>
          </w:cols>
          <w:pgMar w:left="1185" w:top="316" w:right="379" w:bottom="1440" w:gutter="0" w:footer="0" w:header="0"/>
        </w:sectPr>
      </w:pPr>
    </w:p>
    <w:bookmarkStart w:id="58" w:name="page59"/>
    <w:bookmarkEnd w:id="58"/>
    <w:p>
      <w:pPr>
        <w:ind w:left="584" w:right="80"/>
        <w:spacing w:after="0" w:line="274" w:lineRule="auto"/>
        <w:rPr>
          <w:sz w:val="20"/>
          <w:szCs w:val="20"/>
          <w:color w:val="auto"/>
        </w:rPr>
      </w:pPr>
      <w:r>
        <w:rPr>
          <w:rFonts w:ascii="Arial" w:cs="Arial" w:eastAsia="Arial" w:hAnsi="Arial"/>
          <w:sz w:val="16"/>
          <w:szCs w:val="16"/>
          <w:color w:val="auto"/>
        </w:rPr>
        <w:t>The Group has investments indexed to certain liabilities from life insurance contracts, called "</w:t>
      </w:r>
      <w:r>
        <w:rPr>
          <w:rFonts w:ascii="Arial" w:cs="Arial" w:eastAsia="Arial" w:hAnsi="Arial"/>
          <w:sz w:val="16"/>
          <w:szCs w:val="16"/>
          <w:i w:val="1"/>
          <w:iCs w:val="1"/>
          <w:color w:val="auto"/>
        </w:rPr>
        <w:t>Investment Link</w:t>
      </w:r>
      <w:r>
        <w:rPr>
          <w:rFonts w:ascii="Arial" w:cs="Arial" w:eastAsia="Arial" w:hAnsi="Arial"/>
          <w:sz w:val="16"/>
          <w:szCs w:val="16"/>
          <w:color w:val="auto"/>
        </w:rPr>
        <w:t>". These instruments have been classified by the Group since their initial recognition as " Financial assets designated at fair value through profit or loss ".</w:t>
      </w:r>
    </w:p>
    <w:p>
      <w:pPr>
        <w:spacing w:after="0" w:line="123" w:lineRule="exact"/>
        <w:rPr>
          <w:sz w:val="20"/>
          <w:szCs w:val="20"/>
          <w:color w:val="auto"/>
        </w:rPr>
      </w:pPr>
    </w:p>
    <w:p>
      <w:pPr>
        <w:ind w:left="284" w:hanging="284"/>
        <w:spacing w:after="0"/>
        <w:tabs>
          <w:tab w:leader="none" w:pos="284" w:val="left"/>
        </w:tabs>
        <w:numPr>
          <w:ilvl w:val="0"/>
          <w:numId w:val="61"/>
        </w:numPr>
        <w:rPr>
          <w:rFonts w:ascii="Arial" w:cs="Arial" w:eastAsia="Arial" w:hAnsi="Arial"/>
          <w:sz w:val="16"/>
          <w:szCs w:val="16"/>
          <w:color w:val="auto"/>
        </w:rPr>
      </w:pPr>
      <w:r>
        <w:rPr>
          <w:rFonts w:ascii="Arial" w:cs="Arial" w:eastAsia="Arial" w:hAnsi="Arial"/>
          <w:sz w:val="16"/>
          <w:szCs w:val="16"/>
          <w:color w:val="auto"/>
        </w:rPr>
        <w:t>Fair value measurement –</w:t>
      </w:r>
    </w:p>
    <w:p>
      <w:pPr>
        <w:spacing w:after="0" w:line="202" w:lineRule="exact"/>
        <w:rPr>
          <w:rFonts w:ascii="Arial" w:cs="Arial" w:eastAsia="Arial" w:hAnsi="Arial"/>
          <w:sz w:val="16"/>
          <w:szCs w:val="16"/>
          <w:color w:val="auto"/>
        </w:rPr>
      </w:pPr>
    </w:p>
    <w:p>
      <w:pPr>
        <w:ind w:left="284"/>
        <w:spacing w:after="0" w:line="255" w:lineRule="auto"/>
        <w:rPr>
          <w:rFonts w:ascii="Arial" w:cs="Arial" w:eastAsia="Arial" w:hAnsi="Arial"/>
          <w:sz w:val="16"/>
          <w:szCs w:val="16"/>
          <w:color w:val="auto"/>
        </w:rPr>
      </w:pPr>
      <w:r>
        <w:rPr>
          <w:rFonts w:ascii="Arial" w:cs="Arial" w:eastAsia="Arial" w:hAnsi="Arial"/>
          <w:sz w:val="16"/>
          <w:szCs w:val="16"/>
          <w:color w:val="auto"/>
        </w:rPr>
        <w:t>Fair value is the price that would be received for selling an asset or that would be paid to transfer a liability in an orderly transaction between market participants at the measurement date. Fair value measurement is based on the assumption that the transaction to sell the asset or transfer the liability takes place, either:</w:t>
      </w:r>
    </w:p>
    <w:p>
      <w:pPr>
        <w:spacing w:after="0" w:line="137" w:lineRule="exact"/>
        <w:rPr>
          <w:rFonts w:ascii="Arial" w:cs="Arial" w:eastAsia="Arial" w:hAnsi="Arial"/>
          <w:sz w:val="16"/>
          <w:szCs w:val="16"/>
          <w:color w:val="auto"/>
        </w:rPr>
      </w:pPr>
    </w:p>
    <w:p>
      <w:pPr>
        <w:ind w:left="584" w:hanging="295"/>
        <w:spacing w:after="0"/>
        <w:tabs>
          <w:tab w:leader="none" w:pos="584"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the principal market for the asset or liability, or</w:t>
      </w:r>
    </w:p>
    <w:p>
      <w:pPr>
        <w:spacing w:after="0" w:line="29" w:lineRule="exact"/>
        <w:rPr>
          <w:rFonts w:ascii="Arial" w:cs="Arial" w:eastAsia="Arial" w:hAnsi="Arial"/>
          <w:sz w:val="16"/>
          <w:szCs w:val="16"/>
          <w:color w:val="auto"/>
        </w:rPr>
      </w:pPr>
    </w:p>
    <w:p>
      <w:pPr>
        <w:ind w:left="584" w:hanging="295"/>
        <w:spacing w:after="0"/>
        <w:tabs>
          <w:tab w:leader="none" w:pos="584"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the absence of a principal market, in the most advantageous market for the asset or liability.</w:t>
      </w:r>
    </w:p>
    <w:p>
      <w:pPr>
        <w:spacing w:after="0" w:line="19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principal or most advantageous market must be accessible to the Group. Also, the fair value of a liability reflects its default risk.</w:t>
      </w:r>
    </w:p>
    <w:p>
      <w:pPr>
        <w:spacing w:after="0" w:line="178" w:lineRule="exact"/>
        <w:rPr>
          <w:sz w:val="20"/>
          <w:szCs w:val="20"/>
          <w:color w:val="auto"/>
        </w:rPr>
      </w:pPr>
    </w:p>
    <w:p>
      <w:pPr>
        <w:ind w:left="284" w:right="80"/>
        <w:spacing w:after="0" w:line="255" w:lineRule="auto"/>
        <w:rPr>
          <w:sz w:val="20"/>
          <w:szCs w:val="20"/>
          <w:color w:val="auto"/>
        </w:rPr>
      </w:pPr>
      <w:r>
        <w:rPr>
          <w:rFonts w:ascii="Arial" w:cs="Arial" w:eastAsia="Arial" w:hAnsi="Arial"/>
          <w:sz w:val="16"/>
          <w:szCs w:val="16"/>
          <w:color w:val="auto"/>
        </w:rPr>
        <w:t>When available, the Group measures the fair value of an instrument using the quoted price in an active market for that instrument. A market is considered active if transactions for the asset or liability occur with sufficient frequency and volume to provide pricing information on a continuous basis.</w:t>
      </w:r>
    </w:p>
    <w:p>
      <w:pPr>
        <w:spacing w:after="0" w:line="137" w:lineRule="exact"/>
        <w:rPr>
          <w:sz w:val="20"/>
          <w:szCs w:val="20"/>
          <w:color w:val="auto"/>
        </w:rPr>
      </w:pPr>
    </w:p>
    <w:p>
      <w:pPr>
        <w:ind w:left="284" w:right="560"/>
        <w:spacing w:after="0" w:line="274" w:lineRule="auto"/>
        <w:rPr>
          <w:sz w:val="20"/>
          <w:szCs w:val="20"/>
          <w:color w:val="auto"/>
        </w:rPr>
      </w:pPr>
      <w:r>
        <w:rPr>
          <w:rFonts w:ascii="Arial" w:cs="Arial" w:eastAsia="Arial" w:hAnsi="Arial"/>
          <w:sz w:val="16"/>
          <w:szCs w:val="16"/>
          <w:color w:val="auto"/>
        </w:rPr>
        <w:t>If there is no quoted price in an active market, the Group uses valuation techniques that maximize the use of relevant observable data and minimize the use of unobservable data.</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valuation technique chosen incorporates all factors that market participants would consider when setting the price of a transaction.</w:t>
      </w:r>
    </w:p>
    <w:p>
      <w:pPr>
        <w:spacing w:after="0" w:line="178" w:lineRule="exact"/>
        <w:rPr>
          <w:sz w:val="20"/>
          <w:szCs w:val="20"/>
          <w:color w:val="auto"/>
        </w:rPr>
      </w:pPr>
    </w:p>
    <w:p>
      <w:pPr>
        <w:ind w:left="284" w:right="400"/>
        <w:spacing w:after="0" w:line="274" w:lineRule="auto"/>
        <w:rPr>
          <w:sz w:val="20"/>
          <w:szCs w:val="20"/>
          <w:color w:val="auto"/>
        </w:rPr>
      </w:pPr>
      <w:r>
        <w:rPr>
          <w:rFonts w:ascii="Arial" w:cs="Arial" w:eastAsia="Arial" w:hAnsi="Arial"/>
          <w:sz w:val="16"/>
          <w:szCs w:val="16"/>
          <w:color w:val="auto"/>
        </w:rPr>
        <w:t>All assets and liabilities for which fair values are determined or disclosed in the consolidated financial statements are classified within the fair value hierarchy, described below, based on the lowest level of data used that is significant to the fair value measurement as a whole:</w:t>
      </w:r>
    </w:p>
    <w:p>
      <w:pPr>
        <w:spacing w:after="0" w:line="123" w:lineRule="exact"/>
        <w:rPr>
          <w:sz w:val="20"/>
          <w:szCs w:val="20"/>
          <w:color w:val="auto"/>
        </w:rPr>
      </w:pPr>
    </w:p>
    <w:p>
      <w:pPr>
        <w:ind w:left="584" w:hanging="295"/>
        <w:spacing w:after="0"/>
        <w:tabs>
          <w:tab w:leader="none" w:pos="5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Level 1: Quoted prices (unadjusted) in active markets for identical assets or liabilities.</w:t>
      </w:r>
    </w:p>
    <w:p>
      <w:pPr>
        <w:spacing w:after="0" w:line="202" w:lineRule="exact"/>
        <w:rPr>
          <w:rFonts w:ascii="Arial" w:cs="Arial" w:eastAsia="Arial" w:hAnsi="Arial"/>
          <w:sz w:val="16"/>
          <w:szCs w:val="16"/>
          <w:color w:val="auto"/>
        </w:rPr>
      </w:pPr>
    </w:p>
    <w:p>
      <w:pPr>
        <w:ind w:left="584" w:right="180" w:hanging="295"/>
        <w:spacing w:after="0" w:line="274" w:lineRule="auto"/>
        <w:tabs>
          <w:tab w:leader="none" w:pos="5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Level 2: Valuation techniques by which the lowest level of information that is significant to the fair value measurement is directly or indirectly observable.</w:t>
      </w:r>
    </w:p>
    <w:p>
      <w:pPr>
        <w:spacing w:after="0" w:line="122" w:lineRule="exact"/>
        <w:rPr>
          <w:rFonts w:ascii="Arial" w:cs="Arial" w:eastAsia="Arial" w:hAnsi="Arial"/>
          <w:sz w:val="16"/>
          <w:szCs w:val="16"/>
          <w:color w:val="auto"/>
        </w:rPr>
      </w:pPr>
    </w:p>
    <w:p>
      <w:pPr>
        <w:ind w:left="584" w:hanging="295"/>
        <w:spacing w:after="0"/>
        <w:tabs>
          <w:tab w:leader="none" w:pos="5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Level 3: Valuation techniques by which the lowest level of information that is significant to the fair value measurement is not observable.</w:t>
      </w:r>
    </w:p>
    <w:p>
      <w:pPr>
        <w:spacing w:after="0" w:line="202" w:lineRule="exact"/>
        <w:rPr>
          <w:sz w:val="20"/>
          <w:szCs w:val="20"/>
          <w:color w:val="auto"/>
        </w:rPr>
      </w:pPr>
    </w:p>
    <w:p>
      <w:pPr>
        <w:ind w:left="284" w:right="420"/>
        <w:spacing w:after="0" w:line="274" w:lineRule="auto"/>
        <w:rPr>
          <w:sz w:val="20"/>
          <w:szCs w:val="20"/>
          <w:color w:val="auto"/>
        </w:rPr>
      </w:pPr>
      <w:r>
        <w:rPr>
          <w:rFonts w:ascii="Arial" w:cs="Arial" w:eastAsia="Arial" w:hAnsi="Arial"/>
          <w:sz w:val="16"/>
          <w:szCs w:val="16"/>
          <w:color w:val="auto"/>
        </w:rPr>
        <w:t>The Group determines for assets and liabilities that are recognized at fair value in the consolidated financial statements on a recurring basis, whether transfers occurred between different levels within the hierarchy by reviewing the categorization at the end of each reporting period.</w:t>
      </w:r>
    </w:p>
    <w:p>
      <w:pPr>
        <w:spacing w:after="0" w:line="123" w:lineRule="exact"/>
        <w:rPr>
          <w:sz w:val="20"/>
          <w:szCs w:val="20"/>
          <w:color w:val="auto"/>
        </w:rPr>
      </w:pPr>
    </w:p>
    <w:p>
      <w:pPr>
        <w:ind w:left="284"/>
        <w:spacing w:after="0" w:line="274" w:lineRule="auto"/>
        <w:rPr>
          <w:sz w:val="20"/>
          <w:szCs w:val="20"/>
          <w:color w:val="auto"/>
        </w:rPr>
      </w:pPr>
      <w:r>
        <w:rPr>
          <w:rFonts w:ascii="Arial" w:cs="Arial" w:eastAsia="Arial" w:hAnsi="Arial"/>
          <w:sz w:val="16"/>
          <w:szCs w:val="16"/>
          <w:color w:val="auto"/>
        </w:rPr>
        <w:t>For fair value disclosure purposes, the Group has determined the classes of assets and liabilities based on the nature, characteristics, and risks of the asset or liability and the level of the fair value hierarchy as explained above.</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Also, the fair value of financial instruments measured at amortized cost is disclosed in Note 30.11(b).</w:t>
      </w:r>
    </w:p>
    <w:p>
      <w:pPr>
        <w:spacing w:after="0" w:line="178" w:lineRule="exact"/>
        <w:rPr>
          <w:sz w:val="20"/>
          <w:szCs w:val="20"/>
          <w:color w:val="auto"/>
        </w:rPr>
      </w:pPr>
    </w:p>
    <w:p>
      <w:pPr>
        <w:ind w:left="284" w:hanging="284"/>
        <w:spacing w:after="0"/>
        <w:tabs>
          <w:tab w:leader="none" w:pos="2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Segment information –</w:t>
      </w:r>
    </w:p>
    <w:p>
      <w:pPr>
        <w:spacing w:after="0" w:line="202" w:lineRule="exact"/>
        <w:rPr>
          <w:rFonts w:ascii="Arial" w:cs="Arial" w:eastAsia="Arial" w:hAnsi="Arial"/>
          <w:sz w:val="16"/>
          <w:szCs w:val="16"/>
          <w:color w:val="auto"/>
        </w:rPr>
      </w:pPr>
    </w:p>
    <w:p>
      <w:pPr>
        <w:ind w:left="284" w:right="760"/>
        <w:spacing w:after="0" w:line="274" w:lineRule="auto"/>
        <w:rPr>
          <w:rFonts w:ascii="Arial" w:cs="Arial" w:eastAsia="Arial" w:hAnsi="Arial"/>
          <w:sz w:val="16"/>
          <w:szCs w:val="16"/>
          <w:color w:val="auto"/>
        </w:rPr>
      </w:pPr>
      <w:r>
        <w:rPr>
          <w:rFonts w:ascii="Arial" w:cs="Arial" w:eastAsia="Arial" w:hAnsi="Arial"/>
          <w:sz w:val="16"/>
          <w:szCs w:val="16"/>
          <w:color w:val="0D0D0D"/>
        </w:rPr>
        <w:t>The Group reports financial and descriptive information about its reportable segments. Reportable segments are operating segments or aggregations of operating segments that meet specific criteria.</w:t>
      </w:r>
    </w:p>
    <w:p>
      <w:pPr>
        <w:spacing w:after="0" w:line="279" w:lineRule="exact"/>
        <w:rPr>
          <w:rFonts w:ascii="Arial" w:cs="Arial" w:eastAsia="Arial" w:hAnsi="Arial"/>
          <w:sz w:val="16"/>
          <w:szCs w:val="16"/>
          <w:color w:val="auto"/>
        </w:rPr>
      </w:pPr>
    </w:p>
    <w:p>
      <w:pPr>
        <w:ind w:left="4964" w:hanging="104"/>
        <w:spacing w:after="0"/>
        <w:tabs>
          <w:tab w:leader="none" w:pos="4964" w:val="left"/>
        </w:tabs>
        <w:numPr>
          <w:ilvl w:val="1"/>
          <w:numId w:val="63"/>
        </w:numPr>
        <w:rPr>
          <w:rFonts w:ascii="Arial" w:cs="Arial" w:eastAsia="Arial" w:hAnsi="Arial"/>
          <w:sz w:val="16"/>
          <w:szCs w:val="16"/>
          <w:color w:val="auto"/>
        </w:rPr>
      </w:pPr>
      <w:r>
        <w:rPr>
          <w:rFonts w:ascii="Arial" w:cs="Arial" w:eastAsia="Arial" w:hAnsi="Arial"/>
          <w:sz w:val="16"/>
          <w:szCs w:val="16"/>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59" w:name="page60"/>
    <w:bookmarkEnd w:id="59"/>
    <w:p>
      <w:pPr>
        <w:ind w:left="284" w:right="40"/>
        <w:spacing w:after="0" w:line="255" w:lineRule="auto"/>
        <w:rPr>
          <w:sz w:val="20"/>
          <w:szCs w:val="20"/>
          <w:color w:val="auto"/>
        </w:rPr>
      </w:pPr>
      <w:r>
        <w:rPr>
          <w:rFonts w:ascii="Arial" w:cs="Arial" w:eastAsia="Arial" w:hAnsi="Arial"/>
          <w:sz w:val="16"/>
          <w:szCs w:val="16"/>
          <w:color w:val="0D0D0D"/>
        </w:rPr>
        <w:t>Operating segments are a component of an entity for which separate financial information is available and is evaluated periodically by the chief operating decision-maker ("CODM") related to the allocation of resources and performance evaluation. The Group discloses the same financial information that is used internally to assess the performance of operating segments and decide how to allocate resources to segments, Note 27.</w:t>
      </w:r>
    </w:p>
    <w:p>
      <w:pPr>
        <w:spacing w:after="0" w:line="137" w:lineRule="exact"/>
        <w:rPr>
          <w:sz w:val="20"/>
          <w:szCs w:val="20"/>
          <w:color w:val="auto"/>
        </w:rPr>
      </w:pPr>
    </w:p>
    <w:p>
      <w:pPr>
        <w:ind w:left="284" w:hanging="284"/>
        <w:spacing w:after="0"/>
        <w:tabs>
          <w:tab w:leader="none" w:pos="284"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Fiduciary activities, fund management, and pension funds –</w:t>
      </w:r>
    </w:p>
    <w:p>
      <w:pPr>
        <w:spacing w:after="0" w:line="202" w:lineRule="exact"/>
        <w:rPr>
          <w:rFonts w:ascii="Arial" w:cs="Arial" w:eastAsia="Arial" w:hAnsi="Arial"/>
          <w:sz w:val="16"/>
          <w:szCs w:val="16"/>
          <w:color w:val="auto"/>
        </w:rPr>
      </w:pPr>
    </w:p>
    <w:p>
      <w:pPr>
        <w:ind w:left="284" w:right="320"/>
        <w:spacing w:after="0" w:line="255" w:lineRule="auto"/>
        <w:rPr>
          <w:rFonts w:ascii="Arial" w:cs="Arial" w:eastAsia="Arial" w:hAnsi="Arial"/>
          <w:sz w:val="16"/>
          <w:szCs w:val="16"/>
          <w:color w:val="auto"/>
        </w:rPr>
      </w:pPr>
      <w:r>
        <w:rPr>
          <w:rFonts w:ascii="Arial" w:cs="Arial" w:eastAsia="Arial" w:hAnsi="Arial"/>
          <w:sz w:val="16"/>
          <w:szCs w:val="16"/>
          <w:color w:val="0D0D0D"/>
        </w:rPr>
        <w:t>The Group provides custody, administration, investment management, and advisory services to third parties that result in holding or lending assets on their behalf. These assets and the results on them are excluded from the consolidated financial statements, as they are not Group assets, Note 30.12.</w:t>
      </w:r>
    </w:p>
    <w:p>
      <w:pPr>
        <w:spacing w:after="0" w:line="13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0D0D0D"/>
        </w:rPr>
        <w:t>Commissions generated by this activity are included in the "Commissions and fees" line of the consolidated statement of income.</w:t>
      </w:r>
    </w:p>
    <w:p>
      <w:pPr>
        <w:spacing w:after="0" w:line="177" w:lineRule="exact"/>
        <w:rPr>
          <w:rFonts w:ascii="Arial" w:cs="Arial" w:eastAsia="Arial" w:hAnsi="Arial"/>
          <w:sz w:val="16"/>
          <w:szCs w:val="16"/>
          <w:color w:val="auto"/>
        </w:rPr>
      </w:pPr>
    </w:p>
    <w:p>
      <w:pPr>
        <w:ind w:left="284" w:hanging="284"/>
        <w:spacing w:after="0"/>
        <w:tabs>
          <w:tab w:leader="none" w:pos="284" w:val="left"/>
        </w:tabs>
        <w:numPr>
          <w:ilvl w:val="0"/>
          <w:numId w:val="64"/>
        </w:numPr>
        <w:rPr>
          <w:rFonts w:ascii="Arial" w:cs="Arial" w:eastAsia="Arial" w:hAnsi="Arial"/>
          <w:sz w:val="16"/>
          <w:szCs w:val="16"/>
          <w:color w:val="auto"/>
        </w:rPr>
      </w:pPr>
      <w:r>
        <w:rPr>
          <w:rFonts w:ascii="Arial" w:cs="Arial" w:eastAsia="Arial" w:hAnsi="Arial"/>
          <w:sz w:val="16"/>
          <w:szCs w:val="16"/>
          <w:color w:val="auto"/>
        </w:rPr>
        <w:t>Cash and cash equivalents –</w:t>
      </w:r>
    </w:p>
    <w:p>
      <w:pPr>
        <w:spacing w:after="0" w:line="202" w:lineRule="exact"/>
        <w:rPr>
          <w:rFonts w:ascii="Arial" w:cs="Arial" w:eastAsia="Arial" w:hAnsi="Arial"/>
          <w:sz w:val="16"/>
          <w:szCs w:val="16"/>
          <w:color w:val="auto"/>
        </w:rPr>
      </w:pPr>
    </w:p>
    <w:p>
      <w:pPr>
        <w:jc w:val="both"/>
        <w:ind w:left="284" w:right="300"/>
        <w:spacing w:after="0" w:line="255" w:lineRule="auto"/>
        <w:rPr>
          <w:rFonts w:ascii="Arial" w:cs="Arial" w:eastAsia="Arial" w:hAnsi="Arial"/>
          <w:sz w:val="16"/>
          <w:szCs w:val="16"/>
          <w:color w:val="auto"/>
        </w:rPr>
      </w:pPr>
      <w:r>
        <w:rPr>
          <w:rFonts w:ascii="Arial" w:cs="Arial" w:eastAsia="Arial" w:hAnsi="Arial"/>
          <w:sz w:val="16"/>
          <w:szCs w:val="16"/>
          <w:color w:val="0D0D0D"/>
        </w:rPr>
        <w:t>For the purposes of the consolidated statement of cash flows, cash and cash equivalents correspond to cash balances, funds deposited with central banks, "overnight" deposits, interbank funds, and deposits with maturities of three months or less from the acquisition date, excluding restricted funds, see Note 4(a).</w:t>
      </w:r>
    </w:p>
    <w:p>
      <w:pPr>
        <w:spacing w:after="0" w:line="137" w:lineRule="exact"/>
        <w:rPr>
          <w:rFonts w:ascii="Arial" w:cs="Arial" w:eastAsia="Arial" w:hAnsi="Arial"/>
          <w:sz w:val="16"/>
          <w:szCs w:val="16"/>
          <w:color w:val="auto"/>
        </w:rPr>
      </w:pPr>
    </w:p>
    <w:p>
      <w:pPr>
        <w:ind w:left="284" w:right="180"/>
        <w:spacing w:after="0" w:line="274" w:lineRule="auto"/>
        <w:rPr>
          <w:rFonts w:ascii="Arial" w:cs="Arial" w:eastAsia="Arial" w:hAnsi="Arial"/>
          <w:sz w:val="16"/>
          <w:szCs w:val="16"/>
          <w:color w:val="auto"/>
        </w:rPr>
      </w:pPr>
      <w:r>
        <w:rPr>
          <w:rFonts w:ascii="Arial" w:cs="Arial" w:eastAsia="Arial" w:hAnsi="Arial"/>
          <w:sz w:val="16"/>
          <w:szCs w:val="16"/>
          <w:color w:val="0D0D0D"/>
        </w:rPr>
        <w:t>Guarantee funds committed as part of a repurchase agreement are presented in the "Guarantee funds, repurchase agreements, and financing with securities" line of the consolidated statement of financial position, see Note 5(a).</w:t>
      </w:r>
    </w:p>
    <w:p>
      <w:pPr>
        <w:spacing w:after="0" w:line="122" w:lineRule="exact"/>
        <w:rPr>
          <w:rFonts w:ascii="Arial" w:cs="Arial" w:eastAsia="Arial" w:hAnsi="Arial"/>
          <w:sz w:val="16"/>
          <w:szCs w:val="16"/>
          <w:color w:val="auto"/>
        </w:rPr>
      </w:pPr>
    </w:p>
    <w:p>
      <w:pPr>
        <w:ind w:left="284"/>
        <w:spacing w:after="0" w:line="274" w:lineRule="auto"/>
        <w:rPr>
          <w:rFonts w:ascii="Arial" w:cs="Arial" w:eastAsia="Arial" w:hAnsi="Arial"/>
          <w:sz w:val="16"/>
          <w:szCs w:val="16"/>
          <w:color w:val="auto"/>
        </w:rPr>
      </w:pPr>
      <w:r>
        <w:rPr>
          <w:rFonts w:ascii="Arial" w:cs="Arial" w:eastAsia="Arial" w:hAnsi="Arial"/>
          <w:sz w:val="16"/>
          <w:szCs w:val="16"/>
          <w:color w:val="0D0D0D"/>
        </w:rPr>
        <w:t>Guarantee funds committed in trading of derivative financial instruments are presented in the "Other assets" line of the consolidated statement of financial position, see Note 12(c).</w:t>
      </w:r>
    </w:p>
    <w:p>
      <w:pPr>
        <w:spacing w:after="0" w:line="122" w:lineRule="exact"/>
        <w:rPr>
          <w:rFonts w:ascii="Arial" w:cs="Arial" w:eastAsia="Arial" w:hAnsi="Arial"/>
          <w:sz w:val="16"/>
          <w:szCs w:val="16"/>
          <w:color w:val="auto"/>
        </w:rPr>
      </w:pPr>
    </w:p>
    <w:p>
      <w:pPr>
        <w:ind w:left="284" w:right="100"/>
        <w:spacing w:after="0" w:line="248" w:lineRule="auto"/>
        <w:rPr>
          <w:rFonts w:ascii="Arial" w:cs="Arial" w:eastAsia="Arial" w:hAnsi="Arial"/>
          <w:sz w:val="16"/>
          <w:szCs w:val="16"/>
          <w:color w:val="auto"/>
        </w:rPr>
      </w:pPr>
      <w:r>
        <w:rPr>
          <w:rFonts w:ascii="Arial" w:cs="Arial" w:eastAsia="Arial" w:hAnsi="Arial"/>
          <w:sz w:val="16"/>
          <w:szCs w:val="16"/>
          <w:color w:val="0D0D0D"/>
        </w:rPr>
        <w:t>Unrealized gains and losses arising from changes in foreign currency exchange rates are not cash flows. However, the effect of exchange rate changes on cash and cash equivalents held or due in foreign currency is reported in the statement of cash flows in order to reconcile cash and cash equivalents at the beginning and the end of the period. This amount is presented separately from cash flows from operating, investing and financing activities and includes the differences, if any, had those cash flows been reported at end of period exchange rates.</w:t>
      </w:r>
    </w:p>
    <w:p>
      <w:pPr>
        <w:spacing w:after="0" w:line="144" w:lineRule="exact"/>
        <w:rPr>
          <w:rFonts w:ascii="Arial" w:cs="Arial" w:eastAsia="Arial" w:hAnsi="Arial"/>
          <w:sz w:val="16"/>
          <w:szCs w:val="16"/>
          <w:color w:val="auto"/>
        </w:rPr>
      </w:pPr>
    </w:p>
    <w:p>
      <w:pPr>
        <w:ind w:left="284" w:hanging="284"/>
        <w:spacing w:after="0"/>
        <w:tabs>
          <w:tab w:leader="none" w:pos="284"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Repurchase and resale agreements and loans and financing with securities –</w:t>
      </w:r>
    </w:p>
    <w:p>
      <w:pPr>
        <w:spacing w:after="0" w:line="202" w:lineRule="exact"/>
        <w:rPr>
          <w:rFonts w:ascii="Arial" w:cs="Arial" w:eastAsia="Arial" w:hAnsi="Arial"/>
          <w:sz w:val="16"/>
          <w:szCs w:val="16"/>
          <w:color w:val="auto"/>
        </w:rPr>
      </w:pPr>
    </w:p>
    <w:p>
      <w:pPr>
        <w:ind w:left="284" w:right="100"/>
        <w:spacing w:after="0" w:line="243" w:lineRule="auto"/>
        <w:rPr>
          <w:rFonts w:ascii="Arial" w:cs="Arial" w:eastAsia="Arial" w:hAnsi="Arial"/>
          <w:sz w:val="16"/>
          <w:szCs w:val="16"/>
          <w:color w:val="auto"/>
        </w:rPr>
      </w:pPr>
      <w:r>
        <w:rPr>
          <w:rFonts w:ascii="Arial" w:cs="Arial" w:eastAsia="Arial" w:hAnsi="Arial"/>
          <w:sz w:val="16"/>
          <w:szCs w:val="16"/>
          <w:color w:val="0D0D0D"/>
        </w:rPr>
        <w:t>Securities sold under agreements to repurchase on a specific future date are not derecognized from the consolidated statement of financial position because the Group retains substantially all risks and benefits inherent in ownership. The cash received is recorded as an asset in the "Available funds" line, and the corresponding obligation to return it, including accrued interest, is recorded as a liability in the "Accounts payable for repurchase agreements and securities loans" line, reflecting the economic substance of the operation as a loan received by the Group. The difference between the selling price and the repurchase price is accrued during the contract term using the effective interest rate method and is recorded in the "Interest and similar expenses" line of the consolidated statement of income.</w:t>
      </w:r>
    </w:p>
    <w:p>
      <w:pPr>
        <w:spacing w:after="0" w:line="305" w:lineRule="exact"/>
        <w:rPr>
          <w:rFonts w:ascii="Arial" w:cs="Arial" w:eastAsia="Arial" w:hAnsi="Arial"/>
          <w:sz w:val="16"/>
          <w:szCs w:val="16"/>
          <w:color w:val="auto"/>
        </w:rPr>
      </w:pPr>
    </w:p>
    <w:p>
      <w:pPr>
        <w:ind w:left="4964" w:hanging="104"/>
        <w:spacing w:after="0"/>
        <w:tabs>
          <w:tab w:leader="none" w:pos="4964" w:val="left"/>
        </w:tabs>
        <w:numPr>
          <w:ilvl w:val="1"/>
          <w:numId w:val="64"/>
        </w:numPr>
        <w:rPr>
          <w:rFonts w:ascii="Arial" w:cs="Arial" w:eastAsia="Arial" w:hAnsi="Arial"/>
          <w:sz w:val="16"/>
          <w:szCs w:val="16"/>
          <w:color w:val="auto"/>
        </w:rPr>
      </w:pPr>
      <w:r>
        <w:rPr>
          <w:rFonts w:ascii="Arial" w:cs="Arial" w:eastAsia="Arial" w:hAnsi="Arial"/>
          <w:sz w:val="16"/>
          <w:szCs w:val="16"/>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564"/>
          </w:cols>
          <w:pgMar w:left="896" w:top="316" w:right="439" w:bottom="1440" w:gutter="0" w:footer="0" w:header="0"/>
        </w:sectPr>
      </w:pPr>
    </w:p>
    <w:bookmarkStart w:id="60" w:name="page61"/>
    <w:bookmarkEnd w:id="60"/>
    <w:p>
      <w:pPr>
        <w:ind w:left="284"/>
        <w:spacing w:after="0" w:line="242" w:lineRule="auto"/>
        <w:rPr>
          <w:sz w:val="20"/>
          <w:szCs w:val="20"/>
          <w:color w:val="auto"/>
        </w:rPr>
      </w:pPr>
      <w:r>
        <w:rPr>
          <w:rFonts w:ascii="Arial" w:cs="Arial" w:eastAsia="Arial" w:hAnsi="Arial"/>
          <w:sz w:val="16"/>
          <w:szCs w:val="16"/>
          <w:color w:val="auto"/>
        </w:rPr>
        <w:t>As part of this transaction, the Group delivers assets as collateral. When the counterparty receives securities and has the right to sell them or re-deliver them as collateral, the Group reclassifies these securities to the "Investments at fair value with changes in other comprehensive income under collateral" or "Investments at amortized cost under collateral" lines, as appropriate, in the consolidated statement of financial position. When the counterparty receives guarantee funds that will be restricted until the contract maturity, the Group reclassifies such cash to the "Guarantee funds, repurchase agreements, and financing with securities" line of the consolidated statement of financial position. When the counterparty receives credit portfolios as collateral, the Group maintains these credits in the "Credit portfolio, net" line in the consolidated statement of financial position, the control of which is kept in off-balance sheet accounts.</w:t>
      </w:r>
    </w:p>
    <w:p>
      <w:pPr>
        <w:spacing w:after="0" w:line="149" w:lineRule="exact"/>
        <w:rPr>
          <w:sz w:val="20"/>
          <w:szCs w:val="20"/>
          <w:color w:val="auto"/>
        </w:rPr>
      </w:pPr>
    </w:p>
    <w:p>
      <w:pPr>
        <w:ind w:left="284" w:right="120"/>
        <w:spacing w:after="0" w:line="243" w:lineRule="auto"/>
        <w:rPr>
          <w:sz w:val="20"/>
          <w:szCs w:val="20"/>
          <w:color w:val="auto"/>
        </w:rPr>
      </w:pPr>
      <w:r>
        <w:rPr>
          <w:rFonts w:ascii="Arial" w:cs="Arial" w:eastAsia="Arial" w:hAnsi="Arial"/>
          <w:sz w:val="16"/>
          <w:szCs w:val="16"/>
          <w:color w:val="0D0D0D"/>
        </w:rPr>
        <w:t>On the other hand, securities purchased under agreements to resell on a specific future date are not recognized in the consolidated statement of financial position. The cash granted is recorded as an outflow of an asset from the "Available funds" line, and the corresponding right to collect it, including accrued interest, is recorded in the "Guarantee funds, repurchase agreements, and financing with securities" line, reflecting the economic substance of the operation as a loan granted by the Group. The difference between the purchase price and the resale price is accrued during the contract term using the effective interest rate method and is recorded in the "Interest and similar income" line of the consolidated statement of income.</w:t>
      </w:r>
    </w:p>
    <w:p>
      <w:pPr>
        <w:spacing w:after="0" w:line="149" w:lineRule="exact"/>
        <w:rPr>
          <w:sz w:val="20"/>
          <w:szCs w:val="20"/>
          <w:color w:val="auto"/>
        </w:rPr>
      </w:pPr>
    </w:p>
    <w:p>
      <w:pPr>
        <w:ind w:left="284" w:right="60"/>
        <w:spacing w:after="0" w:line="255" w:lineRule="auto"/>
        <w:rPr>
          <w:sz w:val="20"/>
          <w:szCs w:val="20"/>
          <w:color w:val="auto"/>
        </w:rPr>
      </w:pPr>
      <w:r>
        <w:rPr>
          <w:rFonts w:ascii="Arial" w:cs="Arial" w:eastAsia="Arial" w:hAnsi="Arial"/>
          <w:sz w:val="16"/>
          <w:szCs w:val="16"/>
          <w:color w:val="0D0D0D"/>
        </w:rPr>
        <w:t>If securities purchased under a resale agreement are subsequently sold to third parties, the obligation to return the securities is recorded as a short sale in the "Financial liabilities at fair value with changes in income" line of the consolidated statement of financial position, and is measured at fair value, recording gains or losses in the "Net gain on securities" line of the consolidated statement of income.</w:t>
      </w:r>
    </w:p>
    <w:p>
      <w:pPr>
        <w:spacing w:after="0" w:line="137" w:lineRule="exact"/>
        <w:rPr>
          <w:sz w:val="20"/>
          <w:szCs w:val="20"/>
          <w:color w:val="auto"/>
        </w:rPr>
      </w:pPr>
    </w:p>
    <w:p>
      <w:pPr>
        <w:ind w:left="284" w:right="160"/>
        <w:spacing w:after="0" w:line="274" w:lineRule="auto"/>
        <w:rPr>
          <w:sz w:val="20"/>
          <w:szCs w:val="20"/>
          <w:color w:val="auto"/>
        </w:rPr>
      </w:pPr>
      <w:r>
        <w:rPr>
          <w:rFonts w:ascii="Arial" w:cs="Arial" w:eastAsia="Arial" w:hAnsi="Arial"/>
          <w:sz w:val="16"/>
          <w:szCs w:val="16"/>
          <w:color w:val="0D0D0D"/>
        </w:rPr>
        <w:t>Loans and financing are usually secured by securities. The transfer of securities to counterparties is only reflected in the consolidated statement of financial position if the risks and benefits inherent in ownership are also transferred.</w:t>
      </w:r>
    </w:p>
    <w:p>
      <w:pPr>
        <w:spacing w:after="0" w:line="123" w:lineRule="exact"/>
        <w:rPr>
          <w:sz w:val="20"/>
          <w:szCs w:val="20"/>
          <w:color w:val="auto"/>
        </w:rPr>
      </w:pPr>
    </w:p>
    <w:p>
      <w:pPr>
        <w:ind w:left="284" w:hanging="284"/>
        <w:spacing w:after="0"/>
        <w:tabs>
          <w:tab w:leader="none" w:pos="2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International Financial Reporting Standards issued, but not yet effective –</w:t>
      </w:r>
    </w:p>
    <w:p>
      <w:pPr>
        <w:spacing w:after="0" w:line="202" w:lineRule="exact"/>
        <w:rPr>
          <w:rFonts w:ascii="Arial" w:cs="Arial" w:eastAsia="Arial" w:hAnsi="Arial"/>
          <w:sz w:val="16"/>
          <w:szCs w:val="16"/>
          <w:color w:val="auto"/>
        </w:rPr>
      </w:pPr>
    </w:p>
    <w:p>
      <w:pPr>
        <w:ind w:left="284" w:right="260"/>
        <w:spacing w:after="0" w:line="274" w:lineRule="auto"/>
        <w:rPr>
          <w:rFonts w:ascii="Arial" w:cs="Arial" w:eastAsia="Arial" w:hAnsi="Arial"/>
          <w:sz w:val="16"/>
          <w:szCs w:val="16"/>
          <w:color w:val="auto"/>
        </w:rPr>
      </w:pPr>
      <w:r>
        <w:rPr>
          <w:rFonts w:ascii="Arial" w:cs="Arial" w:eastAsia="Arial" w:hAnsi="Arial"/>
          <w:sz w:val="16"/>
          <w:szCs w:val="16"/>
          <w:color w:val="0D0D0D"/>
        </w:rPr>
        <w:t>The Group decided not to early adopt the following standards and interpretations that were issued but are not yet effective as of December 31, 2025.</w:t>
      </w:r>
    </w:p>
    <w:p>
      <w:pPr>
        <w:spacing w:after="0" w:line="122" w:lineRule="exact"/>
        <w:rPr>
          <w:rFonts w:ascii="Arial" w:cs="Arial" w:eastAsia="Arial" w:hAnsi="Arial"/>
          <w:sz w:val="16"/>
          <w:szCs w:val="16"/>
          <w:color w:val="auto"/>
        </w:rPr>
      </w:pPr>
    </w:p>
    <w:p>
      <w:pPr>
        <w:ind w:left="584" w:hanging="295"/>
        <w:spacing w:after="0"/>
        <w:tabs>
          <w:tab w:leader="none" w:pos="584"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IFRS 18 - "Presentation and Disclosures in Financial Statements" –</w:t>
      </w:r>
    </w:p>
    <w:p>
      <w:pPr>
        <w:spacing w:after="0" w:line="202" w:lineRule="exact"/>
        <w:rPr>
          <w:rFonts w:ascii="Arial" w:cs="Arial" w:eastAsia="Arial" w:hAnsi="Arial"/>
          <w:sz w:val="16"/>
          <w:szCs w:val="16"/>
          <w:color w:val="auto"/>
        </w:rPr>
      </w:pPr>
    </w:p>
    <w:p>
      <w:pPr>
        <w:ind w:left="584" w:right="100"/>
        <w:spacing w:after="0" w:line="241" w:lineRule="auto"/>
        <w:rPr>
          <w:rFonts w:ascii="Arial" w:cs="Arial" w:eastAsia="Arial" w:hAnsi="Arial"/>
          <w:sz w:val="16"/>
          <w:szCs w:val="16"/>
          <w:color w:val="auto"/>
        </w:rPr>
      </w:pPr>
      <w:r>
        <w:rPr>
          <w:rFonts w:ascii="Arial" w:cs="Arial" w:eastAsia="Arial" w:hAnsi="Arial"/>
          <w:sz w:val="16"/>
          <w:szCs w:val="16"/>
          <w:color w:val="auto"/>
        </w:rPr>
        <w:t>On April 9, 2024, the IASB issued IFRS 18 “Presentation and Disclosure in Financial Statements,” which replaces IAS 1 and introduces new requirements aimed at improving the quality of information presented in the financial statements, and promoting analysis, transparency, and comparability of entities’ performance. In particular, IFRS 18 requires all income and expenses in the statement of profit or loss to be classified into five categories: operating, investing, financing, income taxes, and discontinued operations (with the first three categories being new). It also incorporates standardized subtotals to provide a more consistent structure to the statement of profit or loss. In addition, IFRS 18 introduces disclosure requirements for management-defined performance measures (MPMs) and establishes criteria for the aggregation and disaggregation of information primary financial statements and in notes. It also includes amendments to IAS 7 regarding the presentation of cash flows (e.g., the starting point of the indirect method and the classification of interest and dividends).</w:t>
      </w:r>
    </w:p>
    <w:p>
      <w:pPr>
        <w:spacing w:after="0" w:line="150" w:lineRule="exact"/>
        <w:rPr>
          <w:rFonts w:ascii="Arial" w:cs="Arial" w:eastAsia="Arial" w:hAnsi="Arial"/>
          <w:sz w:val="16"/>
          <w:szCs w:val="16"/>
          <w:color w:val="auto"/>
        </w:rPr>
      </w:pPr>
    </w:p>
    <w:p>
      <w:pPr>
        <w:ind w:left="584" w:right="340"/>
        <w:spacing w:after="0" w:line="274" w:lineRule="auto"/>
        <w:rPr>
          <w:rFonts w:ascii="Arial" w:cs="Arial" w:eastAsia="Arial" w:hAnsi="Arial"/>
          <w:sz w:val="16"/>
          <w:szCs w:val="16"/>
          <w:color w:val="auto"/>
        </w:rPr>
      </w:pPr>
      <w:r>
        <w:rPr>
          <w:rFonts w:ascii="Arial" w:cs="Arial" w:eastAsia="Arial" w:hAnsi="Arial"/>
          <w:sz w:val="16"/>
          <w:szCs w:val="16"/>
          <w:color w:val="auto"/>
        </w:rPr>
        <w:t>This new standard will come into force on January 1, 2027. Management is assessing the potential effects this could have on the Group's financial statements.</w:t>
      </w:r>
    </w:p>
    <w:p>
      <w:pPr>
        <w:spacing w:after="0" w:line="122" w:lineRule="exact"/>
        <w:rPr>
          <w:rFonts w:ascii="Arial" w:cs="Arial" w:eastAsia="Arial" w:hAnsi="Arial"/>
          <w:sz w:val="16"/>
          <w:szCs w:val="16"/>
          <w:color w:val="auto"/>
        </w:rPr>
      </w:pPr>
    </w:p>
    <w:p>
      <w:pPr>
        <w:ind w:left="584" w:hanging="295"/>
        <w:spacing w:after="0"/>
        <w:tabs>
          <w:tab w:leader="none" w:pos="584" w:val="left"/>
        </w:tabs>
        <w:numPr>
          <w:ilvl w:val="1"/>
          <w:numId w:val="65"/>
        </w:numPr>
        <w:rPr>
          <w:rFonts w:ascii="Arial" w:cs="Arial" w:eastAsia="Arial" w:hAnsi="Arial"/>
          <w:sz w:val="16"/>
          <w:szCs w:val="16"/>
          <w:color w:val="auto"/>
        </w:rPr>
      </w:pPr>
      <w:r>
        <w:rPr>
          <w:rFonts w:ascii="Arial" w:cs="Arial" w:eastAsia="Arial" w:hAnsi="Arial"/>
          <w:sz w:val="16"/>
          <w:szCs w:val="16"/>
          <w:color w:val="auto"/>
        </w:rPr>
        <w:t>Amendments to IFRS 9 and IFRS 7 “Amendments to the classification and measurement of financial instruments” –</w:t>
      </w:r>
    </w:p>
    <w:p>
      <w:pPr>
        <w:spacing w:after="0" w:line="202" w:lineRule="exact"/>
        <w:rPr>
          <w:rFonts w:ascii="Arial" w:cs="Arial" w:eastAsia="Arial" w:hAnsi="Arial"/>
          <w:sz w:val="16"/>
          <w:szCs w:val="16"/>
          <w:color w:val="auto"/>
        </w:rPr>
      </w:pPr>
    </w:p>
    <w:p>
      <w:pPr>
        <w:ind w:left="584" w:right="580"/>
        <w:spacing w:after="0" w:line="255" w:lineRule="auto"/>
        <w:rPr>
          <w:rFonts w:ascii="Arial" w:cs="Arial" w:eastAsia="Arial" w:hAnsi="Arial"/>
          <w:sz w:val="16"/>
          <w:szCs w:val="16"/>
          <w:color w:val="auto"/>
        </w:rPr>
      </w:pPr>
      <w:r>
        <w:rPr>
          <w:rFonts w:ascii="Arial" w:cs="Arial" w:eastAsia="Arial" w:hAnsi="Arial"/>
          <w:sz w:val="16"/>
          <w:szCs w:val="16"/>
          <w:color w:val="auto"/>
        </w:rPr>
        <w:t>On May 30, 2024, the IASB issued amendments to IFRS 9 and IFRS 7, which include, among other aspects, clarifications on the requirements for the recognition and derecognition of financial assets and financial liabilities. The amendments also provide additional guidance on</w:t>
      </w:r>
    </w:p>
    <w:p>
      <w:pPr>
        <w:spacing w:after="0" w:line="294" w:lineRule="exact"/>
        <w:rPr>
          <w:rFonts w:ascii="Arial" w:cs="Arial" w:eastAsia="Arial" w:hAnsi="Arial"/>
          <w:sz w:val="16"/>
          <w:szCs w:val="16"/>
          <w:color w:val="auto"/>
        </w:rPr>
      </w:pPr>
    </w:p>
    <w:p>
      <w:pPr>
        <w:ind w:left="4964" w:hanging="104"/>
        <w:spacing w:after="0"/>
        <w:tabs>
          <w:tab w:leader="none" w:pos="4964" w:val="left"/>
        </w:tabs>
        <w:numPr>
          <w:ilvl w:val="2"/>
          <w:numId w:val="65"/>
        </w:numPr>
        <w:rPr>
          <w:rFonts w:ascii="Arial" w:cs="Arial" w:eastAsia="Arial" w:hAnsi="Arial"/>
          <w:sz w:val="16"/>
          <w:szCs w:val="16"/>
          <w:color w:val="auto"/>
        </w:rPr>
      </w:pPr>
      <w:r>
        <w:rPr>
          <w:rFonts w:ascii="Arial" w:cs="Arial" w:eastAsia="Arial" w:hAnsi="Arial"/>
          <w:sz w:val="16"/>
          <w:szCs w:val="16"/>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61" w:name="page62"/>
    <w:bookmarkEnd w:id="61"/>
    <w:p>
      <w:pPr>
        <w:ind w:left="1160" w:right="80"/>
        <w:spacing w:after="0" w:line="274" w:lineRule="auto"/>
        <w:rPr>
          <w:sz w:val="20"/>
          <w:szCs w:val="20"/>
          <w:color w:val="auto"/>
        </w:rPr>
      </w:pPr>
      <w:r>
        <w:rPr>
          <w:rFonts w:ascii="Arial" w:cs="Arial" w:eastAsia="Arial" w:hAnsi="Arial"/>
          <w:sz w:val="16"/>
          <w:szCs w:val="16"/>
          <w:color w:val="auto"/>
        </w:rPr>
        <w:t>assessing the contractual cash flow characteristics of financial assets that incorporate ESG features or similar contingent characteristics, and clarify the scope of non-recourse financing arrangements and contractually linked instruments.</w:t>
      </w:r>
    </w:p>
    <w:p>
      <w:pPr>
        <w:spacing w:after="0" w:line="123" w:lineRule="exact"/>
        <w:rPr>
          <w:sz w:val="20"/>
          <w:szCs w:val="20"/>
          <w:color w:val="auto"/>
        </w:rPr>
      </w:pPr>
    </w:p>
    <w:p>
      <w:pPr>
        <w:ind w:left="1160" w:right="200"/>
        <w:spacing w:after="0" w:line="248" w:lineRule="auto"/>
        <w:rPr>
          <w:sz w:val="20"/>
          <w:szCs w:val="20"/>
          <w:color w:val="auto"/>
        </w:rPr>
      </w:pPr>
      <w:r>
        <w:rPr>
          <w:rFonts w:ascii="Arial" w:cs="Arial" w:eastAsia="Arial" w:hAnsi="Arial"/>
          <w:sz w:val="16"/>
          <w:szCs w:val="16"/>
          <w:color w:val="auto"/>
        </w:rPr>
        <w:t>In addition, the amendments clarify that a financial liability is derecognized on the “settlement date” and introduce (under certain conditions) an accounting policy option that permits early derecognition of financial liabilities settled through an electronic payment system before the settlement date. Finally, the amendments introduce disclosure requirements for instruments with contingent features and additional disclosures for equity instruments classified at fair value through other comprehensive income.</w:t>
      </w:r>
    </w:p>
    <w:p>
      <w:pPr>
        <w:spacing w:after="0" w:line="144" w:lineRule="exact"/>
        <w:rPr>
          <w:sz w:val="20"/>
          <w:szCs w:val="20"/>
          <w:color w:val="auto"/>
        </w:rPr>
      </w:pPr>
    </w:p>
    <w:p>
      <w:pPr>
        <w:ind w:left="1160"/>
        <w:spacing w:after="0" w:line="274" w:lineRule="auto"/>
        <w:rPr>
          <w:sz w:val="20"/>
          <w:szCs w:val="20"/>
          <w:color w:val="auto"/>
        </w:rPr>
      </w:pPr>
      <w:r>
        <w:rPr>
          <w:rFonts w:ascii="Arial" w:cs="Arial" w:eastAsia="Arial" w:hAnsi="Arial"/>
          <w:sz w:val="16"/>
          <w:szCs w:val="16"/>
          <w:color w:val="auto"/>
        </w:rPr>
        <w:t>The amendments are applicable for annual periods beginning on or after January 1, 2026. Management is assessing the potential effects they may have on the Group’s consolidated financial statements.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jc w:val="right"/>
              <w:ind w:right="185"/>
              <w:spacing w:after="0"/>
              <w:rPr>
                <w:sz w:val="20"/>
                <w:szCs w:val="20"/>
                <w:color w:val="auto"/>
              </w:rPr>
            </w:pPr>
            <w:r>
              <w:rPr>
                <w:rFonts w:ascii="Arial" w:cs="Arial" w:eastAsia="Arial" w:hAnsi="Arial"/>
                <w:sz w:val="15"/>
                <w:szCs w:val="15"/>
                <w:b w:val="1"/>
                <w:bCs w:val="1"/>
                <w:color w:val="auto"/>
                <w:w w:val="71"/>
              </w:rPr>
              <w:t>4</w:t>
            </w:r>
          </w:p>
        </w:tc>
        <w:tc>
          <w:tcPr>
            <w:tcW w:w="7540" w:type="dxa"/>
            <w:vAlign w:val="bottom"/>
            <w:gridSpan w:val="2"/>
          </w:tcPr>
          <w:p>
            <w:pPr>
              <w:ind w:left="240"/>
              <w:spacing w:after="0"/>
              <w:rPr>
                <w:sz w:val="20"/>
                <w:szCs w:val="20"/>
                <w:color w:val="auto"/>
              </w:rPr>
            </w:pPr>
            <w:r>
              <w:rPr>
                <w:rFonts w:ascii="Arial" w:cs="Arial" w:eastAsia="Arial" w:hAnsi="Arial"/>
                <w:sz w:val="16"/>
                <w:szCs w:val="16"/>
                <w:b w:val="1"/>
                <w:bCs w:val="1"/>
                <w:color w:val="auto"/>
              </w:rPr>
              <w:t>CASH AND DUE FROM BANKS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54"/>
        </w:trPr>
        <w:tc>
          <w:tcPr>
            <w:tcW w:w="340" w:type="dxa"/>
            <w:vAlign w:val="bottom"/>
          </w:tcPr>
          <w:p>
            <w:pPr>
              <w:spacing w:after="0"/>
              <w:rPr>
                <w:sz w:val="24"/>
                <w:szCs w:val="24"/>
                <w:color w:val="auto"/>
              </w:rPr>
            </w:pPr>
          </w:p>
        </w:tc>
        <w:tc>
          <w:tcPr>
            <w:tcW w:w="7540" w:type="dxa"/>
            <w:vAlign w:val="bottom"/>
            <w:gridSpan w:val="2"/>
          </w:tcPr>
          <w:p>
            <w:pPr>
              <w:ind w:left="240"/>
              <w:spacing w:after="0"/>
              <w:rPr>
                <w:sz w:val="20"/>
                <w:szCs w:val="20"/>
                <w:color w:val="auto"/>
              </w:rPr>
            </w:pPr>
            <w:r>
              <w:rPr>
                <w:rFonts w:ascii="Arial" w:cs="Arial" w:eastAsia="Arial" w:hAnsi="Arial"/>
                <w:sz w:val="16"/>
                <w:szCs w:val="16"/>
                <w:color w:val="auto"/>
              </w:rPr>
              <w:t>a) The composition of the item is presented below:</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0"/>
        </w:trPr>
        <w:tc>
          <w:tcPr>
            <w:tcW w:w="340" w:type="dxa"/>
            <w:vAlign w:val="bottom"/>
          </w:tcPr>
          <w:p>
            <w:pPr>
              <w:spacing w:after="0"/>
              <w:rPr>
                <w:sz w:val="24"/>
                <w:szCs w:val="24"/>
                <w:color w:val="auto"/>
              </w:rPr>
            </w:pPr>
          </w:p>
        </w:tc>
        <w:tc>
          <w:tcPr>
            <w:tcW w:w="7540" w:type="dxa"/>
            <w:vAlign w:val="bottom"/>
            <w:gridSpan w:val="2"/>
          </w:tcPr>
          <w:p>
            <w:pPr>
              <w:ind w:left="6740"/>
              <w:spacing w:after="0"/>
              <w:rPr>
                <w:sz w:val="20"/>
                <w:szCs w:val="20"/>
                <w:color w:val="auto"/>
              </w:rPr>
            </w:pPr>
            <w:r>
              <w:rPr>
                <w:rFonts w:ascii="Arial" w:cs="Arial" w:eastAsia="Arial" w:hAnsi="Arial"/>
                <w:sz w:val="16"/>
                <w:szCs w:val="16"/>
                <w:b w:val="1"/>
                <w:bCs w:val="1"/>
                <w:color w:val="auto"/>
              </w:rPr>
              <w:t>2025</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ind w:left="40"/>
              <w:spacing w:after="0"/>
              <w:rPr>
                <w:sz w:val="20"/>
                <w:szCs w:val="20"/>
                <w:color w:val="auto"/>
              </w:rPr>
            </w:pPr>
            <w:r>
              <w:rPr>
                <w:rFonts w:ascii="Arial" w:cs="Arial" w:eastAsia="Arial" w:hAnsi="Arial"/>
                <w:sz w:val="16"/>
                <w:szCs w:val="16"/>
                <w:b w:val="1"/>
                <w:bCs w:val="1"/>
                <w:color w:val="auto"/>
              </w:rPr>
              <w:t>2024</w:t>
            </w:r>
          </w:p>
        </w:tc>
      </w:tr>
      <w:tr>
        <w:trPr>
          <w:trHeight w:val="214"/>
        </w:trPr>
        <w:tc>
          <w:tcPr>
            <w:tcW w:w="3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8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r>
      <w:tr>
        <w:trPr>
          <w:trHeight w:val="305"/>
        </w:trPr>
        <w:tc>
          <w:tcPr>
            <w:tcW w:w="340" w:type="dxa"/>
            <w:vAlign w:val="bottom"/>
          </w:tcPr>
          <w:p>
            <w:pPr>
              <w:spacing w:after="0"/>
              <w:rPr>
                <w:sz w:val="24"/>
                <w:szCs w:val="24"/>
                <w:color w:val="auto"/>
              </w:rPr>
            </w:pPr>
          </w:p>
        </w:tc>
        <w:tc>
          <w:tcPr>
            <w:tcW w:w="7540" w:type="dxa"/>
            <w:vAlign w:val="bottom"/>
            <w:gridSpan w:val="2"/>
          </w:tcPr>
          <w:p>
            <w:pPr>
              <w:ind w:left="520"/>
              <w:spacing w:after="0"/>
              <w:rPr>
                <w:sz w:val="20"/>
                <w:szCs w:val="20"/>
                <w:color w:val="auto"/>
              </w:rPr>
            </w:pPr>
            <w:r>
              <w:rPr>
                <w:rFonts w:ascii="Arial" w:cs="Arial" w:eastAsia="Arial" w:hAnsi="Arial"/>
                <w:sz w:val="16"/>
                <w:szCs w:val="16"/>
                <w:color w:val="auto"/>
              </w:rPr>
              <w:t>Cash and clearing (b)</w:t>
            </w:r>
          </w:p>
        </w:tc>
        <w:tc>
          <w:tcPr>
            <w:tcW w:w="1120" w:type="dxa"/>
            <w:vAlign w:val="bottom"/>
          </w:tcPr>
          <w:p>
            <w:pPr>
              <w:jc w:val="right"/>
              <w:spacing w:after="0"/>
              <w:rPr>
                <w:sz w:val="20"/>
                <w:szCs w:val="20"/>
                <w:color w:val="auto"/>
              </w:rPr>
            </w:pPr>
            <w:r>
              <w:rPr>
                <w:rFonts w:ascii="Arial" w:cs="Arial" w:eastAsia="Arial" w:hAnsi="Arial"/>
                <w:sz w:val="16"/>
                <w:szCs w:val="16"/>
                <w:color w:val="auto"/>
              </w:rPr>
              <w:t>5,286,242</w:t>
            </w:r>
          </w:p>
        </w:tc>
        <w:tc>
          <w:tcPr>
            <w:tcW w:w="3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4,892,244</w:t>
            </w:r>
          </w:p>
        </w:tc>
      </w:tr>
      <w:tr>
        <w:trPr>
          <w:trHeight w:val="181"/>
        </w:trPr>
        <w:tc>
          <w:tcPr>
            <w:tcW w:w="340" w:type="dxa"/>
            <w:vAlign w:val="bottom"/>
          </w:tcPr>
          <w:p>
            <w:pPr>
              <w:spacing w:after="0"/>
              <w:rPr>
                <w:sz w:val="15"/>
                <w:szCs w:val="15"/>
                <w:color w:val="auto"/>
              </w:rPr>
            </w:pPr>
          </w:p>
        </w:tc>
        <w:tc>
          <w:tcPr>
            <w:tcW w:w="7540" w:type="dxa"/>
            <w:vAlign w:val="bottom"/>
            <w:gridSpan w:val="2"/>
          </w:tcPr>
          <w:p>
            <w:pPr>
              <w:ind w:left="520"/>
              <w:spacing w:after="0" w:line="181" w:lineRule="exact"/>
              <w:rPr>
                <w:sz w:val="20"/>
                <w:szCs w:val="20"/>
                <w:color w:val="auto"/>
              </w:rPr>
            </w:pPr>
            <w:r>
              <w:rPr>
                <w:rFonts w:ascii="Arial" w:cs="Arial" w:eastAsia="Arial" w:hAnsi="Arial"/>
                <w:sz w:val="16"/>
                <w:szCs w:val="16"/>
                <w:color w:val="auto"/>
              </w:rPr>
              <w:t>Deposits with Central Reserve Bank of Peru (BCRP) (b)</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36,718,552</w:t>
            </w:r>
          </w:p>
        </w:tc>
        <w:tc>
          <w:tcPr>
            <w:tcW w:w="300" w:type="dxa"/>
            <w:vAlign w:val="bottom"/>
          </w:tcPr>
          <w:p>
            <w:pPr>
              <w:spacing w:after="0"/>
              <w:rPr>
                <w:sz w:val="15"/>
                <w:szCs w:val="15"/>
                <w:color w:val="auto"/>
              </w:rPr>
            </w:pPr>
          </w:p>
        </w:tc>
        <w:tc>
          <w:tcPr>
            <w:tcW w:w="1860" w:type="dxa"/>
            <w:vAlign w:val="bottom"/>
          </w:tcPr>
          <w:p>
            <w:pPr>
              <w:jc w:val="right"/>
              <w:spacing w:after="0" w:line="181" w:lineRule="exact"/>
              <w:rPr>
                <w:sz w:val="20"/>
                <w:szCs w:val="20"/>
                <w:color w:val="auto"/>
              </w:rPr>
            </w:pPr>
            <w:r>
              <w:rPr>
                <w:rFonts w:ascii="Arial" w:cs="Arial" w:eastAsia="Arial" w:hAnsi="Arial"/>
                <w:sz w:val="16"/>
                <w:szCs w:val="16"/>
                <w:color w:val="auto"/>
              </w:rPr>
              <w:t>36,665,481</w:t>
            </w:r>
          </w:p>
        </w:tc>
      </w:tr>
      <w:tr>
        <w:trPr>
          <w:trHeight w:val="181"/>
        </w:trPr>
        <w:tc>
          <w:tcPr>
            <w:tcW w:w="340" w:type="dxa"/>
            <w:vAlign w:val="bottom"/>
          </w:tcPr>
          <w:p>
            <w:pPr>
              <w:spacing w:after="0"/>
              <w:rPr>
                <w:sz w:val="15"/>
                <w:szCs w:val="15"/>
                <w:color w:val="auto"/>
              </w:rPr>
            </w:pPr>
          </w:p>
        </w:tc>
        <w:tc>
          <w:tcPr>
            <w:tcW w:w="7540" w:type="dxa"/>
            <w:vAlign w:val="bottom"/>
            <w:gridSpan w:val="2"/>
          </w:tcPr>
          <w:p>
            <w:pPr>
              <w:ind w:left="520"/>
              <w:spacing w:after="0" w:line="181" w:lineRule="exact"/>
              <w:rPr>
                <w:sz w:val="20"/>
                <w:szCs w:val="20"/>
                <w:color w:val="auto"/>
              </w:rPr>
            </w:pPr>
            <w:r>
              <w:rPr>
                <w:rFonts w:ascii="Arial" w:cs="Arial" w:eastAsia="Arial" w:hAnsi="Arial"/>
                <w:sz w:val="16"/>
                <w:szCs w:val="16"/>
                <w:color w:val="auto"/>
              </w:rPr>
              <w:t>Deposits with Central Bank of Bolivia and Colombia (b)</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1,359,211</w:t>
            </w:r>
          </w:p>
        </w:tc>
        <w:tc>
          <w:tcPr>
            <w:tcW w:w="300" w:type="dxa"/>
            <w:vAlign w:val="bottom"/>
          </w:tcPr>
          <w:p>
            <w:pPr>
              <w:spacing w:after="0"/>
              <w:rPr>
                <w:sz w:val="15"/>
                <w:szCs w:val="15"/>
                <w:color w:val="auto"/>
              </w:rPr>
            </w:pPr>
          </w:p>
        </w:tc>
        <w:tc>
          <w:tcPr>
            <w:tcW w:w="1860" w:type="dxa"/>
            <w:vAlign w:val="bottom"/>
          </w:tcPr>
          <w:p>
            <w:pPr>
              <w:jc w:val="right"/>
              <w:spacing w:after="0" w:line="181" w:lineRule="exact"/>
              <w:rPr>
                <w:sz w:val="20"/>
                <w:szCs w:val="20"/>
                <w:color w:val="auto"/>
              </w:rPr>
            </w:pPr>
            <w:r>
              <w:rPr>
                <w:rFonts w:ascii="Arial" w:cs="Arial" w:eastAsia="Arial" w:hAnsi="Arial"/>
                <w:sz w:val="16"/>
                <w:szCs w:val="16"/>
                <w:color w:val="auto"/>
              </w:rPr>
              <w:t>1,414,889</w:t>
            </w:r>
          </w:p>
        </w:tc>
      </w:tr>
      <w:tr>
        <w:trPr>
          <w:trHeight w:val="181"/>
        </w:trPr>
        <w:tc>
          <w:tcPr>
            <w:tcW w:w="340" w:type="dxa"/>
            <w:vAlign w:val="bottom"/>
          </w:tcPr>
          <w:p>
            <w:pPr>
              <w:spacing w:after="0"/>
              <w:rPr>
                <w:sz w:val="15"/>
                <w:szCs w:val="15"/>
                <w:color w:val="auto"/>
              </w:rPr>
            </w:pPr>
          </w:p>
        </w:tc>
        <w:tc>
          <w:tcPr>
            <w:tcW w:w="7540" w:type="dxa"/>
            <w:vAlign w:val="bottom"/>
            <w:gridSpan w:val="2"/>
          </w:tcPr>
          <w:p>
            <w:pPr>
              <w:ind w:left="520"/>
              <w:spacing w:after="0" w:line="181" w:lineRule="exact"/>
              <w:rPr>
                <w:sz w:val="20"/>
                <w:szCs w:val="20"/>
                <w:color w:val="auto"/>
              </w:rPr>
            </w:pPr>
            <w:r>
              <w:rPr>
                <w:rFonts w:ascii="Arial" w:cs="Arial" w:eastAsia="Arial" w:hAnsi="Arial"/>
                <w:sz w:val="16"/>
                <w:szCs w:val="16"/>
                <w:color w:val="auto"/>
              </w:rPr>
              <w:t>Deposits with foreign banks (c)</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4,529,356</w:t>
            </w:r>
          </w:p>
        </w:tc>
        <w:tc>
          <w:tcPr>
            <w:tcW w:w="300" w:type="dxa"/>
            <w:vAlign w:val="bottom"/>
          </w:tcPr>
          <w:p>
            <w:pPr>
              <w:spacing w:after="0"/>
              <w:rPr>
                <w:sz w:val="15"/>
                <w:szCs w:val="15"/>
                <w:color w:val="auto"/>
              </w:rPr>
            </w:pPr>
          </w:p>
        </w:tc>
        <w:tc>
          <w:tcPr>
            <w:tcW w:w="1860" w:type="dxa"/>
            <w:vAlign w:val="bottom"/>
          </w:tcPr>
          <w:p>
            <w:pPr>
              <w:jc w:val="right"/>
              <w:spacing w:after="0" w:line="181" w:lineRule="exact"/>
              <w:rPr>
                <w:sz w:val="20"/>
                <w:szCs w:val="20"/>
                <w:color w:val="auto"/>
              </w:rPr>
            </w:pPr>
            <w:r>
              <w:rPr>
                <w:rFonts w:ascii="Arial" w:cs="Arial" w:eastAsia="Arial" w:hAnsi="Arial"/>
                <w:sz w:val="16"/>
                <w:szCs w:val="16"/>
                <w:color w:val="auto"/>
              </w:rPr>
              <w:t>3,841,338</w:t>
            </w:r>
          </w:p>
        </w:tc>
      </w:tr>
      <w:tr>
        <w:trPr>
          <w:trHeight w:val="181"/>
        </w:trPr>
        <w:tc>
          <w:tcPr>
            <w:tcW w:w="340" w:type="dxa"/>
            <w:vAlign w:val="bottom"/>
          </w:tcPr>
          <w:p>
            <w:pPr>
              <w:spacing w:after="0"/>
              <w:rPr>
                <w:sz w:val="15"/>
                <w:szCs w:val="15"/>
                <w:color w:val="auto"/>
              </w:rPr>
            </w:pPr>
          </w:p>
        </w:tc>
        <w:tc>
          <w:tcPr>
            <w:tcW w:w="7540" w:type="dxa"/>
            <w:vAlign w:val="bottom"/>
            <w:gridSpan w:val="2"/>
          </w:tcPr>
          <w:p>
            <w:pPr>
              <w:ind w:left="520"/>
              <w:spacing w:after="0" w:line="181" w:lineRule="exact"/>
              <w:rPr>
                <w:sz w:val="20"/>
                <w:szCs w:val="20"/>
                <w:color w:val="auto"/>
              </w:rPr>
            </w:pPr>
            <w:r>
              <w:rPr>
                <w:rFonts w:ascii="Arial" w:cs="Arial" w:eastAsia="Arial" w:hAnsi="Arial"/>
                <w:sz w:val="16"/>
                <w:szCs w:val="16"/>
                <w:color w:val="auto"/>
              </w:rPr>
              <w:t>Deposits with local banks (c)</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969,653</w:t>
            </w:r>
          </w:p>
        </w:tc>
        <w:tc>
          <w:tcPr>
            <w:tcW w:w="300" w:type="dxa"/>
            <w:vAlign w:val="bottom"/>
          </w:tcPr>
          <w:p>
            <w:pPr>
              <w:spacing w:after="0"/>
              <w:rPr>
                <w:sz w:val="15"/>
                <w:szCs w:val="15"/>
                <w:color w:val="auto"/>
              </w:rPr>
            </w:pPr>
          </w:p>
        </w:tc>
        <w:tc>
          <w:tcPr>
            <w:tcW w:w="1860" w:type="dxa"/>
            <w:vAlign w:val="bottom"/>
          </w:tcPr>
          <w:p>
            <w:pPr>
              <w:jc w:val="right"/>
              <w:spacing w:after="0" w:line="181" w:lineRule="exact"/>
              <w:rPr>
                <w:sz w:val="20"/>
                <w:szCs w:val="20"/>
                <w:color w:val="auto"/>
              </w:rPr>
            </w:pPr>
            <w:r>
              <w:rPr>
                <w:rFonts w:ascii="Arial" w:cs="Arial" w:eastAsia="Arial" w:hAnsi="Arial"/>
                <w:sz w:val="16"/>
                <w:szCs w:val="16"/>
                <w:color w:val="auto"/>
              </w:rPr>
              <w:t>638,272</w:t>
            </w:r>
          </w:p>
        </w:tc>
      </w:tr>
      <w:tr>
        <w:trPr>
          <w:trHeight w:val="181"/>
        </w:trPr>
        <w:tc>
          <w:tcPr>
            <w:tcW w:w="340" w:type="dxa"/>
            <w:vAlign w:val="bottom"/>
          </w:tcPr>
          <w:p>
            <w:pPr>
              <w:spacing w:after="0"/>
              <w:rPr>
                <w:sz w:val="15"/>
                <w:szCs w:val="15"/>
                <w:color w:val="auto"/>
              </w:rPr>
            </w:pPr>
          </w:p>
        </w:tc>
        <w:tc>
          <w:tcPr>
            <w:tcW w:w="7540" w:type="dxa"/>
            <w:vAlign w:val="bottom"/>
            <w:gridSpan w:val="2"/>
          </w:tcPr>
          <w:p>
            <w:pPr>
              <w:ind w:left="520"/>
              <w:spacing w:after="0" w:line="181" w:lineRule="exact"/>
              <w:rPr>
                <w:sz w:val="20"/>
                <w:szCs w:val="20"/>
                <w:color w:val="auto"/>
              </w:rPr>
            </w:pPr>
            <w:r>
              <w:rPr>
                <w:rFonts w:ascii="Arial" w:cs="Arial" w:eastAsia="Arial" w:hAnsi="Arial"/>
                <w:sz w:val="16"/>
                <w:szCs w:val="16"/>
                <w:color w:val="auto"/>
              </w:rPr>
              <w:t>Interbank funds</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60,117</w:t>
            </w:r>
          </w:p>
        </w:tc>
        <w:tc>
          <w:tcPr>
            <w:tcW w:w="300" w:type="dxa"/>
            <w:vAlign w:val="bottom"/>
          </w:tcPr>
          <w:p>
            <w:pPr>
              <w:spacing w:after="0"/>
              <w:rPr>
                <w:sz w:val="15"/>
                <w:szCs w:val="15"/>
                <w:color w:val="auto"/>
              </w:rPr>
            </w:pPr>
          </w:p>
        </w:tc>
        <w:tc>
          <w:tcPr>
            <w:tcW w:w="1860" w:type="dxa"/>
            <w:vAlign w:val="bottom"/>
          </w:tcPr>
          <w:p>
            <w:pPr>
              <w:jc w:val="right"/>
              <w:spacing w:after="0" w:line="181" w:lineRule="exact"/>
              <w:rPr>
                <w:sz w:val="20"/>
                <w:szCs w:val="20"/>
                <w:color w:val="auto"/>
              </w:rPr>
            </w:pPr>
            <w:r>
              <w:rPr>
                <w:rFonts w:ascii="Arial" w:cs="Arial" w:eastAsia="Arial" w:hAnsi="Arial"/>
                <w:sz w:val="16"/>
                <w:szCs w:val="16"/>
                <w:color w:val="auto"/>
              </w:rPr>
              <w:t>54,687</w:t>
            </w:r>
          </w:p>
        </w:tc>
      </w:tr>
      <w:tr>
        <w:trPr>
          <w:trHeight w:val="198"/>
        </w:trPr>
        <w:tc>
          <w:tcPr>
            <w:tcW w:w="340" w:type="dxa"/>
            <w:vAlign w:val="bottom"/>
          </w:tcPr>
          <w:p>
            <w:pPr>
              <w:spacing w:after="0"/>
              <w:rPr>
                <w:sz w:val="17"/>
                <w:szCs w:val="17"/>
                <w:color w:val="auto"/>
              </w:rPr>
            </w:pPr>
          </w:p>
        </w:tc>
        <w:tc>
          <w:tcPr>
            <w:tcW w:w="7540" w:type="dxa"/>
            <w:vAlign w:val="bottom"/>
            <w:gridSpan w:val="2"/>
          </w:tcPr>
          <w:p>
            <w:pPr>
              <w:ind w:left="520"/>
              <w:spacing w:after="0"/>
              <w:rPr>
                <w:sz w:val="20"/>
                <w:szCs w:val="20"/>
                <w:color w:val="auto"/>
              </w:rPr>
            </w:pPr>
            <w:r>
              <w:rPr>
                <w:rFonts w:ascii="Arial" w:cs="Arial" w:eastAsia="Arial" w:hAnsi="Arial"/>
                <w:sz w:val="16"/>
                <w:szCs w:val="16"/>
                <w:color w:val="auto"/>
              </w:rPr>
              <w:t>Accrued interest</w:t>
            </w:r>
          </w:p>
        </w:tc>
        <w:tc>
          <w:tcPr>
            <w:tcW w:w="1120" w:type="dxa"/>
            <w:vAlign w:val="bottom"/>
          </w:tcPr>
          <w:p>
            <w:pPr>
              <w:jc w:val="right"/>
              <w:spacing w:after="0"/>
              <w:rPr>
                <w:sz w:val="20"/>
                <w:szCs w:val="20"/>
                <w:color w:val="auto"/>
              </w:rPr>
            </w:pPr>
            <w:r>
              <w:rPr>
                <w:rFonts w:ascii="Arial" w:cs="Arial" w:eastAsia="Arial" w:hAnsi="Arial"/>
                <w:sz w:val="16"/>
                <w:szCs w:val="16"/>
                <w:color w:val="auto"/>
              </w:rPr>
              <w:t>50,571</w:t>
            </w:r>
          </w:p>
        </w:tc>
        <w:tc>
          <w:tcPr>
            <w:tcW w:w="3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63,192</w:t>
            </w:r>
          </w:p>
        </w:tc>
      </w:tr>
      <w:tr>
        <w:trPr>
          <w:trHeight w:val="156"/>
        </w:trPr>
        <w:tc>
          <w:tcPr>
            <w:tcW w:w="340" w:type="dxa"/>
            <w:vAlign w:val="bottom"/>
          </w:tcPr>
          <w:p>
            <w:pPr>
              <w:spacing w:after="0"/>
              <w:rPr>
                <w:sz w:val="13"/>
                <w:szCs w:val="13"/>
                <w:color w:val="auto"/>
              </w:rPr>
            </w:pPr>
          </w:p>
        </w:tc>
        <w:tc>
          <w:tcPr>
            <w:tcW w:w="6680" w:type="dxa"/>
            <w:vAlign w:val="bottom"/>
          </w:tcPr>
          <w:p>
            <w:pPr>
              <w:ind w:left="520"/>
              <w:spacing w:after="0" w:line="156" w:lineRule="exact"/>
              <w:rPr>
                <w:sz w:val="20"/>
                <w:szCs w:val="20"/>
                <w:color w:val="auto"/>
              </w:rPr>
            </w:pPr>
            <w:r>
              <w:rPr>
                <w:rFonts w:ascii="Arial" w:cs="Arial" w:eastAsia="Arial" w:hAnsi="Arial"/>
                <w:sz w:val="16"/>
                <w:szCs w:val="16"/>
                <w:color w:val="auto"/>
              </w:rPr>
              <w:t>Total cash and cash equivalents</w:t>
            </w:r>
          </w:p>
        </w:tc>
        <w:tc>
          <w:tcPr>
            <w:tcW w:w="8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48,973,702</w:t>
            </w:r>
          </w:p>
        </w:tc>
        <w:tc>
          <w:tcPr>
            <w:tcW w:w="300" w:type="dxa"/>
            <w:vAlign w:val="bottom"/>
          </w:tcPr>
          <w:p>
            <w:pPr>
              <w:spacing w:after="0"/>
              <w:rPr>
                <w:sz w:val="13"/>
                <w:szCs w:val="13"/>
                <w:color w:val="auto"/>
              </w:rPr>
            </w:pPr>
          </w:p>
        </w:tc>
        <w:tc>
          <w:tcPr>
            <w:tcW w:w="1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47,570,103</w:t>
            </w:r>
          </w:p>
        </w:tc>
      </w:tr>
      <w:tr>
        <w:trPr>
          <w:trHeight w:val="198"/>
        </w:trPr>
        <w:tc>
          <w:tcPr>
            <w:tcW w:w="340" w:type="dxa"/>
            <w:vAlign w:val="bottom"/>
          </w:tcPr>
          <w:p>
            <w:pPr>
              <w:spacing w:after="0"/>
              <w:rPr>
                <w:sz w:val="17"/>
                <w:szCs w:val="17"/>
                <w:color w:val="auto"/>
              </w:rPr>
            </w:pPr>
          </w:p>
        </w:tc>
        <w:tc>
          <w:tcPr>
            <w:tcW w:w="7540" w:type="dxa"/>
            <w:vAlign w:val="bottom"/>
            <w:gridSpan w:val="2"/>
          </w:tcPr>
          <w:p>
            <w:pPr>
              <w:ind w:left="520"/>
              <w:spacing w:after="0"/>
              <w:rPr>
                <w:sz w:val="20"/>
                <w:szCs w:val="20"/>
                <w:color w:val="auto"/>
              </w:rPr>
            </w:pPr>
            <w:r>
              <w:rPr>
                <w:rFonts w:ascii="Arial" w:cs="Arial" w:eastAsia="Arial" w:hAnsi="Arial"/>
                <w:sz w:val="16"/>
                <w:szCs w:val="16"/>
                <w:color w:val="auto"/>
              </w:rPr>
              <w:t>Restricted funds</w:t>
            </w:r>
          </w:p>
        </w:tc>
        <w:tc>
          <w:tcPr>
            <w:tcW w:w="1120" w:type="dxa"/>
            <w:vAlign w:val="bottom"/>
          </w:tcPr>
          <w:p>
            <w:pPr>
              <w:jc w:val="right"/>
              <w:spacing w:after="0"/>
              <w:rPr>
                <w:sz w:val="20"/>
                <w:szCs w:val="20"/>
                <w:color w:val="auto"/>
              </w:rPr>
            </w:pPr>
            <w:r>
              <w:rPr>
                <w:rFonts w:ascii="Arial" w:cs="Arial" w:eastAsia="Arial" w:hAnsi="Arial"/>
                <w:sz w:val="16"/>
                <w:szCs w:val="16"/>
                <w:color w:val="auto"/>
              </w:rPr>
              <w:t>70,755</w:t>
            </w:r>
          </w:p>
        </w:tc>
        <w:tc>
          <w:tcPr>
            <w:tcW w:w="3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85,093</w:t>
            </w:r>
          </w:p>
        </w:tc>
      </w:tr>
      <w:tr>
        <w:trPr>
          <w:trHeight w:val="177"/>
        </w:trPr>
        <w:tc>
          <w:tcPr>
            <w:tcW w:w="340" w:type="dxa"/>
            <w:vAlign w:val="bottom"/>
          </w:tcPr>
          <w:p>
            <w:pPr>
              <w:spacing w:after="0"/>
              <w:rPr>
                <w:sz w:val="15"/>
                <w:szCs w:val="15"/>
                <w:color w:val="auto"/>
              </w:rPr>
            </w:pPr>
          </w:p>
        </w:tc>
        <w:tc>
          <w:tcPr>
            <w:tcW w:w="6680" w:type="dxa"/>
            <w:vAlign w:val="bottom"/>
          </w:tcPr>
          <w:p>
            <w:pPr>
              <w:ind w:left="520"/>
              <w:spacing w:after="0" w:line="173" w:lineRule="exact"/>
              <w:rPr>
                <w:sz w:val="20"/>
                <w:szCs w:val="20"/>
                <w:color w:val="auto"/>
              </w:rPr>
            </w:pPr>
            <w:r>
              <w:rPr>
                <w:rFonts w:ascii="Arial" w:cs="Arial" w:eastAsia="Arial" w:hAnsi="Arial"/>
                <w:sz w:val="16"/>
                <w:szCs w:val="16"/>
                <w:b w:val="1"/>
                <w:bCs w:val="1"/>
                <w:color w:val="auto"/>
              </w:rPr>
              <w:t>Total cash</w:t>
            </w:r>
          </w:p>
        </w:tc>
        <w:tc>
          <w:tcPr>
            <w:tcW w:w="8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49,044,457</w:t>
            </w:r>
          </w:p>
        </w:tc>
        <w:tc>
          <w:tcPr>
            <w:tcW w:w="300" w:type="dxa"/>
            <w:vAlign w:val="bottom"/>
          </w:tcPr>
          <w:p>
            <w:pPr>
              <w:spacing w:after="0"/>
              <w:rPr>
                <w:sz w:val="15"/>
                <w:szCs w:val="15"/>
                <w:color w:val="auto"/>
              </w:rPr>
            </w:pPr>
          </w:p>
        </w:tc>
        <w:tc>
          <w:tcPr>
            <w:tcW w:w="18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47,655,196</w:t>
            </w:r>
          </w:p>
        </w:tc>
      </w:tr>
    </w:tbl>
    <w:p>
      <w:pPr>
        <w:spacing w:after="0" w:line="17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Cash and cash equivalents presented in the consolidated statement of cash flows exclude restricted funds, see Note 3(x).</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62" w:name="page63"/>
    <w:bookmarkEnd w:id="62"/>
    <w:p>
      <w:pPr>
        <w:ind w:left="294" w:hanging="294"/>
        <w:spacing w:after="0"/>
        <w:tabs>
          <w:tab w:leader="none" w:pos="294" w:val="left"/>
        </w:tabs>
        <w:numPr>
          <w:ilvl w:val="0"/>
          <w:numId w:val="66"/>
        </w:numPr>
        <w:rPr>
          <w:rFonts w:ascii="Arial" w:cs="Arial" w:eastAsia="Arial" w:hAnsi="Arial"/>
          <w:sz w:val="16"/>
          <w:szCs w:val="16"/>
          <w:color w:val="auto"/>
        </w:rPr>
      </w:pPr>
      <w:r>
        <w:rPr>
          <w:rFonts w:ascii="Arial" w:cs="Arial" w:eastAsia="Arial" w:hAnsi="Arial"/>
          <w:sz w:val="16"/>
          <w:szCs w:val="16"/>
          <w:color w:val="auto"/>
        </w:rPr>
        <w:t>Cash and clearing and deposits with Central Reserve Banks -</w:t>
      </w:r>
    </w:p>
    <w:p>
      <w:pPr>
        <w:spacing w:after="0" w:line="177" w:lineRule="exact"/>
        <w:rPr>
          <w:rFonts w:ascii="Arial" w:cs="Arial" w:eastAsia="Arial" w:hAnsi="Arial"/>
          <w:sz w:val="16"/>
          <w:szCs w:val="16"/>
          <w:color w:val="auto"/>
        </w:rPr>
      </w:pPr>
    </w:p>
    <w:p>
      <w:pPr>
        <w:ind w:left="294" w:right="100"/>
        <w:spacing w:after="0" w:line="274" w:lineRule="auto"/>
        <w:rPr>
          <w:rFonts w:ascii="Arial" w:cs="Arial" w:eastAsia="Arial" w:hAnsi="Arial"/>
          <w:sz w:val="16"/>
          <w:szCs w:val="16"/>
          <w:color w:val="auto"/>
        </w:rPr>
      </w:pPr>
      <w:r>
        <w:rPr>
          <w:rFonts w:ascii="Arial" w:cs="Arial" w:eastAsia="Arial" w:hAnsi="Arial"/>
          <w:sz w:val="16"/>
          <w:szCs w:val="16"/>
          <w:color w:val="auto"/>
        </w:rPr>
        <w:t>These accounts mainly include the legal cash requirements that Subsidiaries of Credicorp must be maintained able to honor their obligations with the public. The composition of these funds is as follows:</w:t>
      </w:r>
    </w:p>
    <w:p>
      <w:pPr>
        <w:spacing w:after="0" w:line="135" w:lineRule="exact"/>
        <w:rPr>
          <w:sz w:val="20"/>
          <w:szCs w:val="20"/>
          <w:color w:val="auto"/>
        </w:rPr>
      </w:pPr>
    </w:p>
    <w:tbl>
      <w:tblPr>
        <w:tblLayout w:type="fixed"/>
        <w:tblInd w:w="334" w:type="dxa"/>
        <w:tblCellMar>
          <w:top w:w="0" w:type="dxa"/>
          <w:left w:w="0" w:type="dxa"/>
          <w:bottom w:w="0" w:type="dxa"/>
          <w:right w:w="0" w:type="dxa"/>
        </w:tblCellMar>
      </w:tblPr>
      <w:tr>
        <w:trPr>
          <w:trHeight w:val="198"/>
        </w:trPr>
        <w:tc>
          <w:tcPr>
            <w:tcW w:w="6100" w:type="dxa"/>
            <w:vAlign w:val="bottom"/>
          </w:tcPr>
          <w:p>
            <w:pPr>
              <w:spacing w:after="0"/>
              <w:rPr>
                <w:sz w:val="17"/>
                <w:szCs w:val="17"/>
                <w:color w:val="auto"/>
              </w:rPr>
            </w:pPr>
          </w:p>
        </w:tc>
        <w:tc>
          <w:tcPr>
            <w:tcW w:w="3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6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6100" w:type="dxa"/>
            <w:vAlign w:val="bottom"/>
          </w:tcPr>
          <w:p>
            <w:pPr>
              <w:spacing w:after="0"/>
              <w:rPr>
                <w:sz w:val="20"/>
                <w:szCs w:val="20"/>
                <w:color w:val="auto"/>
              </w:rPr>
            </w:pPr>
            <w:r>
              <w:rPr>
                <w:rFonts w:ascii="Arial" w:cs="Arial" w:eastAsia="Arial" w:hAnsi="Arial"/>
                <w:sz w:val="16"/>
                <w:szCs w:val="16"/>
                <w:b w:val="1"/>
                <w:bCs w:val="1"/>
                <w:color w:val="auto"/>
              </w:rPr>
              <w:t>Legal cash requirements</w:t>
            </w: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6"/>
                <w:szCs w:val="16"/>
                <w:color w:val="auto"/>
              </w:rPr>
              <w:t>Deposits with Central Reserve Bank of Peru (i)</w:t>
            </w:r>
          </w:p>
        </w:tc>
        <w:tc>
          <w:tcPr>
            <w:tcW w:w="30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20,229,572</w:t>
            </w:r>
          </w:p>
        </w:tc>
        <w:tc>
          <w:tcPr>
            <w:tcW w:w="200" w:type="dxa"/>
            <w:vAlign w:val="bottom"/>
          </w:tcPr>
          <w:p>
            <w:pPr>
              <w:spacing w:after="0"/>
              <w:rPr>
                <w:sz w:val="15"/>
                <w:szCs w:val="15"/>
                <w:color w:val="auto"/>
              </w:rPr>
            </w:pP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21,665,571</w:t>
            </w: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6"/>
                <w:szCs w:val="16"/>
                <w:color w:val="auto"/>
              </w:rPr>
              <w:t>Deposits with Central Bank of Bolivia</w:t>
            </w:r>
          </w:p>
        </w:tc>
        <w:tc>
          <w:tcPr>
            <w:tcW w:w="32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1,336,684</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1,414,889</w:t>
            </w: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6"/>
                <w:szCs w:val="16"/>
                <w:color w:val="auto"/>
              </w:rPr>
              <w:t>Deposits with Bank of the Republic of Colombia</w:t>
            </w:r>
          </w:p>
        </w:tc>
        <w:tc>
          <w:tcPr>
            <w:tcW w:w="32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22,527</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r>
      <w:tr>
        <w:trPr>
          <w:trHeight w:val="202"/>
        </w:trPr>
        <w:tc>
          <w:tcPr>
            <w:tcW w:w="6100" w:type="dxa"/>
            <w:vAlign w:val="bottom"/>
          </w:tcPr>
          <w:p>
            <w:pPr>
              <w:spacing w:after="0"/>
              <w:rPr>
                <w:sz w:val="20"/>
                <w:szCs w:val="20"/>
                <w:color w:val="auto"/>
              </w:rPr>
            </w:pPr>
            <w:r>
              <w:rPr>
                <w:rFonts w:ascii="Arial" w:cs="Arial" w:eastAsia="Arial" w:hAnsi="Arial"/>
                <w:sz w:val="16"/>
                <w:szCs w:val="16"/>
                <w:color w:val="auto"/>
              </w:rPr>
              <w:t>Cash in vaults of Bank</w:t>
            </w:r>
          </w:p>
        </w:tc>
        <w:tc>
          <w:tcPr>
            <w:tcW w:w="3280" w:type="dxa"/>
            <w:vAlign w:val="bottom"/>
            <w:gridSpan w:val="3"/>
          </w:tcPr>
          <w:p>
            <w:pPr>
              <w:jc w:val="right"/>
              <w:ind w:right="200"/>
              <w:spacing w:after="0"/>
              <w:rPr>
                <w:sz w:val="20"/>
                <w:szCs w:val="20"/>
                <w:color w:val="auto"/>
              </w:rPr>
            </w:pPr>
            <w:r>
              <w:rPr>
                <w:rFonts w:ascii="Arial" w:cs="Arial" w:eastAsia="Arial" w:hAnsi="Arial"/>
                <w:sz w:val="16"/>
                <w:szCs w:val="16"/>
                <w:color w:val="auto"/>
              </w:rPr>
              <w:t>4,793,787</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4,420,164</w:t>
            </w:r>
          </w:p>
        </w:tc>
      </w:tr>
      <w:tr>
        <w:trPr>
          <w:trHeight w:val="185"/>
        </w:trPr>
        <w:tc>
          <w:tcPr>
            <w:tcW w:w="6100" w:type="dxa"/>
            <w:vAlign w:val="bottom"/>
          </w:tcPr>
          <w:p>
            <w:pPr>
              <w:spacing w:after="0" w:line="181" w:lineRule="exact"/>
              <w:rPr>
                <w:sz w:val="20"/>
                <w:szCs w:val="20"/>
                <w:color w:val="auto"/>
              </w:rPr>
            </w:pPr>
            <w:r>
              <w:rPr>
                <w:rFonts w:ascii="Arial" w:cs="Arial" w:eastAsia="Arial" w:hAnsi="Arial"/>
                <w:sz w:val="16"/>
                <w:szCs w:val="16"/>
                <w:b w:val="1"/>
                <w:bCs w:val="1"/>
                <w:color w:val="auto"/>
              </w:rPr>
              <w:t>Total legal cash requirements</w:t>
            </w:r>
          </w:p>
        </w:tc>
        <w:tc>
          <w:tcPr>
            <w:tcW w:w="2020" w:type="dxa"/>
            <w:vAlign w:val="bottom"/>
          </w:tcPr>
          <w:p>
            <w:pPr>
              <w:spacing w:after="0"/>
              <w:rPr>
                <w:sz w:val="16"/>
                <w:szCs w:val="16"/>
                <w:color w:val="auto"/>
              </w:rPr>
            </w:pPr>
          </w:p>
        </w:tc>
        <w:tc>
          <w:tcPr>
            <w:tcW w:w="10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26,382,570</w:t>
            </w:r>
          </w:p>
        </w:tc>
        <w:tc>
          <w:tcPr>
            <w:tcW w:w="20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27,500,624</w:t>
            </w:r>
          </w:p>
        </w:tc>
      </w:tr>
      <w:tr>
        <w:trPr>
          <w:trHeight w:val="345"/>
        </w:trPr>
        <w:tc>
          <w:tcPr>
            <w:tcW w:w="6100" w:type="dxa"/>
            <w:vAlign w:val="bottom"/>
          </w:tcPr>
          <w:p>
            <w:pPr>
              <w:spacing w:after="0"/>
              <w:rPr>
                <w:sz w:val="20"/>
                <w:szCs w:val="20"/>
                <w:color w:val="auto"/>
              </w:rPr>
            </w:pPr>
            <w:r>
              <w:rPr>
                <w:rFonts w:ascii="Arial" w:cs="Arial" w:eastAsia="Arial" w:hAnsi="Arial"/>
                <w:sz w:val="16"/>
                <w:szCs w:val="16"/>
                <w:b w:val="1"/>
                <w:bCs w:val="1"/>
                <w:color w:val="auto"/>
              </w:rPr>
              <w:t>Additional funds</w:t>
            </w:r>
          </w:p>
        </w:tc>
        <w:tc>
          <w:tcPr>
            <w:tcW w:w="20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6"/>
                <w:szCs w:val="16"/>
                <w:color w:val="auto"/>
              </w:rPr>
              <w:t>Overnight deposits with Central Reserve Bank of Peru (ii)</w:t>
            </w:r>
          </w:p>
        </w:tc>
        <w:tc>
          <w:tcPr>
            <w:tcW w:w="30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14,756,380</w:t>
            </w:r>
          </w:p>
        </w:tc>
        <w:tc>
          <w:tcPr>
            <w:tcW w:w="200" w:type="dxa"/>
            <w:vAlign w:val="bottom"/>
          </w:tcPr>
          <w:p>
            <w:pPr>
              <w:spacing w:after="0"/>
              <w:rPr>
                <w:sz w:val="15"/>
                <w:szCs w:val="15"/>
                <w:color w:val="auto"/>
              </w:rPr>
            </w:pP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14,049,388</w:t>
            </w: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6"/>
                <w:szCs w:val="16"/>
                <w:color w:val="auto"/>
              </w:rPr>
              <w:t>Term deposits with Central Reserve Bank of Peru (iii)</w:t>
            </w:r>
          </w:p>
        </w:tc>
        <w:tc>
          <w:tcPr>
            <w:tcW w:w="32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1,732,600</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240,000</w:t>
            </w: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6"/>
                <w:szCs w:val="16"/>
                <w:color w:val="auto"/>
              </w:rPr>
              <w:t>Cash in vaults of Bank and others</w:t>
            </w:r>
          </w:p>
        </w:tc>
        <w:tc>
          <w:tcPr>
            <w:tcW w:w="32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492,455</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472,080</w:t>
            </w:r>
          </w:p>
        </w:tc>
      </w:tr>
      <w:tr>
        <w:trPr>
          <w:trHeight w:val="202"/>
        </w:trPr>
        <w:tc>
          <w:tcPr>
            <w:tcW w:w="6100" w:type="dxa"/>
            <w:vAlign w:val="bottom"/>
          </w:tcPr>
          <w:p>
            <w:pPr>
              <w:spacing w:after="0"/>
              <w:rPr>
                <w:sz w:val="20"/>
                <w:szCs w:val="20"/>
                <w:color w:val="auto"/>
              </w:rPr>
            </w:pPr>
            <w:r>
              <w:rPr>
                <w:rFonts w:ascii="Arial" w:cs="Arial" w:eastAsia="Arial" w:hAnsi="Arial"/>
                <w:sz w:val="16"/>
                <w:szCs w:val="16"/>
                <w:color w:val="auto"/>
              </w:rPr>
              <w:t>Other Deposits BCRP</w:t>
            </w:r>
          </w:p>
        </w:tc>
        <w:tc>
          <w:tcPr>
            <w:tcW w:w="20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710,522</w:t>
            </w:r>
          </w:p>
        </w:tc>
      </w:tr>
      <w:tr>
        <w:trPr>
          <w:trHeight w:val="173"/>
        </w:trPr>
        <w:tc>
          <w:tcPr>
            <w:tcW w:w="6100" w:type="dxa"/>
            <w:vAlign w:val="bottom"/>
          </w:tcPr>
          <w:p>
            <w:pPr>
              <w:spacing w:after="0" w:line="165" w:lineRule="exact"/>
              <w:rPr>
                <w:sz w:val="20"/>
                <w:szCs w:val="20"/>
                <w:color w:val="auto"/>
              </w:rPr>
            </w:pPr>
            <w:r>
              <w:rPr>
                <w:rFonts w:ascii="Arial" w:cs="Arial" w:eastAsia="Arial" w:hAnsi="Arial"/>
                <w:sz w:val="16"/>
                <w:szCs w:val="16"/>
                <w:b w:val="1"/>
                <w:bCs w:val="1"/>
                <w:color w:val="auto"/>
              </w:rPr>
              <w:t>Total additional funds</w:t>
            </w:r>
          </w:p>
        </w:tc>
        <w:tc>
          <w:tcPr>
            <w:tcW w:w="202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16,981,435</w:t>
            </w:r>
          </w:p>
        </w:tc>
        <w:tc>
          <w:tcPr>
            <w:tcW w:w="200" w:type="dxa"/>
            <w:vAlign w:val="bottom"/>
          </w:tcPr>
          <w:p>
            <w:pPr>
              <w:spacing w:after="0"/>
              <w:rPr>
                <w:sz w:val="15"/>
                <w:szCs w:val="15"/>
                <w:color w:val="auto"/>
              </w:rPr>
            </w:pPr>
          </w:p>
        </w:tc>
        <w:tc>
          <w:tcPr>
            <w:tcW w:w="1080" w:type="dxa"/>
            <w:vAlign w:val="bottom"/>
            <w:tcBorders>
              <w:top w:val="single" w:sz="8" w:color="auto"/>
              <w:bottom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color w:val="auto"/>
              </w:rPr>
              <w:t>15,471,990</w:t>
            </w:r>
          </w:p>
        </w:tc>
      </w:tr>
      <w:tr>
        <w:trPr>
          <w:trHeight w:val="185"/>
        </w:trPr>
        <w:tc>
          <w:tcPr>
            <w:tcW w:w="610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202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43,364,005</w:t>
            </w:r>
          </w:p>
        </w:tc>
        <w:tc>
          <w:tcPr>
            <w:tcW w:w="20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42,972,614</w:t>
            </w:r>
          </w:p>
        </w:tc>
      </w:tr>
    </w:tbl>
    <w:p>
      <w:pPr>
        <w:spacing w:after="0" w:line="152" w:lineRule="exact"/>
        <w:rPr>
          <w:sz w:val="20"/>
          <w:szCs w:val="20"/>
          <w:color w:val="auto"/>
        </w:rPr>
      </w:pPr>
    </w:p>
    <w:p>
      <w:pPr>
        <w:ind w:left="574" w:hanging="284"/>
        <w:spacing w:after="0" w:line="255" w:lineRule="auto"/>
        <w:tabs>
          <w:tab w:leader="none" w:pos="57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December 31, 2025 cash and deposits that generate interest subject to legal cash requirements in Peru in local and foreign currency are subject to an implicit rate of 5.61 percent and 34.59 percent, respectively, on the total balance of obligations subject to legal cash requirements, as required by the BCRP (5.61 percent and 34.60 percent, respectively, as of December 31, 2024).</w:t>
      </w:r>
    </w:p>
    <w:p>
      <w:pPr>
        <w:spacing w:after="0" w:line="137" w:lineRule="exact"/>
        <w:rPr>
          <w:rFonts w:ascii="Arial" w:cs="Arial" w:eastAsia="Arial" w:hAnsi="Arial"/>
          <w:sz w:val="16"/>
          <w:szCs w:val="16"/>
          <w:color w:val="auto"/>
        </w:rPr>
      </w:pPr>
    </w:p>
    <w:p>
      <w:pPr>
        <w:ind w:left="574" w:right="120"/>
        <w:spacing w:after="0" w:line="274" w:lineRule="auto"/>
        <w:rPr>
          <w:rFonts w:ascii="Arial" w:cs="Arial" w:eastAsia="Arial" w:hAnsi="Arial"/>
          <w:sz w:val="16"/>
          <w:szCs w:val="16"/>
          <w:color w:val="auto"/>
        </w:rPr>
      </w:pPr>
      <w:r>
        <w:rPr>
          <w:rFonts w:ascii="Arial" w:cs="Arial" w:eastAsia="Arial" w:hAnsi="Arial"/>
          <w:sz w:val="16"/>
          <w:szCs w:val="16"/>
          <w:color w:val="auto"/>
        </w:rPr>
        <w:t>The reserve funds, which represent the minimum mandatory, do not earn interest; however, the mandatory reserve deposited in BCRP in excess of minimum mandatory, earns interest at a nominal rate established by BCRP.</w:t>
      </w:r>
    </w:p>
    <w:p>
      <w:pPr>
        <w:spacing w:after="0" w:line="122" w:lineRule="exact"/>
        <w:rPr>
          <w:rFonts w:ascii="Arial" w:cs="Arial" w:eastAsia="Arial" w:hAnsi="Arial"/>
          <w:sz w:val="16"/>
          <w:szCs w:val="16"/>
          <w:color w:val="auto"/>
        </w:rPr>
      </w:pPr>
    </w:p>
    <w:p>
      <w:pPr>
        <w:ind w:left="574" w:right="460"/>
        <w:spacing w:after="0" w:line="248" w:lineRule="auto"/>
        <w:rPr>
          <w:rFonts w:ascii="Arial" w:cs="Arial" w:eastAsia="Arial" w:hAnsi="Arial"/>
          <w:sz w:val="16"/>
          <w:szCs w:val="16"/>
          <w:color w:val="auto"/>
        </w:rPr>
      </w:pPr>
      <w:r>
        <w:rPr>
          <w:rFonts w:ascii="Arial" w:cs="Arial" w:eastAsia="Arial" w:hAnsi="Arial"/>
          <w:sz w:val="16"/>
          <w:szCs w:val="16"/>
          <w:color w:val="auto"/>
        </w:rPr>
        <w:t>As of December 31, 2025, the Group maintains interest rate swaps (IRS) which was designated as cash flows hedges of a portion of the additional reserve funds in U.S. Dollars at a variable interest rate, for or a notional amount of US$150.0 million, equivalent to S/504.5 million (US$150.0 million, equivalent to S/564.6 million as of December 31, 2024), see Note 12(c); through these IRS, this portion of the additional reserve funds in U.S. Dollars has been economically converted at a fixed rate.</w:t>
      </w:r>
    </w:p>
    <w:p>
      <w:pPr>
        <w:spacing w:after="0" w:line="144" w:lineRule="exact"/>
        <w:rPr>
          <w:rFonts w:ascii="Arial" w:cs="Arial" w:eastAsia="Arial" w:hAnsi="Arial"/>
          <w:sz w:val="16"/>
          <w:szCs w:val="16"/>
          <w:color w:val="auto"/>
        </w:rPr>
      </w:pPr>
    </w:p>
    <w:p>
      <w:pPr>
        <w:ind w:left="574" w:right="140"/>
        <w:spacing w:after="0" w:line="274" w:lineRule="auto"/>
        <w:rPr>
          <w:rFonts w:ascii="Arial" w:cs="Arial" w:eastAsia="Arial" w:hAnsi="Arial"/>
          <w:sz w:val="16"/>
          <w:szCs w:val="16"/>
          <w:color w:val="auto"/>
        </w:rPr>
      </w:pPr>
      <w:r>
        <w:rPr>
          <w:rFonts w:ascii="Arial" w:cs="Arial" w:eastAsia="Arial" w:hAnsi="Arial"/>
          <w:sz w:val="16"/>
          <w:szCs w:val="16"/>
          <w:color w:val="auto"/>
        </w:rPr>
        <w:t>In Management's opinion, the Group has complied with the requirements established by current regulations related to the calculation of the legal reserve.</w:t>
      </w:r>
    </w:p>
    <w:p>
      <w:pPr>
        <w:spacing w:after="0" w:line="122" w:lineRule="exact"/>
        <w:rPr>
          <w:rFonts w:ascii="Arial" w:cs="Arial" w:eastAsia="Arial" w:hAnsi="Arial"/>
          <w:sz w:val="16"/>
          <w:szCs w:val="16"/>
          <w:color w:val="auto"/>
        </w:rPr>
      </w:pPr>
    </w:p>
    <w:p>
      <w:pPr>
        <w:ind w:left="574" w:right="280" w:hanging="284"/>
        <w:spacing w:after="0" w:line="255" w:lineRule="auto"/>
        <w:tabs>
          <w:tab w:leader="none" w:pos="57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December 31, 2025, the Group maintains three overnight transactions with the BCRP: two U.S. Dollar-denominated transactions totaling US$4,260.0 million, equivalent to S/14,326.4 million, bearing an annual nominal interest rate of 3.57 percent; and one sol-denominated transaction for S/435.0 million, bearing an effective interest rate of 2.25 percent. All transactions mature in 5 days.</w:t>
      </w:r>
    </w:p>
    <w:p>
      <w:pPr>
        <w:spacing w:after="0" w:line="137" w:lineRule="exact"/>
        <w:rPr>
          <w:rFonts w:ascii="Arial" w:cs="Arial" w:eastAsia="Arial" w:hAnsi="Arial"/>
          <w:sz w:val="16"/>
          <w:szCs w:val="16"/>
          <w:color w:val="auto"/>
        </w:rPr>
      </w:pPr>
    </w:p>
    <w:p>
      <w:pPr>
        <w:jc w:val="both"/>
        <w:ind w:left="574" w:right="40"/>
        <w:spacing w:after="0" w:line="255" w:lineRule="auto"/>
        <w:rPr>
          <w:rFonts w:ascii="Arial" w:cs="Arial" w:eastAsia="Arial" w:hAnsi="Arial"/>
          <w:sz w:val="16"/>
          <w:szCs w:val="16"/>
          <w:color w:val="auto"/>
        </w:rPr>
      </w:pPr>
      <w:r>
        <w:rPr>
          <w:rFonts w:ascii="Arial" w:cs="Arial" w:eastAsia="Arial" w:hAnsi="Arial"/>
          <w:sz w:val="16"/>
          <w:szCs w:val="16"/>
          <w:color w:val="auto"/>
        </w:rPr>
        <w:t>As of December 31, 2024, the Group maintains four "overnight" deposits with the BCRP, two are sol-denominated totaling S/435.0 million and two U.S. Dollar-denominated transactions totaling US$3,617.0 million, equivalent to S/13,614.4 million. To that date, the deposit in soles and deposits in U.S. Dollar accrue interest at annual rates of 3.00 percent and 4.44 percent, respectively, and have maturities at 3 days.</w:t>
      </w:r>
    </w:p>
    <w:p>
      <w:pPr>
        <w:spacing w:after="0" w:line="306" w:lineRule="exact"/>
        <w:rPr>
          <w:rFonts w:ascii="Arial" w:cs="Arial" w:eastAsia="Arial" w:hAnsi="Arial"/>
          <w:sz w:val="16"/>
          <w:szCs w:val="16"/>
          <w:color w:val="auto"/>
        </w:rPr>
      </w:pPr>
    </w:p>
    <w:p>
      <w:pPr>
        <w:ind w:left="5234" w:hanging="104"/>
        <w:spacing w:after="0"/>
        <w:tabs>
          <w:tab w:leader="none" w:pos="5234" w:val="left"/>
        </w:tabs>
        <w:numPr>
          <w:ilvl w:val="1"/>
          <w:numId w:val="67"/>
        </w:numPr>
        <w:rPr>
          <w:rFonts w:ascii="Arial" w:cs="Arial" w:eastAsia="Arial" w:hAnsi="Arial"/>
          <w:sz w:val="16"/>
          <w:szCs w:val="16"/>
          <w:color w:val="auto"/>
        </w:rPr>
      </w:pPr>
      <w:r>
        <w:rPr>
          <w:rFonts w:ascii="Arial" w:cs="Arial" w:eastAsia="Arial" w:hAnsi="Arial"/>
          <w:sz w:val="16"/>
          <w:szCs w:val="16"/>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39370</wp:posOffset>
            </wp:positionV>
            <wp:extent cx="714692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54"/>
          </w:cols>
          <w:pgMar w:left="606" w:top="124" w:right="339" w:bottom="1440" w:gutter="0" w:footer="0" w:header="0"/>
        </w:sectPr>
      </w:pPr>
    </w:p>
    <w:bookmarkStart w:id="63" w:name="page64"/>
    <w:bookmarkEnd w:id="63"/>
    <w:p>
      <w:pPr>
        <w:jc w:val="both"/>
        <w:ind w:left="863" w:right="260" w:hanging="284"/>
        <w:spacing w:after="0" w:line="255" w:lineRule="auto"/>
        <w:tabs>
          <w:tab w:leader="none" w:pos="863" w:val="left"/>
        </w:tabs>
        <w:numPr>
          <w:ilvl w:val="1"/>
          <w:numId w:val="68"/>
        </w:numPr>
        <w:rPr>
          <w:rFonts w:ascii="Arial" w:cs="Arial" w:eastAsia="Arial" w:hAnsi="Arial"/>
          <w:sz w:val="16"/>
          <w:szCs w:val="16"/>
          <w:color w:val="auto"/>
        </w:rPr>
      </w:pPr>
      <w:r>
        <w:rPr>
          <w:rFonts w:ascii="Arial" w:cs="Arial" w:eastAsia="Arial" w:hAnsi="Arial"/>
          <w:sz w:val="16"/>
          <w:szCs w:val="16"/>
          <w:color w:val="auto"/>
        </w:rPr>
        <w:t>As of December 31, 2025, the Group maintains term deposits in soles, recording a total of S/1,732.6 million with a 5-day maturity, ranging from 4.06 percent to 4.21 percent. As of December 31, 2024, the Group maintains term deposits with the BCRP amounting to S/240.0 million, which accrue annual interest between 4.81 percent and 4.84 percent.</w:t>
      </w:r>
    </w:p>
    <w:p>
      <w:pPr>
        <w:spacing w:after="0" w:line="137" w:lineRule="exact"/>
        <w:rPr>
          <w:rFonts w:ascii="Arial" w:cs="Arial" w:eastAsia="Arial" w:hAnsi="Arial"/>
          <w:sz w:val="16"/>
          <w:szCs w:val="16"/>
          <w:color w:val="auto"/>
        </w:rPr>
      </w:pPr>
    </w:p>
    <w:p>
      <w:pPr>
        <w:ind w:left="583" w:hanging="294"/>
        <w:spacing w:after="0"/>
        <w:tabs>
          <w:tab w:leader="none" w:pos="583"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Deposits with local and foreign banks -</w:t>
      </w:r>
    </w:p>
    <w:p>
      <w:pPr>
        <w:spacing w:after="0" w:line="177" w:lineRule="exact"/>
        <w:rPr>
          <w:rFonts w:ascii="Arial" w:cs="Arial" w:eastAsia="Arial" w:hAnsi="Arial"/>
          <w:sz w:val="16"/>
          <w:szCs w:val="16"/>
          <w:color w:val="auto"/>
        </w:rPr>
      </w:pPr>
    </w:p>
    <w:p>
      <w:pPr>
        <w:ind w:left="583" w:right="200"/>
        <w:spacing w:after="0" w:line="274" w:lineRule="auto"/>
        <w:rPr>
          <w:rFonts w:ascii="Arial" w:cs="Arial" w:eastAsia="Arial" w:hAnsi="Arial"/>
          <w:sz w:val="16"/>
          <w:szCs w:val="16"/>
          <w:color w:val="auto"/>
        </w:rPr>
      </w:pPr>
      <w:r>
        <w:rPr>
          <w:rFonts w:ascii="Arial" w:cs="Arial" w:eastAsia="Arial" w:hAnsi="Arial"/>
          <w:sz w:val="16"/>
          <w:szCs w:val="16"/>
          <w:color w:val="auto"/>
        </w:rPr>
        <w:t>Deposits with local and foreign banks mainly consist of balances in soles and U.S. Dollar; these represent cash on hand and earn interest at market rates. As of December 31, 2025, and 2024 Credicorp and its subsidiaries do not maintain significant deposits with any bank.</w:t>
      </w:r>
    </w:p>
    <w:p>
      <w:pPr>
        <w:spacing w:after="0" w:line="123" w:lineRule="exact"/>
        <w:rPr>
          <w:sz w:val="20"/>
          <w:szCs w:val="20"/>
          <w:color w:val="auto"/>
        </w:rPr>
      </w:pPr>
    </w:p>
    <w:p>
      <w:pPr>
        <w:ind w:left="283" w:right="740" w:hanging="283"/>
        <w:spacing w:after="0" w:line="285" w:lineRule="auto"/>
        <w:tabs>
          <w:tab w:leader="none" w:pos="283"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CASH COLLATERAL, REVERSE REPURCHASE AGREEMENTS AND SECURITIES BORROWING AND PAYABLES FROM REPURCHASE AGREEMENTS AND SECURITIES LENDING</w:t>
      </w:r>
    </w:p>
    <w:p>
      <w:pPr>
        <w:spacing w:after="0" w:line="105" w:lineRule="exact"/>
        <w:rPr>
          <w:rFonts w:ascii="Arial" w:cs="Arial" w:eastAsia="Arial" w:hAnsi="Arial"/>
          <w:sz w:val="16"/>
          <w:szCs w:val="16"/>
          <w:b w:val="1"/>
          <w:bCs w:val="1"/>
          <w:color w:val="auto"/>
        </w:rPr>
      </w:pPr>
    </w:p>
    <w:p>
      <w:pPr>
        <w:ind w:left="583" w:hanging="294"/>
        <w:spacing w:after="0"/>
        <w:tabs>
          <w:tab w:leader="none" w:pos="583" w:val="left"/>
        </w:tabs>
        <w:numPr>
          <w:ilvl w:val="1"/>
          <w:numId w:val="70"/>
        </w:numPr>
        <w:rPr>
          <w:rFonts w:ascii="Arial" w:cs="Arial" w:eastAsia="Arial" w:hAnsi="Arial"/>
          <w:sz w:val="16"/>
          <w:szCs w:val="16"/>
          <w:color w:val="auto"/>
        </w:rPr>
      </w:pPr>
      <w:r>
        <w:rPr>
          <w:rFonts w:ascii="Arial" w:cs="Arial" w:eastAsia="Arial" w:hAnsi="Arial"/>
          <w:sz w:val="16"/>
          <w:szCs w:val="16"/>
          <w:color w:val="auto"/>
        </w:rPr>
        <w:t>We present below the composition of cash collateral, reverse repurchase agreements, securities borrowing and financial transactions to be settled:</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98"/>
        </w:trPr>
        <w:tc>
          <w:tcPr>
            <w:tcW w:w="7260" w:type="dxa"/>
            <w:vAlign w:val="bottom"/>
          </w:tcPr>
          <w:p>
            <w:pPr>
              <w:spacing w:after="0"/>
              <w:rPr>
                <w:sz w:val="17"/>
                <w:szCs w:val="17"/>
                <w:color w:val="auto"/>
              </w:rPr>
            </w:pPr>
          </w:p>
        </w:tc>
        <w:tc>
          <w:tcPr>
            <w:tcW w:w="25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4"/>
        </w:trPr>
        <w:tc>
          <w:tcPr>
            <w:tcW w:w="7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05"/>
        </w:trPr>
        <w:tc>
          <w:tcPr>
            <w:tcW w:w="7260" w:type="dxa"/>
            <w:vAlign w:val="bottom"/>
          </w:tcPr>
          <w:p>
            <w:pPr>
              <w:ind w:left="620"/>
              <w:spacing w:after="0"/>
              <w:rPr>
                <w:sz w:val="20"/>
                <w:szCs w:val="20"/>
                <w:color w:val="auto"/>
              </w:rPr>
            </w:pPr>
            <w:r>
              <w:rPr>
                <w:rFonts w:ascii="Arial" w:cs="Arial" w:eastAsia="Arial" w:hAnsi="Arial"/>
                <w:sz w:val="16"/>
                <w:szCs w:val="16"/>
                <w:color w:val="auto"/>
              </w:rPr>
              <w:t>Reverse repurchase agreement and security borrowings (i)</w:t>
            </w:r>
          </w:p>
        </w:tc>
        <w:tc>
          <w:tcPr>
            <w:tcW w:w="2740" w:type="dxa"/>
            <w:vAlign w:val="bottom"/>
            <w:gridSpan w:val="3"/>
          </w:tcPr>
          <w:p>
            <w:pPr>
              <w:jc w:val="right"/>
              <w:ind w:right="200"/>
              <w:spacing w:after="0"/>
              <w:rPr>
                <w:sz w:val="20"/>
                <w:szCs w:val="20"/>
                <w:color w:val="auto"/>
              </w:rPr>
            </w:pPr>
            <w:r>
              <w:rPr>
                <w:rFonts w:ascii="Arial" w:cs="Arial" w:eastAsia="Arial" w:hAnsi="Arial"/>
                <w:sz w:val="16"/>
                <w:szCs w:val="16"/>
                <w:color w:val="auto"/>
              </w:rPr>
              <w:t>1,400,487</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670,454</w:t>
            </w:r>
          </w:p>
        </w:tc>
        <w:tc>
          <w:tcPr>
            <w:tcW w:w="180" w:type="dxa"/>
            <w:vAlign w:val="bottom"/>
          </w:tcPr>
          <w:p>
            <w:pPr>
              <w:spacing w:after="0"/>
              <w:rPr>
                <w:sz w:val="24"/>
                <w:szCs w:val="24"/>
                <w:color w:val="auto"/>
              </w:rPr>
            </w:pPr>
          </w:p>
        </w:tc>
      </w:tr>
      <w:tr>
        <w:trPr>
          <w:trHeight w:val="181"/>
        </w:trPr>
        <w:tc>
          <w:tcPr>
            <w:tcW w:w="7260" w:type="dxa"/>
            <w:vAlign w:val="bottom"/>
          </w:tcPr>
          <w:p>
            <w:pPr>
              <w:ind w:left="620"/>
              <w:spacing w:after="0" w:line="181" w:lineRule="exact"/>
              <w:rPr>
                <w:sz w:val="20"/>
                <w:szCs w:val="20"/>
                <w:color w:val="auto"/>
              </w:rPr>
            </w:pPr>
            <w:r>
              <w:rPr>
                <w:rFonts w:ascii="Arial" w:cs="Arial" w:eastAsia="Arial" w:hAnsi="Arial"/>
                <w:sz w:val="16"/>
                <w:szCs w:val="16"/>
                <w:color w:val="auto"/>
              </w:rPr>
              <w:t>Cash collateral on repurchase agreements and security lendings (ii)</w:t>
            </w:r>
          </w:p>
        </w:tc>
        <w:tc>
          <w:tcPr>
            <w:tcW w:w="274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287,907</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362,723</w:t>
            </w:r>
          </w:p>
        </w:tc>
        <w:tc>
          <w:tcPr>
            <w:tcW w:w="180" w:type="dxa"/>
            <w:vAlign w:val="bottom"/>
          </w:tcPr>
          <w:p>
            <w:pPr>
              <w:spacing w:after="0"/>
              <w:rPr>
                <w:sz w:val="15"/>
                <w:szCs w:val="15"/>
                <w:color w:val="auto"/>
              </w:rPr>
            </w:pPr>
          </w:p>
        </w:tc>
      </w:tr>
      <w:tr>
        <w:trPr>
          <w:trHeight w:val="202"/>
        </w:trPr>
        <w:tc>
          <w:tcPr>
            <w:tcW w:w="7260" w:type="dxa"/>
            <w:vAlign w:val="bottom"/>
          </w:tcPr>
          <w:p>
            <w:pPr>
              <w:ind w:left="620"/>
              <w:spacing w:after="0"/>
              <w:rPr>
                <w:sz w:val="20"/>
                <w:szCs w:val="20"/>
                <w:color w:val="auto"/>
              </w:rPr>
            </w:pPr>
            <w:r>
              <w:rPr>
                <w:rFonts w:ascii="Arial" w:cs="Arial" w:eastAsia="Arial" w:hAnsi="Arial"/>
                <w:sz w:val="16"/>
                <w:szCs w:val="16"/>
                <w:color w:val="auto"/>
              </w:rPr>
              <w:t>Financial transactions to be settled (iii)</w:t>
            </w:r>
          </w:p>
        </w:tc>
        <w:tc>
          <w:tcPr>
            <w:tcW w:w="2740" w:type="dxa"/>
            <w:vAlign w:val="bottom"/>
            <w:gridSpan w:val="3"/>
          </w:tcPr>
          <w:p>
            <w:pPr>
              <w:jc w:val="right"/>
              <w:ind w:right="200"/>
              <w:spacing w:after="0"/>
              <w:rPr>
                <w:sz w:val="20"/>
                <w:szCs w:val="20"/>
                <w:color w:val="auto"/>
              </w:rPr>
            </w:pPr>
            <w:r>
              <w:rPr>
                <w:rFonts w:ascii="Arial" w:cs="Arial" w:eastAsia="Arial" w:hAnsi="Arial"/>
                <w:sz w:val="16"/>
                <w:szCs w:val="16"/>
                <w:color w:val="auto"/>
              </w:rPr>
              <w:t>488,806</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185"/>
        </w:trPr>
        <w:tc>
          <w:tcPr>
            <w:tcW w:w="7260" w:type="dxa"/>
            <w:vAlign w:val="bottom"/>
          </w:tcPr>
          <w:p>
            <w:pPr>
              <w:ind w:left="620"/>
              <w:spacing w:after="0" w:line="181" w:lineRule="exact"/>
              <w:rPr>
                <w:sz w:val="20"/>
                <w:szCs w:val="20"/>
                <w:color w:val="auto"/>
              </w:rPr>
            </w:pPr>
            <w:r>
              <w:rPr>
                <w:rFonts w:ascii="Arial" w:cs="Arial" w:eastAsia="Arial" w:hAnsi="Arial"/>
                <w:sz w:val="16"/>
                <w:szCs w:val="16"/>
                <w:b w:val="1"/>
                <w:bCs w:val="1"/>
                <w:color w:val="auto"/>
              </w:rPr>
              <w:t>Total</w:t>
            </w:r>
          </w:p>
        </w:tc>
        <w:tc>
          <w:tcPr>
            <w:tcW w:w="1480" w:type="dxa"/>
            <w:vAlign w:val="bottom"/>
          </w:tcPr>
          <w:p>
            <w:pPr>
              <w:spacing w:after="0"/>
              <w:rPr>
                <w:sz w:val="16"/>
                <w:szCs w:val="16"/>
                <w:color w:val="auto"/>
              </w:rPr>
            </w:pPr>
          </w:p>
        </w:tc>
        <w:tc>
          <w:tcPr>
            <w:tcW w:w="10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2,177,200</w:t>
            </w:r>
          </w:p>
        </w:tc>
        <w:tc>
          <w:tcPr>
            <w:tcW w:w="20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1,033,177</w:t>
            </w:r>
          </w:p>
        </w:tc>
        <w:tc>
          <w:tcPr>
            <w:tcW w:w="180" w:type="dxa"/>
            <w:vAlign w:val="bottom"/>
          </w:tcPr>
          <w:p>
            <w:pPr>
              <w:spacing w:after="0"/>
              <w:rPr>
                <w:sz w:val="16"/>
                <w:szCs w:val="16"/>
                <w:color w:val="auto"/>
              </w:rPr>
            </w:pPr>
          </w:p>
        </w:tc>
      </w:tr>
      <w:tr>
        <w:trPr>
          <w:trHeight w:val="547"/>
        </w:trPr>
        <w:tc>
          <w:tcPr>
            <w:tcW w:w="7260" w:type="dxa"/>
            <w:vAlign w:val="bottom"/>
          </w:tcPr>
          <w:p>
            <w:pPr>
              <w:ind w:left="5420"/>
              <w:spacing w:after="0"/>
              <w:rPr>
                <w:sz w:val="20"/>
                <w:szCs w:val="20"/>
                <w:color w:val="auto"/>
              </w:rPr>
            </w:pPr>
            <w:r>
              <w:rPr>
                <w:rFonts w:ascii="Arial" w:cs="Arial" w:eastAsia="Arial" w:hAnsi="Arial"/>
                <w:sz w:val="16"/>
                <w:szCs w:val="16"/>
                <w:color w:val="auto"/>
              </w:rPr>
              <w:t>- 59 -</w:t>
            </w:r>
          </w:p>
        </w:tc>
        <w:tc>
          <w:tcPr>
            <w:tcW w:w="14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
        </w:trPr>
        <w:tc>
          <w:tcPr>
            <w:tcW w:w="7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316" w:right="319" w:bottom="1440" w:gutter="0" w:footer="0" w:header="0"/>
        </w:sectPr>
      </w:pPr>
    </w:p>
    <w:bookmarkStart w:id="64" w:name="page65"/>
    <w:bookmarkEnd w:id="64"/>
    <w:p>
      <w:pPr>
        <w:ind w:left="620" w:right="440" w:hanging="337"/>
        <w:spacing w:after="0" w:line="274" w:lineRule="auto"/>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Credicorp, through its subsidiaries, provides financing to its customers through reverse repurchase agreements and securities borrowing, in which a financial instrument serves as collateral. Details of said transactions are as follows:</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1"/>
                <w:szCs w:val="11"/>
                <w:color w:val="auto"/>
              </w:rPr>
            </w:pPr>
          </w:p>
        </w:tc>
      </w:tr>
      <w:tr>
        <w:trPr>
          <w:trHeight w:val="145"/>
        </w:trPr>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Average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 3</w:t>
            </w: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More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of</w:t>
            </w: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From 3</w:t>
            </w:r>
          </w:p>
        </w:tc>
        <w:tc>
          <w:tcPr>
            <w:tcW w:w="7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More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of</w:t>
            </w:r>
          </w:p>
        </w:tc>
      </w:tr>
      <w:tr>
        <w:trPr>
          <w:trHeight w:val="145"/>
        </w:trPr>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interest</w:t>
            </w:r>
          </w:p>
        </w:tc>
        <w:tc>
          <w:tcPr>
            <w:tcW w:w="5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Up to 3</w:t>
            </w:r>
          </w:p>
        </w:tc>
        <w:tc>
          <w:tcPr>
            <w:tcW w:w="84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to 30</w:t>
            </w: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than 30</w:t>
            </w:r>
          </w:p>
        </w:tc>
        <w:tc>
          <w:tcPr>
            <w:tcW w:w="6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Carrying</w:t>
            </w:r>
          </w:p>
        </w:tc>
        <w:tc>
          <w:tcPr>
            <w:tcW w:w="9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underlying</w:t>
            </w: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interest</w:t>
            </w:r>
          </w:p>
        </w:tc>
        <w:tc>
          <w:tcPr>
            <w:tcW w:w="6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Up to 3</w:t>
            </w:r>
          </w:p>
        </w:tc>
        <w:tc>
          <w:tcPr>
            <w:tcW w:w="80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to 30</w:t>
            </w:r>
          </w:p>
        </w:tc>
        <w:tc>
          <w:tcPr>
            <w:tcW w:w="7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than 30</w:t>
            </w:r>
          </w:p>
        </w:tc>
        <w:tc>
          <w:tcPr>
            <w:tcW w:w="7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Carrying</w:t>
            </w: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99"/>
              </w:rPr>
              <w:t>underlying</w:t>
            </w:r>
          </w:p>
        </w:tc>
      </w:tr>
      <w:tr>
        <w:trPr>
          <w:trHeight w:val="153"/>
        </w:trPr>
        <w:tc>
          <w:tcPr>
            <w:tcW w:w="92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b w:val="1"/>
                <w:bCs w:val="1"/>
                <w:color w:val="auto"/>
              </w:rPr>
              <w:t>Currency</w:t>
            </w:r>
          </w:p>
        </w:tc>
        <w:tc>
          <w:tcPr>
            <w:tcW w:w="780" w:type="dxa"/>
            <w:vAlign w:val="bottom"/>
            <w:gridSpan w:val="3"/>
          </w:tcPr>
          <w:p>
            <w:pPr>
              <w:ind w:left="100"/>
              <w:spacing w:after="0"/>
              <w:rPr>
                <w:sz w:val="20"/>
                <w:szCs w:val="20"/>
                <w:color w:val="auto"/>
              </w:rPr>
            </w:pPr>
            <w:r>
              <w:rPr>
                <w:rFonts w:ascii="Arial" w:cs="Arial" w:eastAsia="Arial" w:hAnsi="Arial"/>
                <w:sz w:val="13"/>
                <w:szCs w:val="13"/>
                <w:b w:val="1"/>
                <w:bCs w:val="1"/>
                <w:color w:val="auto"/>
              </w:rPr>
              <w:t>rate</w:t>
            </w: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840" w:type="dxa"/>
            <w:vAlign w:val="bottom"/>
            <w:gridSpan w:val="3"/>
          </w:tcPr>
          <w:p>
            <w:pPr>
              <w:ind w:left="100"/>
              <w:spacing w:after="0"/>
              <w:rPr>
                <w:sz w:val="20"/>
                <w:szCs w:val="20"/>
                <w:color w:val="auto"/>
              </w:rPr>
            </w:pPr>
            <w:r>
              <w:rPr>
                <w:rFonts w:ascii="Arial" w:cs="Arial" w:eastAsia="Arial" w:hAnsi="Arial"/>
                <w:sz w:val="13"/>
                <w:szCs w:val="13"/>
                <w:b w:val="1"/>
                <w:bCs w:val="1"/>
                <w:color w:val="auto"/>
              </w:rPr>
              <w:t>days</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assets</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rate</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days</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r>
      <w:tr>
        <w:trPr>
          <w:trHeight w:val="168"/>
        </w:trPr>
        <w:tc>
          <w:tcPr>
            <w:tcW w:w="9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3"/>
                <w:szCs w:val="13"/>
                <w:color w:val="auto"/>
              </w:rPr>
              <w:t>Instruments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5"/>
        </w:trPr>
        <w:tc>
          <w:tcPr>
            <w:tcW w:w="920" w:type="dxa"/>
            <w:vAlign w:val="bottom"/>
          </w:tcPr>
          <w:p>
            <w:pPr>
              <w:spacing w:after="0" w:line="145" w:lineRule="exact"/>
              <w:rPr>
                <w:sz w:val="20"/>
                <w:szCs w:val="20"/>
                <w:color w:val="auto"/>
              </w:rPr>
            </w:pPr>
            <w:r>
              <w:rPr>
                <w:rFonts w:ascii="Arial" w:cs="Arial" w:eastAsia="Arial" w:hAnsi="Arial"/>
                <w:sz w:val="13"/>
                <w:szCs w:val="13"/>
                <w:color w:val="auto"/>
              </w:rPr>
              <w:t>issued by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20" w:type="dxa"/>
            <w:vAlign w:val="bottom"/>
          </w:tcPr>
          <w:p>
            <w:pPr>
              <w:spacing w:after="0" w:line="145" w:lineRule="exact"/>
              <w:rPr>
                <w:sz w:val="20"/>
                <w:szCs w:val="20"/>
                <w:color w:val="auto"/>
              </w:rPr>
            </w:pPr>
            <w:r>
              <w:rPr>
                <w:rFonts w:ascii="Arial" w:cs="Arial" w:eastAsia="Arial" w:hAnsi="Arial"/>
                <w:sz w:val="13"/>
                <w:szCs w:val="13"/>
                <w:color w:val="auto"/>
              </w:rPr>
              <w:t>Colombian</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w w:val="93"/>
              </w:rPr>
              <w:t>Colombian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20" w:type="dxa"/>
            <w:vAlign w:val="bottom"/>
          </w:tcPr>
          <w:p>
            <w:pPr>
              <w:spacing w:after="0" w:line="145" w:lineRule="exact"/>
              <w:rPr>
                <w:sz w:val="20"/>
                <w:szCs w:val="20"/>
                <w:color w:val="auto"/>
              </w:rPr>
            </w:pPr>
            <w:r>
              <w:rPr>
                <w:rFonts w:ascii="Arial" w:cs="Arial" w:eastAsia="Arial" w:hAnsi="Arial"/>
                <w:sz w:val="13"/>
                <w:szCs w:val="13"/>
                <w:color w:val="auto"/>
              </w:rPr>
              <w:t>Government(*)</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rPr>
              <w:t>pesos</w:t>
            </w:r>
          </w:p>
        </w:tc>
        <w:tc>
          <w:tcPr>
            <w:tcW w:w="600" w:type="dxa"/>
            <w:vAlign w:val="bottom"/>
            <w:gridSpan w:val="2"/>
          </w:tcPr>
          <w:p>
            <w:pPr>
              <w:ind w:left="360"/>
              <w:spacing w:after="0" w:line="145" w:lineRule="exact"/>
              <w:rPr>
                <w:sz w:val="20"/>
                <w:szCs w:val="20"/>
                <w:color w:val="auto"/>
              </w:rPr>
            </w:pPr>
            <w:r>
              <w:rPr>
                <w:rFonts w:ascii="Arial" w:cs="Arial" w:eastAsia="Arial" w:hAnsi="Arial"/>
                <w:sz w:val="13"/>
                <w:szCs w:val="13"/>
                <w:color w:val="auto"/>
                <w:w w:val="86"/>
              </w:rPr>
              <w:t>8.27</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105,484</w:t>
            </w:r>
          </w:p>
        </w:tc>
        <w:tc>
          <w:tcPr>
            <w:tcW w:w="8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878,326</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26,166</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w w:val="96"/>
              </w:rPr>
              <w:t>1,009,976</w:t>
            </w:r>
          </w:p>
        </w:tc>
        <w:tc>
          <w:tcPr>
            <w:tcW w:w="92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997,089</w:t>
            </w: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8.09</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174,598</w:t>
            </w:r>
          </w:p>
        </w:tc>
        <w:tc>
          <w:tcPr>
            <w:tcW w:w="8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274,114</w:t>
            </w:r>
          </w:p>
        </w:tc>
        <w:tc>
          <w:tcPr>
            <w:tcW w:w="7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154,743</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603,455</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594,096</w:t>
            </w:r>
          </w:p>
        </w:tc>
        <w:tc>
          <w:tcPr>
            <w:tcW w:w="20" w:type="dxa"/>
            <w:vAlign w:val="bottom"/>
          </w:tcPr>
          <w:p>
            <w:pPr>
              <w:spacing w:after="0"/>
              <w:rPr>
                <w:sz w:val="12"/>
                <w:szCs w:val="12"/>
                <w:color w:val="auto"/>
              </w:rPr>
            </w:pPr>
          </w:p>
        </w:tc>
      </w:tr>
      <w:tr>
        <w:trPr>
          <w:trHeight w:val="145"/>
        </w:trPr>
        <w:tc>
          <w:tcPr>
            <w:tcW w:w="920" w:type="dxa"/>
            <w:vAlign w:val="bottom"/>
          </w:tcPr>
          <w:p>
            <w:pPr>
              <w:spacing w:after="0" w:line="145" w:lineRule="exact"/>
              <w:rPr>
                <w:sz w:val="20"/>
                <w:szCs w:val="20"/>
                <w:color w:val="auto"/>
              </w:rPr>
            </w:pPr>
            <w:r>
              <w:rPr>
                <w:rFonts w:ascii="Arial" w:cs="Arial" w:eastAsia="Arial" w:hAnsi="Arial"/>
                <w:sz w:val="13"/>
                <w:szCs w:val="13"/>
                <w:color w:val="auto"/>
              </w:rPr>
              <w:t>Instruments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20" w:type="dxa"/>
            <w:vAlign w:val="bottom"/>
          </w:tcPr>
          <w:p>
            <w:pPr>
              <w:spacing w:after="0" w:line="145" w:lineRule="exact"/>
              <w:rPr>
                <w:sz w:val="20"/>
                <w:szCs w:val="20"/>
                <w:color w:val="auto"/>
              </w:rPr>
            </w:pPr>
            <w:r>
              <w:rPr>
                <w:rFonts w:ascii="Arial" w:cs="Arial" w:eastAsia="Arial" w:hAnsi="Arial"/>
                <w:sz w:val="13"/>
                <w:szCs w:val="13"/>
                <w:color w:val="auto"/>
              </w:rPr>
              <w:t>issued by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20" w:type="dxa"/>
            <w:vAlign w:val="bottom"/>
          </w:tcPr>
          <w:p>
            <w:pPr>
              <w:spacing w:after="0" w:line="145" w:lineRule="exact"/>
              <w:rPr>
                <w:sz w:val="20"/>
                <w:szCs w:val="20"/>
                <w:color w:val="auto"/>
              </w:rPr>
            </w:pPr>
            <w:r>
              <w:rPr>
                <w:rFonts w:ascii="Arial" w:cs="Arial" w:eastAsia="Arial" w:hAnsi="Arial"/>
                <w:sz w:val="13"/>
                <w:szCs w:val="13"/>
                <w:color w:val="auto"/>
              </w:rPr>
              <w:t>Chilean</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rPr>
              <w:t>Chilean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20" w:type="dxa"/>
            <w:vAlign w:val="bottom"/>
          </w:tcPr>
          <w:p>
            <w:pPr>
              <w:spacing w:after="0" w:line="145" w:lineRule="exact"/>
              <w:rPr>
                <w:sz w:val="20"/>
                <w:szCs w:val="20"/>
                <w:color w:val="auto"/>
              </w:rPr>
            </w:pPr>
            <w:r>
              <w:rPr>
                <w:rFonts w:ascii="Arial" w:cs="Arial" w:eastAsia="Arial" w:hAnsi="Arial"/>
                <w:sz w:val="13"/>
                <w:szCs w:val="13"/>
                <w:color w:val="auto"/>
              </w:rPr>
              <w:t>Government</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rPr>
              <w:t>pesos</w:t>
            </w:r>
          </w:p>
        </w:tc>
        <w:tc>
          <w:tcPr>
            <w:tcW w:w="600" w:type="dxa"/>
            <w:vAlign w:val="bottom"/>
            <w:gridSpan w:val="2"/>
          </w:tcPr>
          <w:p>
            <w:pPr>
              <w:ind w:left="360"/>
              <w:spacing w:after="0" w:line="145" w:lineRule="exact"/>
              <w:rPr>
                <w:sz w:val="20"/>
                <w:szCs w:val="20"/>
                <w:color w:val="auto"/>
              </w:rPr>
            </w:pPr>
            <w:r>
              <w:rPr>
                <w:rFonts w:ascii="Arial" w:cs="Arial" w:eastAsia="Arial" w:hAnsi="Arial"/>
                <w:sz w:val="13"/>
                <w:szCs w:val="13"/>
                <w:color w:val="auto"/>
                <w:w w:val="86"/>
              </w:rPr>
              <w:t>0.40</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19,326</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19,326</w:t>
            </w:r>
          </w:p>
        </w:tc>
        <w:tc>
          <w:tcPr>
            <w:tcW w:w="92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19,326</w:t>
            </w: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r>
      <w:tr>
        <w:trPr>
          <w:trHeight w:val="145"/>
        </w:trPr>
        <w:tc>
          <w:tcPr>
            <w:tcW w:w="920" w:type="dxa"/>
            <w:vAlign w:val="bottom"/>
          </w:tcPr>
          <w:p>
            <w:pPr>
              <w:spacing w:after="0" w:line="145" w:lineRule="exact"/>
              <w:rPr>
                <w:sz w:val="20"/>
                <w:szCs w:val="20"/>
                <w:color w:val="auto"/>
              </w:rPr>
            </w:pPr>
            <w:r>
              <w:rPr>
                <w:rFonts w:ascii="Arial" w:cs="Arial" w:eastAsia="Arial" w:hAnsi="Arial"/>
                <w:sz w:val="13"/>
                <w:szCs w:val="13"/>
                <w:color w:val="auto"/>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920" w:type="dxa"/>
            <w:vAlign w:val="bottom"/>
          </w:tcPr>
          <w:p>
            <w:pPr>
              <w:spacing w:after="0"/>
              <w:rPr>
                <w:sz w:val="20"/>
                <w:szCs w:val="20"/>
                <w:color w:val="auto"/>
              </w:rPr>
            </w:pPr>
            <w:r>
              <w:rPr>
                <w:rFonts w:ascii="Arial" w:cs="Arial" w:eastAsia="Arial" w:hAnsi="Arial"/>
                <w:sz w:val="13"/>
                <w:szCs w:val="13"/>
                <w:color w:val="auto"/>
              </w:rPr>
              <w:t>instruments</w:t>
            </w:r>
          </w:p>
        </w:tc>
        <w:tc>
          <w:tcPr>
            <w:tcW w:w="660" w:type="dxa"/>
            <w:vAlign w:val="bottom"/>
          </w:tcPr>
          <w:p>
            <w:pPr>
              <w:ind w:left="60"/>
              <w:spacing w:after="0"/>
              <w:rPr>
                <w:sz w:val="20"/>
                <w:szCs w:val="20"/>
                <w:color w:val="auto"/>
              </w:rPr>
            </w:pPr>
            <w:r>
              <w:rPr>
                <w:rFonts w:ascii="Arial" w:cs="Arial" w:eastAsia="Arial" w:hAnsi="Arial"/>
                <w:sz w:val="13"/>
                <w:szCs w:val="13"/>
                <w:color w:val="auto"/>
              </w:rPr>
              <w:t>Several</w:t>
            </w:r>
          </w:p>
        </w:tc>
        <w:tc>
          <w:tcPr>
            <w:tcW w:w="600" w:type="dxa"/>
            <w:vAlign w:val="bottom"/>
            <w:gridSpan w:val="2"/>
          </w:tcPr>
          <w:p>
            <w:pPr>
              <w:ind w:left="360"/>
              <w:spacing w:after="0"/>
              <w:rPr>
                <w:sz w:val="20"/>
                <w:szCs w:val="20"/>
                <w:color w:val="auto"/>
              </w:rPr>
            </w:pPr>
            <w:r>
              <w:rPr>
                <w:rFonts w:ascii="Arial" w:cs="Arial" w:eastAsia="Arial" w:hAnsi="Arial"/>
                <w:sz w:val="13"/>
                <w:szCs w:val="13"/>
                <w:color w:val="auto"/>
                <w:w w:val="86"/>
              </w:rPr>
              <w:t>1.80</w:t>
            </w:r>
          </w:p>
        </w:tc>
        <w:tc>
          <w:tcPr>
            <w:tcW w:w="1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78,985</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292,200</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371,185</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347,484</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2.64</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34,065</w:t>
            </w: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9,562</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23,372</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66,999</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66,993</w:t>
            </w:r>
          </w:p>
        </w:tc>
      </w:tr>
      <w:tr>
        <w:trPr>
          <w:trHeight w:val="141"/>
        </w:trPr>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203,795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1,170,526</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37" w:lineRule="exact"/>
              <w:rPr>
                <w:sz w:val="20"/>
                <w:szCs w:val="20"/>
                <w:color w:val="auto"/>
              </w:rPr>
            </w:pPr>
            <w:r>
              <w:rPr>
                <w:rFonts w:ascii="Arial" w:cs="Arial" w:eastAsia="Arial" w:hAnsi="Arial"/>
                <w:sz w:val="13"/>
                <w:szCs w:val="13"/>
                <w:color w:val="auto"/>
                <w:w w:val="90"/>
              </w:rPr>
              <w:t>26,166</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1,400,487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1,363,899</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208,663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283,676</w:t>
            </w:r>
          </w:p>
        </w:tc>
        <w:tc>
          <w:tcPr>
            <w:tcW w:w="2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178,115</w:t>
            </w: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670,454</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661,089</w:t>
            </w:r>
          </w:p>
        </w:tc>
        <w:tc>
          <w:tcPr>
            <w:tcW w:w="20" w:type="dxa"/>
            <w:vAlign w:val="bottom"/>
            <w:tcBorders>
              <w:top w:val="single" w:sz="8" w:color="auto"/>
              <w:bottom w:val="single" w:sz="8" w:color="auto"/>
            </w:tcBorders>
          </w:tcPr>
          <w:p>
            <w:pPr>
              <w:spacing w:after="0"/>
              <w:rPr>
                <w:sz w:val="12"/>
                <w:szCs w:val="12"/>
                <w:color w:val="auto"/>
              </w:rPr>
            </w:pPr>
          </w:p>
        </w:tc>
      </w:tr>
    </w:tbl>
    <w:p>
      <w:pPr>
        <w:spacing w:after="0" w:line="164" w:lineRule="exact"/>
        <w:rPr>
          <w:sz w:val="20"/>
          <w:szCs w:val="20"/>
          <w:color w:val="auto"/>
        </w:rPr>
      </w:pPr>
    </w:p>
    <w:p>
      <w:pPr>
        <w:ind w:left="620"/>
        <w:spacing w:after="0" w:line="274" w:lineRule="auto"/>
        <w:rPr>
          <w:sz w:val="20"/>
          <w:szCs w:val="20"/>
          <w:color w:val="auto"/>
        </w:rPr>
      </w:pPr>
      <w:r>
        <w:rPr>
          <w:rFonts w:ascii="Arial" w:cs="Arial" w:eastAsia="Arial" w:hAnsi="Arial"/>
          <w:sz w:val="16"/>
          <w:szCs w:val="16"/>
          <w:color w:val="auto"/>
        </w:rPr>
        <w:t>(*) This mainly corresponds to Credicorp Capital Colombia, an entity that acquired sovereign financial instruments issued by the Government of Colombia, for an amount equivalent to S/817.7 million.</w:t>
      </w:r>
    </w:p>
    <w:p>
      <w:pPr>
        <w:spacing w:after="0" w:line="122" w:lineRule="exact"/>
        <w:rPr>
          <w:sz w:val="20"/>
          <w:szCs w:val="20"/>
          <w:color w:val="auto"/>
        </w:rPr>
      </w:pPr>
    </w:p>
    <w:p>
      <w:pPr>
        <w:ind w:left="640" w:right="120" w:hanging="344"/>
        <w:spacing w:after="0" w:line="274" w:lineRule="auto"/>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 of December 31, 2025, the balance mainly comprises cash guarantees in U.S. Dollar and Bolivianos. Cash guarantees were delivered to the Central Bank of Bolivia, received in Bolivianos and U.S. Dollar for the equivalent of S/275.3 million (S/343.6 million, as of December 31, 2024).</w:t>
      </w:r>
    </w:p>
    <w:p>
      <w:pPr>
        <w:spacing w:after="0" w:line="122" w:lineRule="exact"/>
        <w:rPr>
          <w:rFonts w:ascii="Arial" w:cs="Arial" w:eastAsia="Arial" w:hAnsi="Arial"/>
          <w:sz w:val="16"/>
          <w:szCs w:val="16"/>
          <w:color w:val="auto"/>
        </w:rPr>
      </w:pPr>
    </w:p>
    <w:p>
      <w:pPr>
        <w:ind w:left="640" w:right="20"/>
        <w:spacing w:after="0" w:line="255" w:lineRule="auto"/>
        <w:rPr>
          <w:rFonts w:ascii="Arial" w:cs="Arial" w:eastAsia="Arial" w:hAnsi="Arial"/>
          <w:sz w:val="16"/>
          <w:szCs w:val="16"/>
          <w:color w:val="auto"/>
        </w:rPr>
      </w:pPr>
      <w:r>
        <w:rPr>
          <w:rFonts w:ascii="Arial" w:cs="Arial" w:eastAsia="Arial" w:hAnsi="Arial"/>
          <w:sz w:val="16"/>
          <w:szCs w:val="16"/>
          <w:color w:val="auto"/>
        </w:rPr>
        <w:t>The guarantee fund accrues interest at an average annual effective rate in accordance with market rates. The liability related to this transaction is presented under the heading "Accounts payable for repurchase and lending agreements of securities" in the consolidated statement of financial position, see paragraph (c).</w:t>
      </w:r>
    </w:p>
    <w:p>
      <w:pPr>
        <w:spacing w:after="0" w:line="137" w:lineRule="exact"/>
        <w:rPr>
          <w:sz w:val="20"/>
          <w:szCs w:val="20"/>
          <w:color w:val="auto"/>
        </w:rPr>
      </w:pPr>
    </w:p>
    <w:p>
      <w:pPr>
        <w:ind w:left="620" w:right="840" w:hanging="337"/>
        <w:spacing w:after="0" w:line="274" w:lineRule="auto"/>
        <w:tabs>
          <w:tab w:leader="none" w:pos="6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As of December 31, 2025, the Group reports accounts receivable arising from short sale transactions carried out with various financial counterparties. These transactions are pending settlement and are expected to be settled in the coming days.</w:t>
      </w:r>
    </w:p>
    <w:p>
      <w:pPr>
        <w:spacing w:after="0" w:line="122" w:lineRule="exact"/>
        <w:rPr>
          <w:rFonts w:ascii="Arial" w:cs="Arial" w:eastAsia="Arial" w:hAnsi="Arial"/>
          <w:sz w:val="16"/>
          <w:szCs w:val="16"/>
          <w:color w:val="auto"/>
        </w:rPr>
      </w:pPr>
    </w:p>
    <w:p>
      <w:pPr>
        <w:jc w:val="both"/>
        <w:ind w:left="300" w:right="480" w:hanging="294"/>
        <w:spacing w:after="0" w:line="274" w:lineRule="auto"/>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Credicorp, through its subsidiaries, obtains financing through “Payables from repurchase agreements and securities lending” by selling financial instruments and committing to repurchase them at future dates, including interest at a fixed rate. The details of said transactions are as follows: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1"/>
                <w:szCs w:val="11"/>
                <w:color w:val="auto"/>
              </w:rPr>
            </w:pPr>
          </w:p>
        </w:tc>
      </w:tr>
      <w:tr>
        <w:trPr>
          <w:trHeight w:val="145"/>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Average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From 3</w:t>
            </w:r>
          </w:p>
        </w:tc>
        <w:tc>
          <w:tcPr>
            <w:tcW w:w="84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More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of</w:t>
            </w:r>
          </w:p>
        </w:tc>
        <w:tc>
          <w:tcPr>
            <w:tcW w:w="70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 3</w:t>
            </w:r>
          </w:p>
        </w:tc>
        <w:tc>
          <w:tcPr>
            <w:tcW w:w="7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More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of</w:t>
            </w:r>
          </w:p>
        </w:tc>
      </w:tr>
      <w:tr>
        <w:trPr>
          <w:trHeight w:val="145"/>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interest</w:t>
            </w: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Up to 3</w:t>
            </w:r>
          </w:p>
        </w:tc>
        <w:tc>
          <w:tcPr>
            <w:tcW w:w="6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to 30</w:t>
            </w:r>
          </w:p>
        </w:tc>
        <w:tc>
          <w:tcPr>
            <w:tcW w:w="84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than 30</w:t>
            </w:r>
          </w:p>
        </w:tc>
        <w:tc>
          <w:tcPr>
            <w:tcW w:w="6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Carrying</w:t>
            </w:r>
          </w:p>
        </w:tc>
        <w:tc>
          <w:tcPr>
            <w:tcW w:w="84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underlying</w:t>
            </w:r>
          </w:p>
        </w:tc>
        <w:tc>
          <w:tcPr>
            <w:tcW w:w="70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interest</w:t>
            </w:r>
          </w:p>
        </w:tc>
        <w:tc>
          <w:tcPr>
            <w:tcW w:w="72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Up to 3</w:t>
            </w:r>
          </w:p>
        </w:tc>
        <w:tc>
          <w:tcPr>
            <w:tcW w:w="74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to 30</w:t>
            </w:r>
          </w:p>
        </w:tc>
        <w:tc>
          <w:tcPr>
            <w:tcW w:w="7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than 30</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Carrying</w:t>
            </w: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99"/>
              </w:rPr>
              <w:t>underlying</w:t>
            </w:r>
          </w:p>
        </w:tc>
      </w:tr>
      <w:tr>
        <w:trPr>
          <w:trHeight w:val="153"/>
        </w:trPr>
        <w:tc>
          <w:tcPr>
            <w:tcW w:w="94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b w:val="1"/>
                <w:bCs w:val="1"/>
                <w:color w:val="auto"/>
              </w:rPr>
              <w:t>Currency</w:t>
            </w:r>
          </w:p>
        </w:tc>
        <w:tc>
          <w:tcPr>
            <w:tcW w:w="800" w:type="dxa"/>
            <w:vAlign w:val="bottom"/>
            <w:gridSpan w:val="3"/>
          </w:tcPr>
          <w:p>
            <w:pPr>
              <w:ind w:left="100"/>
              <w:spacing w:after="0"/>
              <w:rPr>
                <w:sz w:val="20"/>
                <w:szCs w:val="20"/>
                <w:color w:val="auto"/>
              </w:rPr>
            </w:pPr>
            <w:r>
              <w:rPr>
                <w:rFonts w:ascii="Arial" w:cs="Arial" w:eastAsia="Arial" w:hAnsi="Arial"/>
                <w:sz w:val="13"/>
                <w:szCs w:val="13"/>
                <w:b w:val="1"/>
                <w:bCs w:val="1"/>
                <w:color w:val="auto"/>
              </w:rPr>
              <w:t>rate</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days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assets</w:t>
            </w: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rPr>
              <w:t>rate</w:t>
            </w:r>
          </w:p>
        </w:tc>
        <w:tc>
          <w:tcPr>
            <w:tcW w:w="720" w:type="dxa"/>
            <w:vAlign w:val="bottom"/>
            <w:gridSpan w:val="3"/>
          </w:tcPr>
          <w:p>
            <w:pPr>
              <w:ind w:left="100"/>
              <w:spacing w:after="0"/>
              <w:rPr>
                <w:sz w:val="20"/>
                <w:szCs w:val="20"/>
                <w:color w:val="auto"/>
              </w:rPr>
            </w:pPr>
            <w:r>
              <w:rPr>
                <w:rFonts w:ascii="Arial" w:cs="Arial" w:eastAsia="Arial" w:hAnsi="Arial"/>
                <w:sz w:val="13"/>
                <w:szCs w:val="13"/>
                <w:b w:val="1"/>
                <w:bCs w:val="1"/>
                <w:color w:val="auto"/>
              </w:rPr>
              <w:t>days</w:t>
            </w:r>
          </w:p>
        </w:tc>
        <w:tc>
          <w:tcPr>
            <w:tcW w:w="740" w:type="dxa"/>
            <w:vAlign w:val="bottom"/>
            <w:gridSpan w:val="3"/>
          </w:tcPr>
          <w:p>
            <w:pPr>
              <w:ind w:left="100"/>
              <w:spacing w:after="0"/>
              <w:rPr>
                <w:sz w:val="20"/>
                <w:szCs w:val="20"/>
                <w:color w:val="auto"/>
              </w:rPr>
            </w:pPr>
            <w:r>
              <w:rPr>
                <w:rFonts w:ascii="Arial" w:cs="Arial" w:eastAsia="Arial" w:hAnsi="Arial"/>
                <w:sz w:val="13"/>
                <w:szCs w:val="13"/>
                <w:b w:val="1"/>
                <w:bCs w:val="1"/>
                <w:color w:val="auto"/>
              </w:rPr>
              <w:t>days</w:t>
            </w: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days</w:t>
            </w:r>
          </w:p>
        </w:tc>
        <w:tc>
          <w:tcPr>
            <w:tcW w:w="88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r>
      <w:tr>
        <w:trPr>
          <w:trHeight w:val="168"/>
        </w:trPr>
        <w:tc>
          <w:tcPr>
            <w:tcW w:w="9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3"/>
                <w:szCs w:val="13"/>
                <w:color w:val="auto"/>
              </w:rPr>
              <w:t>Debt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instruments (c)</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rPr>
              <w:t>Several</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178,257</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w w:val="96"/>
              </w:rPr>
              <w:t>2,295,318</w:t>
            </w:r>
          </w:p>
        </w:tc>
        <w:tc>
          <w:tcPr>
            <w:tcW w:w="660" w:type="dxa"/>
            <w:vAlign w:val="bottom"/>
            <w:gridSpan w:val="2"/>
          </w:tcPr>
          <w:p>
            <w:pPr>
              <w:ind w:left="100"/>
              <w:spacing w:after="0" w:line="145" w:lineRule="exact"/>
              <w:rPr>
                <w:sz w:val="20"/>
                <w:szCs w:val="20"/>
                <w:color w:val="auto"/>
              </w:rPr>
            </w:pPr>
            <w:r>
              <w:rPr>
                <w:rFonts w:ascii="Arial" w:cs="Arial" w:eastAsia="Arial" w:hAnsi="Arial"/>
                <w:sz w:val="13"/>
                <w:szCs w:val="13"/>
                <w:color w:val="auto"/>
                <w:w w:val="93"/>
              </w:rPr>
              <w:t>3,954,695</w:t>
            </w: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w w:val="96"/>
              </w:rPr>
              <w:t>6,428,270</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6,755,367</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281,977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7,547,457</w:t>
            </w:r>
          </w:p>
        </w:tc>
        <w:tc>
          <w:tcPr>
            <w:tcW w:w="100" w:type="dxa"/>
            <w:vAlign w:val="bottom"/>
          </w:tcPr>
          <w:p>
            <w:pPr>
              <w:spacing w:after="0"/>
              <w:rPr>
                <w:sz w:val="12"/>
                <w:szCs w:val="12"/>
                <w:color w:val="auto"/>
              </w:rPr>
            </w:pPr>
          </w:p>
        </w:tc>
        <w:tc>
          <w:tcPr>
            <w:tcW w:w="88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7,829,434</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8,155,962</w:t>
            </w:r>
          </w:p>
        </w:tc>
        <w:tc>
          <w:tcPr>
            <w:tcW w:w="20" w:type="dxa"/>
            <w:vAlign w:val="bottom"/>
          </w:tcPr>
          <w:p>
            <w:pPr>
              <w:spacing w:after="0"/>
              <w:rPr>
                <w:sz w:val="12"/>
                <w:szCs w:val="12"/>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Instruments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issued by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Colombian</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w w:val="93"/>
              </w:rPr>
              <w:t>Colombian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Government</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rPr>
              <w:t>pesos</w:t>
            </w:r>
          </w:p>
        </w:tc>
        <w:tc>
          <w:tcPr>
            <w:tcW w:w="80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5.63</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523,831</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726,554</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w w:val="96"/>
              </w:rPr>
              <w:t>1,250,385</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1,242,159</w:t>
            </w:r>
          </w:p>
        </w:tc>
        <w:tc>
          <w:tcPr>
            <w:tcW w:w="6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4.68</w:t>
            </w:r>
          </w:p>
        </w:tc>
        <w:tc>
          <w:tcPr>
            <w:tcW w:w="10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127,103</w:t>
            </w:r>
          </w:p>
        </w:tc>
        <w:tc>
          <w:tcPr>
            <w:tcW w:w="8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721,207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848,310</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848,310</w:t>
            </w:r>
          </w:p>
        </w:tc>
        <w:tc>
          <w:tcPr>
            <w:tcW w:w="20" w:type="dxa"/>
            <w:vAlign w:val="bottom"/>
          </w:tcPr>
          <w:p>
            <w:pPr>
              <w:spacing w:after="0"/>
              <w:rPr>
                <w:sz w:val="12"/>
                <w:szCs w:val="12"/>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Instruments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issued by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Chilean</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rPr>
              <w:t>Chilean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Government</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auto"/>
              </w:rPr>
              <w:t>pesos</w:t>
            </w:r>
          </w:p>
        </w:tc>
        <w:tc>
          <w:tcPr>
            <w:tcW w:w="80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0.38</w:t>
            </w: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116,167</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116,167</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116,197</w:t>
            </w:r>
          </w:p>
        </w:tc>
        <w:tc>
          <w:tcPr>
            <w:tcW w:w="6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0.46</w:t>
            </w:r>
          </w:p>
        </w:tc>
        <w:tc>
          <w:tcPr>
            <w:tcW w:w="100" w:type="dxa"/>
            <w:vAlign w:val="bottom"/>
          </w:tcPr>
          <w:p>
            <w:pPr>
              <w:spacing w:after="0"/>
              <w:rPr>
                <w:sz w:val="12"/>
                <w:szCs w:val="12"/>
                <w:color w:val="auto"/>
              </w:rPr>
            </w:pPr>
          </w:p>
        </w:tc>
        <w:tc>
          <w:tcPr>
            <w:tcW w:w="7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83,375</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83,375</w:t>
            </w:r>
          </w:p>
        </w:tc>
        <w:tc>
          <w:tcPr>
            <w:tcW w:w="68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83,398</w:t>
            </w:r>
          </w:p>
        </w:tc>
      </w:tr>
      <w:tr>
        <w:trPr>
          <w:trHeight w:val="145"/>
        </w:trPr>
        <w:tc>
          <w:tcPr>
            <w:tcW w:w="940" w:type="dxa"/>
            <w:vAlign w:val="bottom"/>
          </w:tcPr>
          <w:p>
            <w:pPr>
              <w:spacing w:after="0" w:line="145" w:lineRule="exact"/>
              <w:rPr>
                <w:sz w:val="20"/>
                <w:szCs w:val="20"/>
                <w:color w:val="auto"/>
              </w:rPr>
            </w:pPr>
            <w:r>
              <w:rPr>
                <w:rFonts w:ascii="Arial" w:cs="Arial" w:eastAsia="Arial" w:hAnsi="Arial"/>
                <w:sz w:val="13"/>
                <w:szCs w:val="13"/>
                <w:color w:val="auto"/>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940" w:type="dxa"/>
            <w:vAlign w:val="bottom"/>
          </w:tcPr>
          <w:p>
            <w:pPr>
              <w:spacing w:after="0"/>
              <w:rPr>
                <w:sz w:val="20"/>
                <w:szCs w:val="20"/>
                <w:color w:val="auto"/>
              </w:rPr>
            </w:pPr>
            <w:r>
              <w:rPr>
                <w:rFonts w:ascii="Arial" w:cs="Arial" w:eastAsia="Arial" w:hAnsi="Arial"/>
                <w:sz w:val="13"/>
                <w:szCs w:val="13"/>
                <w:color w:val="auto"/>
              </w:rPr>
              <w:t>instruments</w:t>
            </w:r>
          </w:p>
        </w:tc>
        <w:tc>
          <w:tcPr>
            <w:tcW w:w="660" w:type="dxa"/>
            <w:vAlign w:val="bottom"/>
          </w:tcPr>
          <w:p>
            <w:pPr>
              <w:ind w:left="60"/>
              <w:spacing w:after="0"/>
              <w:rPr>
                <w:sz w:val="20"/>
                <w:szCs w:val="20"/>
                <w:color w:val="auto"/>
              </w:rPr>
            </w:pPr>
            <w:r>
              <w:rPr>
                <w:rFonts w:ascii="Arial" w:cs="Arial" w:eastAsia="Arial" w:hAnsi="Arial"/>
                <w:sz w:val="13"/>
                <w:szCs w:val="13"/>
                <w:color w:val="auto"/>
              </w:rPr>
              <w:t>Several</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0.97</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57,746</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8,921</w:t>
            </w: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382,298</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448,965</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448,973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5.11</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46,843</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4,976</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247,772</w:t>
            </w:r>
          </w:p>
        </w:tc>
        <w:tc>
          <w:tcPr>
            <w:tcW w:w="880" w:type="dxa"/>
            <w:vAlign w:val="bottom"/>
            <w:gridSpan w:val="3"/>
          </w:tcPr>
          <w:p>
            <w:pPr>
              <w:jc w:val="right"/>
              <w:ind w:right="200"/>
              <w:spacing w:after="0"/>
              <w:rPr>
                <w:sz w:val="20"/>
                <w:szCs w:val="20"/>
                <w:color w:val="auto"/>
              </w:rPr>
            </w:pPr>
            <w:r>
              <w:rPr>
                <w:rFonts w:ascii="Arial" w:cs="Arial" w:eastAsia="Arial" w:hAnsi="Arial"/>
                <w:sz w:val="13"/>
                <w:szCs w:val="13"/>
                <w:color w:val="auto"/>
              </w:rPr>
              <w:t>299,591</w:t>
            </w:r>
          </w:p>
        </w:tc>
        <w:tc>
          <w:tcPr>
            <w:tcW w:w="660" w:type="dxa"/>
            <w:vAlign w:val="bottom"/>
          </w:tcPr>
          <w:p>
            <w:pPr>
              <w:jc w:val="right"/>
              <w:spacing w:after="0"/>
              <w:rPr>
                <w:sz w:val="20"/>
                <w:szCs w:val="20"/>
                <w:color w:val="auto"/>
              </w:rPr>
            </w:pPr>
            <w:r>
              <w:rPr>
                <w:rFonts w:ascii="Arial" w:cs="Arial" w:eastAsia="Arial" w:hAnsi="Arial"/>
                <w:sz w:val="13"/>
                <w:szCs w:val="13"/>
                <w:color w:val="auto"/>
              </w:rPr>
              <w:t>299,603</w:t>
            </w:r>
          </w:p>
        </w:tc>
        <w:tc>
          <w:tcPr>
            <w:tcW w:w="20" w:type="dxa"/>
            <w:vAlign w:val="bottom"/>
          </w:tcPr>
          <w:p>
            <w:pPr>
              <w:spacing w:after="0"/>
              <w:rPr>
                <w:sz w:val="14"/>
                <w:szCs w:val="14"/>
                <w:color w:val="auto"/>
              </w:rPr>
            </w:pPr>
          </w:p>
        </w:tc>
      </w:tr>
      <w:tr>
        <w:trPr>
          <w:trHeight w:val="141"/>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876,001</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3,030,793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20"/>
              <w:spacing w:after="0" w:line="137" w:lineRule="exact"/>
              <w:rPr>
                <w:sz w:val="20"/>
                <w:szCs w:val="20"/>
                <w:color w:val="auto"/>
              </w:rPr>
            </w:pPr>
            <w:r>
              <w:rPr>
                <w:rFonts w:ascii="Arial" w:cs="Arial" w:eastAsia="Arial" w:hAnsi="Arial"/>
                <w:sz w:val="13"/>
                <w:szCs w:val="13"/>
                <w:color w:val="auto"/>
                <w:w w:val="93"/>
              </w:rPr>
              <w:t>4,336,993</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8,243,787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8,562,696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539,298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726,183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7,795,229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9,060,710</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9,387,273</w:t>
            </w:r>
          </w:p>
        </w:tc>
        <w:tc>
          <w:tcPr>
            <w:tcW w:w="20" w:type="dxa"/>
            <w:vAlign w:val="bottom"/>
            <w:tcBorders>
              <w:top w:val="single" w:sz="8" w:color="auto"/>
              <w:bottom w:val="single" w:sz="8" w:color="auto"/>
            </w:tcBorders>
          </w:tcPr>
          <w:p>
            <w:pPr>
              <w:spacing w:after="0"/>
              <w:rPr>
                <w:sz w:val="12"/>
                <w:szCs w:val="12"/>
                <w:color w:val="auto"/>
              </w:rPr>
            </w:pPr>
          </w:p>
        </w:tc>
      </w:tr>
    </w:tbl>
    <w:p>
      <w:pPr>
        <w:spacing w:after="0" w:line="33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60"/>
          </w:cols>
          <w:pgMar w:left="600" w:top="316" w:right="339" w:bottom="1440" w:gutter="0" w:footer="0" w:header="0"/>
        </w:sectPr>
      </w:pPr>
    </w:p>
    <w:bookmarkStart w:id="65" w:name="page66"/>
    <w:bookmarkEnd w:id="65"/>
    <w:p>
      <w:pPr>
        <w:ind w:left="300" w:hanging="294"/>
        <w:spacing w:after="0"/>
        <w:tabs>
          <w:tab w:leader="none" w:pos="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of December 31, 2025, and 2024, the Group has repurchased agreements secured with: (i) cash, see Note 4(a) and (ii) investments, see Note</w:t>
      </w:r>
    </w:p>
    <w:p>
      <w:pPr>
        <w:spacing w:after="0" w:line="12"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6(b). This item consists of the following:</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98"/>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8"/>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120"/>
              <w:spacing w:after="0" w:line="16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100"/>
              <w:spacing w:after="0" w:line="168"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8"/>
        </w:trPr>
        <w:tc>
          <w:tcPr>
            <w:tcW w:w="1700" w:type="dxa"/>
            <w:vAlign w:val="bottom"/>
          </w:tcPr>
          <w:p>
            <w:pPr>
              <w:spacing w:after="0"/>
              <w:rPr>
                <w:sz w:val="20"/>
                <w:szCs w:val="20"/>
                <w:color w:val="auto"/>
              </w:rPr>
            </w:pPr>
            <w:r>
              <w:rPr>
                <w:rFonts w:ascii="Arial" w:cs="Arial" w:eastAsia="Arial" w:hAnsi="Arial"/>
                <w:sz w:val="16"/>
                <w:szCs w:val="16"/>
                <w:b w:val="1"/>
                <w:bCs w:val="1"/>
                <w:color w:val="auto"/>
              </w:rPr>
              <w:t>Counterparties</w:t>
            </w:r>
          </w:p>
        </w:tc>
        <w:tc>
          <w:tcPr>
            <w:tcW w:w="1200" w:type="dxa"/>
            <w:vAlign w:val="bottom"/>
            <w:gridSpan w:val="3"/>
          </w:tcPr>
          <w:p>
            <w:pPr>
              <w:ind w:left="120"/>
              <w:spacing w:after="0"/>
              <w:rPr>
                <w:sz w:val="20"/>
                <w:szCs w:val="20"/>
                <w:color w:val="auto"/>
              </w:rPr>
            </w:pPr>
            <w:r>
              <w:rPr>
                <w:rFonts w:ascii="Arial" w:cs="Arial" w:eastAsia="Arial" w:hAnsi="Arial"/>
                <w:sz w:val="16"/>
                <w:szCs w:val="16"/>
                <w:b w:val="1"/>
                <w:bCs w:val="1"/>
                <w:color w:val="auto"/>
              </w:rPr>
              <w:t>Currency</w:t>
            </w: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Maturity</w:t>
            </w:r>
          </w:p>
        </w:tc>
        <w:tc>
          <w:tcPr>
            <w:tcW w:w="11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Collateral</w:t>
            </w: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Maturity</w:t>
            </w:r>
          </w:p>
        </w:tc>
        <w:tc>
          <w:tcPr>
            <w:tcW w:w="10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Collateral</w:t>
            </w:r>
          </w:p>
        </w:tc>
      </w:tr>
      <w:tr>
        <w:trPr>
          <w:trHeight w:val="214"/>
        </w:trPr>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305"/>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 /</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1"/>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January 2026 /</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September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BCRP</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March 2026</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4,730,494</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2025</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6,115,254</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Investments</w:t>
            </w:r>
          </w:p>
        </w:tc>
      </w:tr>
      <w:tr>
        <w:trPr>
          <w:trHeight w:val="181"/>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March 2028 /</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Barclays Bank PLC</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December 2028</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508,149</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Natixis S.A.</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August 2028</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270,000</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August 2028</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270,000</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Investments</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Banco Central de</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Boliviano /</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Cash /</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Bolivia</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March 2026</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236,527</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March 2026</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343,571</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Cash</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Banco Santander Perú</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January 2026</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200,001</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Banco de la República</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Colombian</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de Colombia</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peso</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January 2026</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178,172</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January 2025</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281,837</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Investments</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Citigroup Global</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Markets Limited</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August 2026</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151,335</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August 2026</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169,380</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Investments</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Natixis S.A.</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August 2026</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84,075</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August 2026</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94,100</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Investments</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Barclays Capital I.N.C.</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August 2028</w:t>
            </w: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9,090</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August 2028</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9,090</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Investments</w:t>
            </w:r>
          </w:p>
        </w:tc>
      </w:tr>
      <w:tr>
        <w:trPr>
          <w:trHeight w:val="181"/>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Loans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Loans</w:t>
            </w:r>
          </w:p>
        </w:tc>
      </w:tr>
      <w:tr>
        <w:trPr>
          <w:trHeight w:val="181"/>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guaranteed by</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guaranteed by</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BCRP - Reactiva Perú</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National</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May 2025 /</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National</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Government</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December 2025</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459,775</w:t>
            </w: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Government</w:t>
            </w:r>
          </w:p>
        </w:tc>
      </w:tr>
      <w:tr>
        <w:trPr>
          <w:trHeight w:val="181"/>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Loans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Loans</w:t>
            </w:r>
          </w:p>
        </w:tc>
      </w:tr>
      <w:tr>
        <w:trPr>
          <w:trHeight w:val="181"/>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guaranteed by</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guaranteed by</w:t>
            </w:r>
          </w:p>
        </w:tc>
      </w:tr>
      <w:tr>
        <w:trPr>
          <w:trHeight w:val="181"/>
        </w:trPr>
        <w:tc>
          <w:tcPr>
            <w:tcW w:w="1700" w:type="dxa"/>
            <w:vAlign w:val="bottom"/>
          </w:tcPr>
          <w:p>
            <w:pPr>
              <w:ind w:left="40"/>
              <w:spacing w:after="0" w:line="181" w:lineRule="exact"/>
              <w:rPr>
                <w:sz w:val="20"/>
                <w:szCs w:val="20"/>
                <w:color w:val="auto"/>
              </w:rPr>
            </w:pPr>
            <w:r>
              <w:rPr>
                <w:rFonts w:ascii="Arial" w:cs="Arial" w:eastAsia="Arial" w:hAnsi="Arial"/>
                <w:sz w:val="16"/>
                <w:szCs w:val="16"/>
                <w:color w:val="auto"/>
              </w:rPr>
              <w:t>BCRP - Reactiva Perú</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National</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October 2025 /</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National</w:t>
            </w:r>
          </w:p>
        </w:tc>
      </w:tr>
      <w:tr>
        <w:trPr>
          <w:trHeight w:val="202"/>
        </w:trPr>
        <w:tc>
          <w:tcPr>
            <w:tcW w:w="1700" w:type="dxa"/>
            <w:vAlign w:val="bottom"/>
          </w:tcPr>
          <w:p>
            <w:pPr>
              <w:ind w:left="40"/>
              <w:spacing w:after="0"/>
              <w:rPr>
                <w:sz w:val="20"/>
                <w:szCs w:val="20"/>
                <w:color w:val="auto"/>
              </w:rPr>
            </w:pPr>
            <w:r>
              <w:rPr>
                <w:rFonts w:ascii="Arial" w:cs="Arial" w:eastAsia="Arial" w:hAnsi="Arial"/>
                <w:sz w:val="16"/>
                <w:szCs w:val="16"/>
                <w:color w:val="auto"/>
              </w:rPr>
              <w:t>Especial (*)</w:t>
            </w: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Sol</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Government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December 2025</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19,212</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Government</w:t>
            </w:r>
          </w:p>
        </w:tc>
      </w:tr>
      <w:tr>
        <w:trPr>
          <w:trHeight w:val="152"/>
        </w:trPr>
        <w:tc>
          <w:tcPr>
            <w:tcW w:w="1700" w:type="dxa"/>
            <w:vAlign w:val="bottom"/>
          </w:tcPr>
          <w:p>
            <w:pPr>
              <w:ind w:left="40"/>
              <w:spacing w:after="0" w:line="152" w:lineRule="exact"/>
              <w:rPr>
                <w:sz w:val="20"/>
                <w:szCs w:val="20"/>
                <w:color w:val="auto"/>
              </w:rPr>
            </w:pPr>
            <w:r>
              <w:rPr>
                <w:rFonts w:ascii="Arial" w:cs="Arial" w:eastAsia="Arial" w:hAnsi="Arial"/>
                <w:sz w:val="16"/>
                <w:szCs w:val="16"/>
                <w:b w:val="1"/>
                <w:bCs w:val="1"/>
                <w:color w:val="auto"/>
              </w:rPr>
              <w:t>Balance before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0"/>
        </w:trPr>
        <w:tc>
          <w:tcPr>
            <w:tcW w:w="170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accrued interest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6,367,843</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7,762,219</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3"/>
        </w:trPr>
        <w:tc>
          <w:tcPr>
            <w:tcW w:w="1700" w:type="dxa"/>
            <w:vAlign w:val="bottom"/>
          </w:tcPr>
          <w:p>
            <w:pPr>
              <w:ind w:left="40"/>
              <w:spacing w:after="0" w:line="165" w:lineRule="exact"/>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100"/>
              <w:spacing w:after="0" w:line="165" w:lineRule="exact"/>
              <w:rPr>
                <w:sz w:val="20"/>
                <w:szCs w:val="20"/>
                <w:color w:val="auto"/>
              </w:rPr>
            </w:pPr>
            <w:r>
              <w:rPr>
                <w:rFonts w:ascii="Arial" w:cs="Arial" w:eastAsia="Arial" w:hAnsi="Arial"/>
                <w:sz w:val="16"/>
                <w:szCs w:val="16"/>
                <w:color w:val="auto"/>
              </w:rPr>
              <w:t>60,427</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color w:val="auto"/>
              </w:rPr>
              <w:t>67,215</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5"/>
        </w:trPr>
        <w:tc>
          <w:tcPr>
            <w:tcW w:w="170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6,428,270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7,829,434</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152" w:lineRule="exact"/>
        <w:rPr>
          <w:sz w:val="20"/>
          <w:szCs w:val="20"/>
          <w:color w:val="auto"/>
        </w:rPr>
      </w:pPr>
    </w:p>
    <w:p>
      <w:pPr>
        <w:jc w:val="both"/>
        <w:ind w:left="580" w:hanging="284"/>
        <w:spacing w:after="0" w:line="242"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Relates to contract transactions whereby BCP and Mibanco sell representative credit instruments guaranteed by the Central Reserve Bank of Peru (BCRP), receive Peruvian soles, and are obligated to repurchase them at a later date. The representative credit instruments secured by the National Government guarantee may take the form of a portfolio of representative credit instruments or Participation Certificates in a trust of a loan portfolio guaranteed by the National Government (Special Reactiva). The BCRP will charge a fixed annual interest rate in Peruvian soles of 0.5 percent on the transaction and will include a twelve-month grace period with no payment of interest or principal. As of December 31, 2025, the Bank and its Subsidiaries do not maintain repurchase agreements secured by credits under the Reactiva Perú program (S/533.1 million as of December 31, 2024).</w:t>
      </w:r>
    </w:p>
    <w:p>
      <w:pPr>
        <w:spacing w:after="0" w:line="149" w:lineRule="exact"/>
        <w:rPr>
          <w:sz w:val="20"/>
          <w:szCs w:val="20"/>
          <w:color w:val="auto"/>
        </w:rPr>
      </w:pPr>
    </w:p>
    <w:p>
      <w:pPr>
        <w:ind w:left="300" w:right="200"/>
        <w:spacing w:after="0" w:line="255" w:lineRule="auto"/>
        <w:rPr>
          <w:sz w:val="20"/>
          <w:szCs w:val="20"/>
          <w:color w:val="auto"/>
        </w:rPr>
      </w:pPr>
      <w:r>
        <w:rPr>
          <w:rFonts w:ascii="Arial" w:cs="Arial" w:eastAsia="Arial" w:hAnsi="Arial"/>
          <w:sz w:val="16"/>
          <w:szCs w:val="16"/>
          <w:color w:val="auto"/>
        </w:rPr>
        <w:t>As of December 31, 2025, said operations accrue interest at fixed and variable rates between 3.9 percent and 9.3 percent and daily SOFR between 4.85 percent and 6.66 percent, (between 0.5 percent and 9.5 percent and daily SOFR between 7.02 percent and 7.24 percent, respectively, as of December 31, 2024).</w:t>
      </w:r>
    </w:p>
    <w:p>
      <w:pPr>
        <w:spacing w:after="0" w:line="30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80"/>
          </w:cols>
          <w:pgMar w:left="600" w:top="316" w:right="319" w:bottom="1440" w:gutter="0" w:footer="0" w:header="0"/>
        </w:sectPr>
      </w:pPr>
    </w:p>
    <w:bookmarkStart w:id="66" w:name="page67"/>
    <w:bookmarkEnd w:id="66"/>
    <w:p>
      <w:pPr>
        <w:ind w:left="283" w:hanging="283"/>
        <w:spacing w:after="0"/>
        <w:tabs>
          <w:tab w:leader="none" w:pos="283"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w:t>
      </w:r>
    </w:p>
    <w:p>
      <w:pPr>
        <w:spacing w:after="0" w:line="177" w:lineRule="exact"/>
        <w:rPr>
          <w:rFonts w:ascii="Arial" w:cs="Arial" w:eastAsia="Arial" w:hAnsi="Arial"/>
          <w:sz w:val="16"/>
          <w:szCs w:val="16"/>
          <w:b w:val="1"/>
          <w:bCs w:val="1"/>
          <w:color w:val="auto"/>
        </w:rPr>
      </w:pPr>
    </w:p>
    <w:p>
      <w:pPr>
        <w:ind w:left="583" w:hanging="294"/>
        <w:spacing w:after="0"/>
        <w:tabs>
          <w:tab w:leader="none" w:pos="583"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Investments at fair value through profit or loss consist of the following:</w:t>
      </w:r>
    </w:p>
    <w:p>
      <w:pPr>
        <w:spacing w:after="0" w:line="190" w:lineRule="exact"/>
        <w:rPr>
          <w:sz w:val="20"/>
          <w:szCs w:val="20"/>
          <w:color w:val="auto"/>
        </w:rPr>
      </w:pPr>
    </w:p>
    <w:tbl>
      <w:tblPr>
        <w:tblLayout w:type="fixed"/>
        <w:tblInd w:w="623" w:type="dxa"/>
        <w:tblCellMar>
          <w:top w:w="0" w:type="dxa"/>
          <w:left w:w="0" w:type="dxa"/>
          <w:bottom w:w="0" w:type="dxa"/>
          <w:right w:w="0" w:type="dxa"/>
        </w:tblCellMar>
      </w:tblPr>
      <w:tr>
        <w:trPr>
          <w:trHeight w:val="198"/>
        </w:trPr>
        <w:tc>
          <w:tcPr>
            <w:tcW w:w="5280" w:type="dxa"/>
            <w:vAlign w:val="bottom"/>
          </w:tcPr>
          <w:p>
            <w:pPr>
              <w:spacing w:after="0"/>
              <w:rPr>
                <w:sz w:val="17"/>
                <w:szCs w:val="17"/>
                <w:color w:val="auto"/>
              </w:rPr>
            </w:pPr>
          </w:p>
        </w:tc>
        <w:tc>
          <w:tcPr>
            <w:tcW w:w="39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5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6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5280" w:type="dxa"/>
            <w:vAlign w:val="bottom"/>
          </w:tcPr>
          <w:p>
            <w:pPr>
              <w:spacing w:after="0"/>
              <w:rPr>
                <w:sz w:val="20"/>
                <w:szCs w:val="20"/>
                <w:color w:val="auto"/>
              </w:rPr>
            </w:pPr>
            <w:r>
              <w:rPr>
                <w:rFonts w:ascii="Arial" w:cs="Arial" w:eastAsia="Arial" w:hAnsi="Arial"/>
                <w:sz w:val="16"/>
                <w:szCs w:val="16"/>
                <w:color w:val="auto"/>
              </w:rPr>
              <w:t>Government bonds (i)</w:t>
            </w:r>
          </w:p>
        </w:tc>
        <w:tc>
          <w:tcPr>
            <w:tcW w:w="4100" w:type="dxa"/>
            <w:vAlign w:val="bottom"/>
            <w:gridSpan w:val="3"/>
          </w:tcPr>
          <w:p>
            <w:pPr>
              <w:jc w:val="right"/>
              <w:ind w:right="200"/>
              <w:spacing w:after="0"/>
              <w:rPr>
                <w:sz w:val="20"/>
                <w:szCs w:val="20"/>
                <w:color w:val="auto"/>
              </w:rPr>
            </w:pPr>
            <w:r>
              <w:rPr>
                <w:rFonts w:ascii="Arial" w:cs="Arial" w:eastAsia="Arial" w:hAnsi="Arial"/>
                <w:sz w:val="16"/>
                <w:szCs w:val="16"/>
                <w:color w:val="auto"/>
              </w:rPr>
              <w:t>1,940,978</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1,685,543</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Investment funds (ii)</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1,498,168</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1,401,956</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Mutual funds (iii)</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704,936</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622,157</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Restricted mutual funds (iv)</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336,159</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307,225</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Participation in RAL funds (v)</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125,393</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432,503</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Corporate bonds (vi)</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87,644</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75,601</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Shares</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84,806</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71,425</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Bonds from financial organizations</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61,066</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22,081</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Subordinated bonds</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35,678</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24,587</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ETF (Exchange - Traded Fund)</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34,097</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39,309</w:t>
            </w:r>
          </w:p>
        </w:tc>
      </w:tr>
      <w:tr>
        <w:trPr>
          <w:trHeight w:val="181"/>
        </w:trPr>
        <w:tc>
          <w:tcPr>
            <w:tcW w:w="5280" w:type="dxa"/>
            <w:vAlign w:val="bottom"/>
          </w:tcPr>
          <w:p>
            <w:pPr>
              <w:spacing w:after="0" w:line="181" w:lineRule="exact"/>
              <w:rPr>
                <w:sz w:val="20"/>
                <w:szCs w:val="20"/>
                <w:color w:val="auto"/>
              </w:rPr>
            </w:pPr>
            <w:r>
              <w:rPr>
                <w:rFonts w:ascii="Arial" w:cs="Arial" w:eastAsia="Arial" w:hAnsi="Arial"/>
                <w:sz w:val="16"/>
                <w:szCs w:val="16"/>
                <w:color w:val="auto"/>
              </w:rPr>
              <w:t>Central Bank of Chile bonds</w:t>
            </w:r>
          </w:p>
        </w:tc>
        <w:tc>
          <w:tcPr>
            <w:tcW w:w="41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25,478</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11,355</w:t>
            </w: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Others</w:t>
            </w:r>
          </w:p>
        </w:tc>
        <w:tc>
          <w:tcPr>
            <w:tcW w:w="4100" w:type="dxa"/>
            <w:vAlign w:val="bottom"/>
            <w:gridSpan w:val="3"/>
          </w:tcPr>
          <w:p>
            <w:pPr>
              <w:jc w:val="right"/>
              <w:ind w:right="200"/>
              <w:spacing w:after="0"/>
              <w:rPr>
                <w:sz w:val="20"/>
                <w:szCs w:val="20"/>
                <w:color w:val="auto"/>
              </w:rPr>
            </w:pPr>
            <w:r>
              <w:rPr>
                <w:rFonts w:ascii="Arial" w:cs="Arial" w:eastAsia="Arial" w:hAnsi="Arial"/>
                <w:sz w:val="16"/>
                <w:szCs w:val="16"/>
                <w:color w:val="auto"/>
              </w:rPr>
              <w:t>6,259</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7,676</w:t>
            </w:r>
          </w:p>
        </w:tc>
      </w:tr>
      <w:tr>
        <w:trPr>
          <w:trHeight w:val="156"/>
        </w:trPr>
        <w:tc>
          <w:tcPr>
            <w:tcW w:w="5280" w:type="dxa"/>
            <w:vAlign w:val="bottom"/>
          </w:tcPr>
          <w:p>
            <w:pPr>
              <w:spacing w:after="0" w:line="156" w:lineRule="exact"/>
              <w:rPr>
                <w:sz w:val="20"/>
                <w:szCs w:val="20"/>
                <w:color w:val="auto"/>
              </w:rPr>
            </w:pPr>
            <w:r>
              <w:rPr>
                <w:rFonts w:ascii="Arial" w:cs="Arial" w:eastAsia="Arial" w:hAnsi="Arial"/>
                <w:sz w:val="16"/>
                <w:szCs w:val="16"/>
                <w:color w:val="auto"/>
              </w:rPr>
              <w:t>Balance before accrued interest</w:t>
            </w:r>
          </w:p>
        </w:tc>
        <w:tc>
          <w:tcPr>
            <w:tcW w:w="2840" w:type="dxa"/>
            <w:vAlign w:val="bottom"/>
          </w:tcPr>
          <w:p>
            <w:pPr>
              <w:spacing w:after="0"/>
              <w:rPr>
                <w:sz w:val="13"/>
                <w:szCs w:val="13"/>
                <w:color w:val="auto"/>
              </w:rPr>
            </w:pPr>
          </w:p>
        </w:tc>
        <w:tc>
          <w:tcPr>
            <w:tcW w:w="10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4,940,662</w:t>
            </w:r>
          </w:p>
        </w:tc>
        <w:tc>
          <w:tcPr>
            <w:tcW w:w="20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4,701,418</w:t>
            </w:r>
          </w:p>
        </w:tc>
      </w:tr>
      <w:tr>
        <w:trPr>
          <w:trHeight w:val="202"/>
        </w:trPr>
        <w:tc>
          <w:tcPr>
            <w:tcW w:w="5280" w:type="dxa"/>
            <w:vAlign w:val="bottom"/>
          </w:tcPr>
          <w:p>
            <w:pPr>
              <w:spacing w:after="0"/>
              <w:rPr>
                <w:sz w:val="20"/>
                <w:szCs w:val="20"/>
                <w:color w:val="auto"/>
              </w:rPr>
            </w:pPr>
            <w:r>
              <w:rPr>
                <w:rFonts w:ascii="Arial" w:cs="Arial" w:eastAsia="Arial" w:hAnsi="Arial"/>
                <w:sz w:val="16"/>
                <w:szCs w:val="16"/>
                <w:color w:val="auto"/>
              </w:rPr>
              <w:t>Accrued interest</w:t>
            </w:r>
          </w:p>
        </w:tc>
        <w:tc>
          <w:tcPr>
            <w:tcW w:w="4100" w:type="dxa"/>
            <w:vAlign w:val="bottom"/>
            <w:gridSpan w:val="3"/>
          </w:tcPr>
          <w:p>
            <w:pPr>
              <w:jc w:val="right"/>
              <w:ind w:right="200"/>
              <w:spacing w:after="0"/>
              <w:rPr>
                <w:sz w:val="20"/>
                <w:szCs w:val="20"/>
                <w:color w:val="auto"/>
              </w:rPr>
            </w:pPr>
            <w:r>
              <w:rPr>
                <w:rFonts w:ascii="Arial" w:cs="Arial" w:eastAsia="Arial" w:hAnsi="Arial"/>
                <w:sz w:val="16"/>
                <w:szCs w:val="16"/>
                <w:color w:val="auto"/>
              </w:rPr>
              <w:t>16,574</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13,925</w:t>
            </w:r>
          </w:p>
        </w:tc>
      </w:tr>
      <w:tr>
        <w:trPr>
          <w:trHeight w:val="185"/>
        </w:trPr>
        <w:tc>
          <w:tcPr>
            <w:tcW w:w="528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284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4,957,236</w:t>
            </w:r>
          </w:p>
        </w:tc>
        <w:tc>
          <w:tcPr>
            <w:tcW w:w="200" w:type="dxa"/>
            <w:vAlign w:val="bottom"/>
          </w:tcPr>
          <w:p>
            <w:pPr>
              <w:spacing w:after="0"/>
              <w:rPr>
                <w:sz w:val="16"/>
                <w:szCs w:val="16"/>
                <w:color w:val="auto"/>
              </w:rPr>
            </w:pPr>
          </w:p>
        </w:tc>
        <w:tc>
          <w:tcPr>
            <w:tcW w:w="108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4,715,343</w:t>
            </w:r>
          </w:p>
        </w:tc>
      </w:tr>
    </w:tbl>
    <w:p>
      <w:pPr>
        <w:spacing w:after="0" w:line="152" w:lineRule="exact"/>
        <w:rPr>
          <w:sz w:val="20"/>
          <w:szCs w:val="20"/>
          <w:color w:val="auto"/>
        </w:rPr>
      </w:pPr>
    </w:p>
    <w:p>
      <w:pPr>
        <w:ind w:left="583"/>
        <w:spacing w:after="0"/>
        <w:tabs>
          <w:tab w:leader="none" w:pos="843" w:val="left"/>
        </w:tabs>
        <w:rPr>
          <w:sz w:val="20"/>
          <w:szCs w:val="20"/>
          <w:color w:val="auto"/>
        </w:rPr>
      </w:pPr>
      <w:r>
        <w:rPr>
          <w:rFonts w:ascii="Arial" w:cs="Arial" w:eastAsia="Arial" w:hAnsi="Arial"/>
          <w:sz w:val="16"/>
          <w:szCs w:val="16"/>
          <w:color w:val="auto"/>
        </w:rPr>
        <w:t>(i)</w:t>
        <w:tab/>
        <w:t>As of December 31, 2025, and 2024, the balance of these instruments includes the following government treasury bonds:</w:t>
      </w:r>
    </w:p>
    <w:p>
      <w:pPr>
        <w:spacing w:after="0" w:line="190" w:lineRule="exact"/>
        <w:rPr>
          <w:sz w:val="20"/>
          <w:szCs w:val="20"/>
          <w:color w:val="auto"/>
        </w:rPr>
      </w:pPr>
    </w:p>
    <w:tbl>
      <w:tblPr>
        <w:tblLayout w:type="fixed"/>
        <w:tblInd w:w="623" w:type="dxa"/>
        <w:tblCellMar>
          <w:top w:w="0" w:type="dxa"/>
          <w:left w:w="0" w:type="dxa"/>
          <w:bottom w:w="0" w:type="dxa"/>
          <w:right w:w="0" w:type="dxa"/>
        </w:tblCellMar>
      </w:tblPr>
      <w:tr>
        <w:trPr>
          <w:trHeight w:val="198"/>
        </w:trPr>
        <w:tc>
          <w:tcPr>
            <w:tcW w:w="5500" w:type="dxa"/>
            <w:vAlign w:val="bottom"/>
          </w:tcPr>
          <w:p>
            <w:pPr>
              <w:spacing w:after="0"/>
              <w:rPr>
                <w:sz w:val="17"/>
                <w:szCs w:val="17"/>
                <w:color w:val="auto"/>
              </w:rPr>
            </w:pPr>
          </w:p>
        </w:tc>
        <w:tc>
          <w:tcPr>
            <w:tcW w:w="36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5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6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5500" w:type="dxa"/>
            <w:vAlign w:val="bottom"/>
          </w:tcPr>
          <w:p>
            <w:pPr>
              <w:spacing w:after="0"/>
              <w:rPr>
                <w:sz w:val="20"/>
                <w:szCs w:val="20"/>
                <w:color w:val="auto"/>
              </w:rPr>
            </w:pPr>
            <w:r>
              <w:rPr>
                <w:rFonts w:ascii="Arial" w:cs="Arial" w:eastAsia="Arial" w:hAnsi="Arial"/>
                <w:sz w:val="16"/>
                <w:szCs w:val="16"/>
                <w:color w:val="auto"/>
              </w:rPr>
              <w:t>Colombian treasury bonds</w:t>
            </w:r>
          </w:p>
        </w:tc>
        <w:tc>
          <w:tcPr>
            <w:tcW w:w="3880" w:type="dxa"/>
            <w:vAlign w:val="bottom"/>
            <w:gridSpan w:val="3"/>
          </w:tcPr>
          <w:p>
            <w:pPr>
              <w:jc w:val="right"/>
              <w:ind w:right="200"/>
              <w:spacing w:after="0"/>
              <w:rPr>
                <w:sz w:val="20"/>
                <w:szCs w:val="20"/>
                <w:color w:val="auto"/>
              </w:rPr>
            </w:pPr>
            <w:r>
              <w:rPr>
                <w:rFonts w:ascii="Arial" w:cs="Arial" w:eastAsia="Arial" w:hAnsi="Arial"/>
                <w:sz w:val="16"/>
                <w:szCs w:val="16"/>
                <w:color w:val="auto"/>
              </w:rPr>
              <w:t>1,191,445</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1,018,392</w:t>
            </w:r>
          </w:p>
        </w:tc>
      </w:tr>
      <w:tr>
        <w:trPr>
          <w:trHeight w:val="181"/>
        </w:trPr>
        <w:tc>
          <w:tcPr>
            <w:tcW w:w="5500" w:type="dxa"/>
            <w:vAlign w:val="bottom"/>
          </w:tcPr>
          <w:p>
            <w:pPr>
              <w:spacing w:after="0" w:line="181" w:lineRule="exact"/>
              <w:rPr>
                <w:sz w:val="20"/>
                <w:szCs w:val="20"/>
                <w:color w:val="auto"/>
              </w:rPr>
            </w:pPr>
            <w:r>
              <w:rPr>
                <w:rFonts w:ascii="Arial" w:cs="Arial" w:eastAsia="Arial" w:hAnsi="Arial"/>
                <w:sz w:val="16"/>
                <w:szCs w:val="16"/>
                <w:color w:val="auto"/>
              </w:rPr>
              <w:t>Peruvian treasury bonds</w:t>
            </w:r>
          </w:p>
        </w:tc>
        <w:tc>
          <w:tcPr>
            <w:tcW w:w="38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626,301</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420,019</w:t>
            </w:r>
          </w:p>
        </w:tc>
      </w:tr>
      <w:tr>
        <w:trPr>
          <w:trHeight w:val="181"/>
        </w:trPr>
        <w:tc>
          <w:tcPr>
            <w:tcW w:w="5500" w:type="dxa"/>
            <w:vAlign w:val="bottom"/>
          </w:tcPr>
          <w:p>
            <w:pPr>
              <w:spacing w:after="0" w:line="181" w:lineRule="exact"/>
              <w:rPr>
                <w:sz w:val="20"/>
                <w:szCs w:val="20"/>
                <w:color w:val="auto"/>
              </w:rPr>
            </w:pPr>
            <w:r>
              <w:rPr>
                <w:rFonts w:ascii="Arial" w:cs="Arial" w:eastAsia="Arial" w:hAnsi="Arial"/>
                <w:sz w:val="16"/>
                <w:szCs w:val="16"/>
                <w:color w:val="auto"/>
              </w:rPr>
              <w:t>Chilean treasury bonds</w:t>
            </w:r>
          </w:p>
        </w:tc>
        <w:tc>
          <w:tcPr>
            <w:tcW w:w="38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123,232</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87,505</w:t>
            </w:r>
          </w:p>
        </w:tc>
      </w:tr>
      <w:tr>
        <w:trPr>
          <w:trHeight w:val="181"/>
        </w:trPr>
        <w:tc>
          <w:tcPr>
            <w:tcW w:w="5500" w:type="dxa"/>
            <w:vAlign w:val="bottom"/>
          </w:tcPr>
          <w:p>
            <w:pPr>
              <w:spacing w:after="0" w:line="181" w:lineRule="exact"/>
              <w:rPr>
                <w:sz w:val="20"/>
                <w:szCs w:val="20"/>
                <w:color w:val="auto"/>
              </w:rPr>
            </w:pPr>
            <w:r>
              <w:rPr>
                <w:rFonts w:ascii="Arial" w:cs="Arial" w:eastAsia="Arial" w:hAnsi="Arial"/>
                <w:sz w:val="16"/>
                <w:szCs w:val="16"/>
                <w:color w:val="auto"/>
              </w:rPr>
              <w:t>United States of America treasury bonds</w:t>
            </w:r>
          </w:p>
        </w:tc>
        <w:tc>
          <w:tcPr>
            <w:tcW w:w="2620" w:type="dxa"/>
            <w:vAlign w:val="bottom"/>
          </w:tcPr>
          <w:p>
            <w:pPr>
              <w:spacing w:after="0"/>
              <w:rPr>
                <w:sz w:val="15"/>
                <w:szCs w:val="15"/>
                <w:color w:val="auto"/>
              </w:rPr>
            </w:pP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73,338</w:t>
            </w:r>
          </w:p>
        </w:tc>
      </w:tr>
      <w:tr>
        <w:trPr>
          <w:trHeight w:val="181"/>
        </w:trPr>
        <w:tc>
          <w:tcPr>
            <w:tcW w:w="5500" w:type="dxa"/>
            <w:vAlign w:val="bottom"/>
          </w:tcPr>
          <w:p>
            <w:pPr>
              <w:spacing w:after="0" w:line="181" w:lineRule="exact"/>
              <w:rPr>
                <w:sz w:val="20"/>
                <w:szCs w:val="20"/>
                <w:color w:val="auto"/>
              </w:rPr>
            </w:pPr>
            <w:r>
              <w:rPr>
                <w:rFonts w:ascii="Arial" w:cs="Arial" w:eastAsia="Arial" w:hAnsi="Arial"/>
                <w:sz w:val="16"/>
                <w:szCs w:val="16"/>
                <w:color w:val="auto"/>
              </w:rPr>
              <w:t>Mexican treasury bonds</w:t>
            </w:r>
          </w:p>
        </w:tc>
        <w:tc>
          <w:tcPr>
            <w:tcW w:w="2620" w:type="dxa"/>
            <w:vAlign w:val="bottom"/>
          </w:tcPr>
          <w:p>
            <w:pPr>
              <w:spacing w:after="0"/>
              <w:rPr>
                <w:sz w:val="15"/>
                <w:szCs w:val="15"/>
                <w:color w:val="auto"/>
              </w:rPr>
            </w:pP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43,334</w:t>
            </w:r>
          </w:p>
        </w:tc>
      </w:tr>
      <w:tr>
        <w:trPr>
          <w:trHeight w:val="202"/>
        </w:trPr>
        <w:tc>
          <w:tcPr>
            <w:tcW w:w="5500" w:type="dxa"/>
            <w:vAlign w:val="bottom"/>
          </w:tcPr>
          <w:p>
            <w:pPr>
              <w:spacing w:after="0"/>
              <w:rPr>
                <w:sz w:val="20"/>
                <w:szCs w:val="20"/>
                <w:color w:val="auto"/>
              </w:rPr>
            </w:pPr>
            <w:r>
              <w:rPr>
                <w:rFonts w:ascii="Arial" w:cs="Arial" w:eastAsia="Arial" w:hAnsi="Arial"/>
                <w:sz w:val="16"/>
                <w:szCs w:val="16"/>
                <w:color w:val="auto"/>
              </w:rPr>
              <w:t>Panama Government bonds</w:t>
            </w:r>
          </w:p>
        </w:tc>
        <w:tc>
          <w:tcPr>
            <w:tcW w:w="26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42,955</w:t>
            </w:r>
          </w:p>
        </w:tc>
      </w:tr>
      <w:tr>
        <w:trPr>
          <w:trHeight w:val="185"/>
        </w:trPr>
        <w:tc>
          <w:tcPr>
            <w:tcW w:w="550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26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1,940,978</w:t>
            </w:r>
          </w:p>
        </w:tc>
        <w:tc>
          <w:tcPr>
            <w:tcW w:w="200" w:type="dxa"/>
            <w:vAlign w:val="bottom"/>
          </w:tcPr>
          <w:p>
            <w:pPr>
              <w:spacing w:after="0"/>
              <w:rPr>
                <w:sz w:val="16"/>
                <w:szCs w:val="16"/>
                <w:color w:val="auto"/>
              </w:rPr>
            </w:pPr>
          </w:p>
        </w:tc>
        <w:tc>
          <w:tcPr>
            <w:tcW w:w="108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1,685,543</w:t>
            </w:r>
          </w:p>
        </w:tc>
      </w:tr>
    </w:tbl>
    <w:p>
      <w:pPr>
        <w:spacing w:after="0" w:line="152" w:lineRule="exact"/>
        <w:rPr>
          <w:sz w:val="20"/>
          <w:szCs w:val="20"/>
          <w:color w:val="auto"/>
        </w:rPr>
      </w:pPr>
    </w:p>
    <w:p>
      <w:pPr>
        <w:ind w:left="863" w:hanging="284"/>
        <w:spacing w:after="0" w:line="248" w:lineRule="auto"/>
        <w:tabs>
          <w:tab w:leader="none" w:pos="863"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of December 31, 2025, the balance corresponds mainly to investment funds in Peru, the United States of America, Colombia and other countries, which represent 62.4 percent, 21.3 percent, 11.2 percent, and 5.1 percent respectively. As of December 31, 2024, the balance corresponds mainly to investment funds in Peru, the United States of America, Colombia and other countries, which represent 59.6 percent, 27.5 percent, 9.5 percent, and 3.4 percent respectively.</w:t>
      </w:r>
    </w:p>
    <w:p>
      <w:pPr>
        <w:spacing w:after="0" w:line="144" w:lineRule="exact"/>
        <w:rPr>
          <w:rFonts w:ascii="Arial" w:cs="Arial" w:eastAsia="Arial" w:hAnsi="Arial"/>
          <w:sz w:val="16"/>
          <w:szCs w:val="16"/>
          <w:color w:val="auto"/>
        </w:rPr>
      </w:pPr>
    </w:p>
    <w:p>
      <w:pPr>
        <w:ind w:left="863" w:right="20" w:hanging="284"/>
        <w:spacing w:after="0" w:line="248" w:lineRule="auto"/>
        <w:tabs>
          <w:tab w:leader="none" w:pos="863"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of December 31, 2025, the balance corresponds to mutual funds from Bolivia, Chile, Ireland, Luxembourg, and other countries, which represent 43.2 percent, 27.9 percent, 11.3 percent, 11.1 percent and 6.5 percent of the total, respectively. As of December 31, 2024, the balance corresponds to mutual funds from Bolivia, Ireland, Luxembourg, and other countries, which represent 63.3 percent, 12.5 percent, 12.5 percent, and 11.7 percent of the total, respectively.</w:t>
      </w:r>
    </w:p>
    <w:p>
      <w:pPr>
        <w:spacing w:after="0" w:line="144" w:lineRule="exact"/>
        <w:rPr>
          <w:rFonts w:ascii="Arial" w:cs="Arial" w:eastAsia="Arial" w:hAnsi="Arial"/>
          <w:sz w:val="16"/>
          <w:szCs w:val="16"/>
          <w:color w:val="auto"/>
        </w:rPr>
      </w:pPr>
    </w:p>
    <w:p>
      <w:pPr>
        <w:ind w:left="863" w:right="280" w:hanging="284"/>
        <w:spacing w:after="0" w:line="255" w:lineRule="auto"/>
        <w:tabs>
          <w:tab w:leader="none" w:pos="863"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restricted mutual funds comprise the participation quotas in the private pension funds managed by Prima AFP and are maintained in compliance with the legal regulations in Peru. Their availability is restricted, and the yield received is the same as that received by the private pension funds managed.</w:t>
      </w:r>
    </w:p>
    <w:p>
      <w:pPr>
        <w:spacing w:after="0" w:line="306" w:lineRule="exact"/>
        <w:rPr>
          <w:rFonts w:ascii="Arial" w:cs="Arial" w:eastAsia="Arial" w:hAnsi="Arial"/>
          <w:sz w:val="16"/>
          <w:szCs w:val="16"/>
          <w:color w:val="auto"/>
        </w:rPr>
      </w:pPr>
    </w:p>
    <w:p>
      <w:pPr>
        <w:ind w:left="5523" w:hanging="104"/>
        <w:spacing w:after="0"/>
        <w:tabs>
          <w:tab w:leader="none" w:pos="5523" w:val="left"/>
        </w:tabs>
        <w:numPr>
          <w:ilvl w:val="1"/>
          <w:numId w:val="78"/>
        </w:numPr>
        <w:rPr>
          <w:rFonts w:ascii="Arial" w:cs="Arial" w:eastAsia="Arial" w:hAnsi="Arial"/>
          <w:sz w:val="16"/>
          <w:szCs w:val="16"/>
          <w:color w:val="auto"/>
        </w:rPr>
      </w:pPr>
      <w:r>
        <w:rPr>
          <w:rFonts w:ascii="Arial" w:cs="Arial" w:eastAsia="Arial" w:hAnsi="Arial"/>
          <w:sz w:val="16"/>
          <w:szCs w:val="16"/>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43"/>
          </w:cols>
          <w:pgMar w:left="317" w:top="316" w:right="439" w:bottom="1440" w:gutter="0" w:footer="0" w:header="0"/>
        </w:sectPr>
      </w:pPr>
    </w:p>
    <w:bookmarkStart w:id="67" w:name="page68"/>
    <w:bookmarkEnd w:id="67"/>
    <w:p>
      <w:pPr>
        <w:ind w:left="284" w:hanging="284"/>
        <w:spacing w:after="0" w:line="248" w:lineRule="auto"/>
        <w:tabs>
          <w:tab w:leader="none" w:pos="284"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of December 31, 2025, these funds are approximately Bs303.1 million, equivalent to S/121.1 million, and US$1.3 million, equivalent to S/4.3 million. As of December 31, 2024, these funds are approximately Bs725.5 million, equivalent to S/398.1 million, and US$9.1 million, equivalent to S/34.4 million; and include the investments made by the Group in the Central Bank of Bolivia as guarantee for deposits received from the public. These funds have restrictions for their use and are required from all banks in Bolivia.</w:t>
      </w:r>
    </w:p>
    <w:p>
      <w:pPr>
        <w:spacing w:after="0" w:line="144" w:lineRule="exact"/>
        <w:rPr>
          <w:rFonts w:ascii="Arial" w:cs="Arial" w:eastAsia="Arial" w:hAnsi="Arial"/>
          <w:sz w:val="16"/>
          <w:szCs w:val="16"/>
          <w:color w:val="auto"/>
        </w:rPr>
      </w:pPr>
    </w:p>
    <w:p>
      <w:pPr>
        <w:ind w:left="284" w:right="180" w:hanging="284"/>
        <w:spacing w:after="0" w:line="248" w:lineRule="auto"/>
        <w:tabs>
          <w:tab w:leader="none" w:pos="284"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of December 31, 2025, this balance corresponds to corporate bonds from Colombia, Peru, Chile, Brazil, the United States of America, and other countries, representing 40.6, percent, 21.2 percent, 9.8 percent, 8.0 percent, 5.6 percent and 14.8 percent of the total, respectively. As of December 31, 2024, the balance corresponds to corporate bonds from Peru, Chile, Colombia, Brazil, and other countries, representing 30.6 percent, 23.9 percent, 15.7 percent, 11.7 percent, and 18.1 percent of the total, respectively.</w:t>
      </w:r>
    </w:p>
    <w:p>
      <w:pPr>
        <w:spacing w:after="0" w:line="313" w:lineRule="exact"/>
        <w:rPr>
          <w:rFonts w:ascii="Arial" w:cs="Arial" w:eastAsia="Arial" w:hAnsi="Arial"/>
          <w:sz w:val="16"/>
          <w:szCs w:val="16"/>
          <w:color w:val="auto"/>
        </w:rPr>
      </w:pPr>
    </w:p>
    <w:p>
      <w:pPr>
        <w:ind w:left="4944" w:hanging="104"/>
        <w:spacing w:after="0"/>
        <w:tabs>
          <w:tab w:leader="none" w:pos="4944" w:val="left"/>
        </w:tabs>
        <w:numPr>
          <w:ilvl w:val="1"/>
          <w:numId w:val="79"/>
        </w:numPr>
        <w:rPr>
          <w:rFonts w:ascii="Arial" w:cs="Arial" w:eastAsia="Arial" w:hAnsi="Arial"/>
          <w:sz w:val="16"/>
          <w:szCs w:val="16"/>
          <w:color w:val="auto"/>
        </w:rPr>
      </w:pPr>
      <w:r>
        <w:rPr>
          <w:rFonts w:ascii="Arial" w:cs="Arial" w:eastAsia="Arial" w:hAnsi="Arial"/>
          <w:sz w:val="16"/>
          <w:szCs w:val="16"/>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584"/>
          </w:cols>
          <w:pgMar w:left="896" w:top="316" w:right="419" w:bottom="1440" w:gutter="0" w:footer="0" w:header="0"/>
        </w:sectPr>
      </w:pPr>
    </w:p>
    <w:bookmarkStart w:id="68" w:name="page69"/>
    <w:bookmarkEnd w:id="68"/>
    <w:p>
      <w:pPr>
        <w:spacing w:after="0"/>
        <w:tabs>
          <w:tab w:leader="none" w:pos="280" w:val="left"/>
        </w:tabs>
        <w:rPr>
          <w:sz w:val="20"/>
          <w:szCs w:val="20"/>
          <w:color w:val="auto"/>
        </w:rPr>
      </w:pPr>
      <w:r>
        <w:rPr>
          <w:rFonts w:ascii="Arial" w:cs="Arial" w:eastAsia="Arial" w:hAnsi="Arial"/>
          <w:sz w:val="16"/>
          <w:szCs w:val="16"/>
          <w:color w:val="auto"/>
        </w:rPr>
        <w:t>b)</w:t>
        <w:tab/>
        <w:t>Investments at fair value through other comprehensive income consist of the following:</w:t>
      </w:r>
    </w:p>
    <w:p>
      <w:pPr>
        <w:spacing w:after="0" w:line="199" w:lineRule="exact"/>
        <w:rPr>
          <w:sz w:val="20"/>
          <w:szCs w:val="20"/>
          <w:color w:val="auto"/>
        </w:rPr>
      </w:pPr>
    </w:p>
    <w:tbl>
      <w:tblPr>
        <w:tblLayout w:type="fixed"/>
        <w:tblInd w:w="2760" w:type="dxa"/>
        <w:tblCellMar>
          <w:top w:w="0" w:type="dxa"/>
          <w:left w:w="0" w:type="dxa"/>
          <w:bottom w:w="0" w:type="dxa"/>
          <w:right w:w="0" w:type="dxa"/>
        </w:tblCellMar>
      </w:tblPr>
      <w:tr>
        <w:trPr>
          <w:trHeight w:val="153"/>
        </w:trPr>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2025</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180" w:type="dxa"/>
            <w:vAlign w:val="bottom"/>
            <w:tcBorders>
              <w:top w:val="single" w:sz="8" w:color="auto"/>
            </w:tcBorders>
            <w:gridSpan w:val="6"/>
          </w:tcPr>
          <w:p>
            <w:pPr>
              <w:ind w:left="160"/>
              <w:spacing w:after="0" w:line="125" w:lineRule="exact"/>
              <w:rPr>
                <w:sz w:val="20"/>
                <w:szCs w:val="20"/>
                <w:color w:val="auto"/>
              </w:rPr>
            </w:pPr>
            <w:r>
              <w:rPr>
                <w:rFonts w:ascii="Arial" w:cs="Arial" w:eastAsia="Arial" w:hAnsi="Arial"/>
                <w:sz w:val="13"/>
                <w:szCs w:val="13"/>
                <w:b w:val="1"/>
                <w:bCs w:val="1"/>
                <w:color w:val="auto"/>
              </w:rPr>
              <w:t>Unrealized gross amount</w:t>
            </w:r>
          </w:p>
        </w:tc>
        <w:tc>
          <w:tcPr>
            <w:tcW w:w="76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Estimated</w:t>
            </w: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6"/>
          </w:tcPr>
          <w:p>
            <w:pPr>
              <w:ind w:left="120"/>
              <w:spacing w:after="0" w:line="125" w:lineRule="exact"/>
              <w:rPr>
                <w:sz w:val="20"/>
                <w:szCs w:val="20"/>
                <w:color w:val="auto"/>
              </w:rPr>
            </w:pPr>
            <w:r>
              <w:rPr>
                <w:rFonts w:ascii="Arial" w:cs="Arial" w:eastAsia="Arial" w:hAnsi="Arial"/>
                <w:sz w:val="13"/>
                <w:szCs w:val="13"/>
                <w:b w:val="1"/>
                <w:bCs w:val="1"/>
                <w:color w:val="auto"/>
              </w:rPr>
              <w:t>Unrealized gross amount</w:t>
            </w:r>
          </w:p>
        </w:tc>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top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top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Cost</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Profits</w:t>
            </w:r>
          </w:p>
        </w:tc>
        <w:tc>
          <w:tcPr>
            <w:tcW w:w="1420" w:type="dxa"/>
            <w:vAlign w:val="bottom"/>
            <w:gridSpan w:val="4"/>
          </w:tcPr>
          <w:p>
            <w:pPr>
              <w:ind w:left="320"/>
              <w:spacing w:after="0"/>
              <w:rPr>
                <w:sz w:val="20"/>
                <w:szCs w:val="20"/>
                <w:color w:val="auto"/>
              </w:rPr>
            </w:pPr>
            <w:r>
              <w:rPr>
                <w:rFonts w:ascii="Arial" w:cs="Arial" w:eastAsia="Arial" w:hAnsi="Arial"/>
                <w:sz w:val="13"/>
                <w:szCs w:val="13"/>
                <w:b w:val="1"/>
                <w:bCs w:val="1"/>
                <w:color w:val="auto"/>
              </w:rPr>
              <w:t>Losses</w:t>
            </w:r>
          </w:p>
        </w:tc>
        <w:tc>
          <w:tcPr>
            <w:tcW w:w="760" w:type="dxa"/>
            <w:vAlign w:val="bottom"/>
          </w:tcPr>
          <w:p>
            <w:pPr>
              <w:spacing w:after="0"/>
              <w:rPr>
                <w:sz w:val="20"/>
                <w:szCs w:val="20"/>
                <w:color w:val="auto"/>
              </w:rPr>
            </w:pPr>
            <w:r>
              <w:rPr>
                <w:rFonts w:ascii="Arial" w:cs="Arial" w:eastAsia="Arial" w:hAnsi="Arial"/>
                <w:sz w:val="13"/>
                <w:szCs w:val="13"/>
                <w:b w:val="1"/>
                <w:bCs w:val="1"/>
                <w:color w:val="auto"/>
              </w:rPr>
              <w:t>fair value</w:t>
            </w: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060" w:type="dxa"/>
            <w:vAlign w:val="bottom"/>
            <w:gridSpan w:val="3"/>
          </w:tcPr>
          <w:p>
            <w:pPr>
              <w:ind w:left="300"/>
              <w:spacing w:after="0"/>
              <w:rPr>
                <w:sz w:val="20"/>
                <w:szCs w:val="20"/>
                <w:color w:val="auto"/>
              </w:rPr>
            </w:pPr>
            <w:r>
              <w:rPr>
                <w:rFonts w:ascii="Arial" w:cs="Arial" w:eastAsia="Arial" w:hAnsi="Arial"/>
                <w:sz w:val="13"/>
                <w:szCs w:val="13"/>
                <w:b w:val="1"/>
                <w:bCs w:val="1"/>
                <w:color w:val="auto"/>
              </w:rPr>
              <w:t>Profits</w:t>
            </w:r>
          </w:p>
        </w:tc>
        <w:tc>
          <w:tcPr>
            <w:tcW w:w="1320" w:type="dxa"/>
            <w:vAlign w:val="bottom"/>
            <w:gridSpan w:val="4"/>
          </w:tcPr>
          <w:p>
            <w:pPr>
              <w:ind w:left="280"/>
              <w:spacing w:after="0"/>
              <w:rPr>
                <w:sz w:val="20"/>
                <w:szCs w:val="20"/>
                <w:color w:val="auto"/>
              </w:rPr>
            </w:pPr>
            <w:r>
              <w:rPr>
                <w:rFonts w:ascii="Arial" w:cs="Arial" w:eastAsia="Arial" w:hAnsi="Arial"/>
                <w:sz w:val="13"/>
                <w:szCs w:val="13"/>
                <w:b w:val="1"/>
                <w:bCs w:val="1"/>
                <w:color w:val="auto"/>
              </w:rPr>
              <w:t>Losses</w:t>
            </w:r>
          </w:p>
        </w:tc>
        <w:tc>
          <w:tcPr>
            <w:tcW w:w="740" w:type="dxa"/>
            <w:vAlign w:val="bottom"/>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3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3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340" w:type="dxa"/>
            <w:vAlign w:val="bottom"/>
          </w:tcPr>
          <w:p>
            <w:pPr>
              <w:spacing w:after="0"/>
              <w:rPr>
                <w:sz w:val="14"/>
                <w:szCs w:val="1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30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280" w:type="dxa"/>
            <w:vAlign w:val="bottom"/>
          </w:tcPr>
          <w:p>
            <w:pPr>
              <w:spacing w:after="0"/>
              <w:rPr>
                <w:sz w:val="14"/>
                <w:szCs w:val="14"/>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30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2420" w:type="dxa"/>
            <w:vAlign w:val="bottom"/>
          </w:tcPr>
          <w:p>
            <w:pPr>
              <w:spacing w:after="0"/>
              <w:rPr>
                <w:sz w:val="20"/>
                <w:szCs w:val="20"/>
                <w:color w:val="auto"/>
              </w:rPr>
            </w:pPr>
            <w:r>
              <w:rPr>
                <w:rFonts w:ascii="Arial" w:cs="Arial" w:eastAsia="Arial" w:hAnsi="Arial"/>
                <w:sz w:val="13"/>
                <w:szCs w:val="13"/>
                <w:b w:val="1"/>
                <w:bCs w:val="1"/>
                <w:color w:val="auto"/>
              </w:rPr>
              <w:t>Debts instruments:</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0"/>
                <w:szCs w:val="20"/>
                <w:color w:val="auto"/>
              </w:rPr>
            </w:pPr>
            <w:r>
              <w:rPr>
                <w:rFonts w:ascii="Arial" w:cs="Arial" w:eastAsia="Arial" w:hAnsi="Arial"/>
                <w:sz w:val="13"/>
                <w:szCs w:val="13"/>
                <w:color w:val="auto"/>
              </w:rPr>
              <w:t>Corporate bonds (i)</w:t>
            </w:r>
          </w:p>
        </w:tc>
        <w:tc>
          <w:tcPr>
            <w:tcW w:w="760" w:type="dxa"/>
            <w:vAlign w:val="bottom"/>
          </w:tcPr>
          <w:p>
            <w:pPr>
              <w:jc w:val="right"/>
              <w:spacing w:after="0"/>
              <w:rPr>
                <w:sz w:val="20"/>
                <w:szCs w:val="20"/>
                <w:color w:val="auto"/>
              </w:rPr>
            </w:pPr>
            <w:r>
              <w:rPr>
                <w:rFonts w:ascii="Arial" w:cs="Arial" w:eastAsia="Arial" w:hAnsi="Arial"/>
                <w:sz w:val="13"/>
                <w:szCs w:val="13"/>
                <w:color w:val="auto"/>
              </w:rPr>
              <w:t>13,253,965</w:t>
            </w:r>
          </w:p>
        </w:tc>
        <w:tc>
          <w:tcPr>
            <w:tcW w:w="32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350,709</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(384,360)</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13,220,314</w:t>
            </w:r>
          </w:p>
        </w:tc>
        <w:tc>
          <w:tcPr>
            <w:tcW w:w="760" w:type="dxa"/>
            <w:vAlign w:val="bottom"/>
          </w:tcPr>
          <w:p>
            <w:pPr>
              <w:jc w:val="right"/>
              <w:spacing w:after="0"/>
              <w:rPr>
                <w:sz w:val="20"/>
                <w:szCs w:val="20"/>
                <w:color w:val="auto"/>
              </w:rPr>
            </w:pPr>
            <w:r>
              <w:rPr>
                <w:rFonts w:ascii="Arial" w:cs="Arial" w:eastAsia="Arial" w:hAnsi="Arial"/>
                <w:sz w:val="13"/>
                <w:szCs w:val="13"/>
                <w:color w:val="auto"/>
              </w:rPr>
              <w:t>14,481,834</w:t>
            </w:r>
          </w:p>
        </w:tc>
        <w:tc>
          <w:tcPr>
            <w:tcW w:w="30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159,106</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(535,597)</w:t>
            </w:r>
          </w:p>
        </w:tc>
        <w:tc>
          <w:tcPr>
            <w:tcW w:w="740" w:type="dxa"/>
            <w:vAlign w:val="bottom"/>
          </w:tcPr>
          <w:p>
            <w:pPr>
              <w:jc w:val="right"/>
              <w:spacing w:after="0"/>
              <w:rPr>
                <w:sz w:val="20"/>
                <w:szCs w:val="20"/>
                <w:color w:val="auto"/>
              </w:rPr>
            </w:pPr>
            <w:r>
              <w:rPr>
                <w:rFonts w:ascii="Arial" w:cs="Arial" w:eastAsia="Arial" w:hAnsi="Arial"/>
                <w:sz w:val="13"/>
                <w:szCs w:val="13"/>
                <w:color w:val="auto"/>
              </w:rPr>
              <w:t>14,105,343</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Government bonds (ii)</w:t>
            </w: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11,534,879</w:t>
            </w: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884,414</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(23,135)</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12,396,158</w:t>
            </w:r>
          </w:p>
        </w:tc>
        <w:tc>
          <w:tcPr>
            <w:tcW w:w="10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12,112,328</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231,115</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(96,788)</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12,246,655</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Certificates of deposit BCRP (iii)</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10,883,913</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1,263</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(1,146)</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10,884,030</w:t>
            </w:r>
          </w:p>
        </w:tc>
        <w:tc>
          <w:tcPr>
            <w:tcW w:w="10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11,431,599</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4,542</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(384)</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11,435,757</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Securitization instruments (iv)</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983,540</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34,755</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(21,965)</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996,330</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735,673</w:t>
            </w:r>
          </w:p>
        </w:tc>
        <w:tc>
          <w:tcPr>
            <w:tcW w:w="300" w:type="dxa"/>
            <w:vAlign w:val="bottom"/>
          </w:tcPr>
          <w:p>
            <w:pPr>
              <w:spacing w:after="0"/>
              <w:rPr>
                <w:sz w:val="12"/>
                <w:szCs w:val="12"/>
                <w:color w:val="auto"/>
              </w:rPr>
            </w:pP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15,414</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(41,592)</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709,495</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Negotiable certificates of deposit (v)</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231,724</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2,408</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(2,862)</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231,270</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416,236</w:t>
            </w:r>
          </w:p>
        </w:tc>
        <w:tc>
          <w:tcPr>
            <w:tcW w:w="300" w:type="dxa"/>
            <w:vAlign w:val="bottom"/>
          </w:tcPr>
          <w:p>
            <w:pPr>
              <w:spacing w:after="0"/>
              <w:rPr>
                <w:sz w:val="12"/>
                <w:szCs w:val="12"/>
                <w:color w:val="auto"/>
              </w:rPr>
            </w:pP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5,247</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(3,676)</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417,807</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Subordinated bonds</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189,880</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5,439</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(2,501)</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192,818</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171,618</w:t>
            </w:r>
          </w:p>
        </w:tc>
        <w:tc>
          <w:tcPr>
            <w:tcW w:w="300" w:type="dxa"/>
            <w:vAlign w:val="bottom"/>
          </w:tcPr>
          <w:p>
            <w:pPr>
              <w:spacing w:after="0"/>
              <w:rPr>
                <w:sz w:val="12"/>
                <w:szCs w:val="12"/>
                <w:color w:val="auto"/>
              </w:rPr>
            </w:pP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2,329</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(5,482)</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168,465</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20"/>
                <w:szCs w:val="20"/>
                <w:color w:val="auto"/>
              </w:rPr>
            </w:pPr>
            <w:r>
              <w:rPr>
                <w:rFonts w:ascii="Arial" w:cs="Arial" w:eastAsia="Arial" w:hAnsi="Arial"/>
                <w:sz w:val="13"/>
                <w:szCs w:val="13"/>
                <w:color w:val="auto"/>
              </w:rPr>
              <w:t>Others</w:t>
            </w:r>
          </w:p>
        </w:tc>
        <w:tc>
          <w:tcPr>
            <w:tcW w:w="760" w:type="dxa"/>
            <w:vAlign w:val="bottom"/>
          </w:tcPr>
          <w:p>
            <w:pPr>
              <w:jc w:val="right"/>
              <w:spacing w:after="0"/>
              <w:rPr>
                <w:sz w:val="20"/>
                <w:szCs w:val="20"/>
                <w:color w:val="auto"/>
              </w:rPr>
            </w:pPr>
            <w:r>
              <w:rPr>
                <w:rFonts w:ascii="Arial" w:cs="Arial" w:eastAsia="Arial" w:hAnsi="Arial"/>
                <w:sz w:val="13"/>
                <w:szCs w:val="13"/>
                <w:color w:val="auto"/>
              </w:rPr>
              <w:t>461,555</w:t>
            </w:r>
          </w:p>
        </w:tc>
        <w:tc>
          <w:tcPr>
            <w:tcW w:w="3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3,516</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(2,634)</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462,437</w:t>
            </w:r>
          </w:p>
        </w:tc>
        <w:tc>
          <w:tcPr>
            <w:tcW w:w="760" w:type="dxa"/>
            <w:vAlign w:val="bottom"/>
          </w:tcPr>
          <w:p>
            <w:pPr>
              <w:jc w:val="right"/>
              <w:spacing w:after="0"/>
              <w:rPr>
                <w:sz w:val="20"/>
                <w:szCs w:val="20"/>
                <w:color w:val="auto"/>
              </w:rPr>
            </w:pPr>
            <w:r>
              <w:rPr>
                <w:rFonts w:ascii="Arial" w:cs="Arial" w:eastAsia="Arial" w:hAnsi="Arial"/>
                <w:sz w:val="13"/>
                <w:szCs w:val="13"/>
                <w:color w:val="auto"/>
              </w:rPr>
              <w:t>367,348</w:t>
            </w:r>
          </w:p>
        </w:tc>
        <w:tc>
          <w:tcPr>
            <w:tcW w:w="3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1,231</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(2,023)</w:t>
            </w:r>
          </w:p>
        </w:tc>
        <w:tc>
          <w:tcPr>
            <w:tcW w:w="740" w:type="dxa"/>
            <w:vAlign w:val="bottom"/>
          </w:tcPr>
          <w:p>
            <w:pPr>
              <w:jc w:val="right"/>
              <w:spacing w:after="0"/>
              <w:rPr>
                <w:sz w:val="20"/>
                <w:szCs w:val="20"/>
                <w:color w:val="auto"/>
              </w:rPr>
            </w:pPr>
            <w:r>
              <w:rPr>
                <w:rFonts w:ascii="Arial" w:cs="Arial" w:eastAsia="Arial" w:hAnsi="Arial"/>
                <w:sz w:val="13"/>
                <w:szCs w:val="13"/>
                <w:color w:val="auto"/>
              </w:rPr>
              <w:t>366,556</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37,539,456</w:t>
            </w:r>
          </w:p>
        </w:tc>
        <w:tc>
          <w:tcPr>
            <w:tcW w:w="3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1,282,504</w:t>
            </w:r>
          </w:p>
        </w:tc>
        <w:tc>
          <w:tcPr>
            <w:tcW w:w="3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(438,603)</w:t>
            </w:r>
          </w:p>
        </w:tc>
        <w:tc>
          <w:tcPr>
            <w:tcW w:w="34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38,383,357</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39,716,636</w:t>
            </w:r>
          </w:p>
        </w:tc>
        <w:tc>
          <w:tcPr>
            <w:tcW w:w="3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418,984</w:t>
            </w:r>
          </w:p>
        </w:tc>
        <w:tc>
          <w:tcPr>
            <w:tcW w:w="28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(685,542)</w:t>
            </w:r>
          </w:p>
        </w:tc>
        <w:tc>
          <w:tcPr>
            <w:tcW w:w="3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39,450,078</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0"/>
                <w:szCs w:val="20"/>
                <w:color w:val="auto"/>
              </w:rPr>
            </w:pPr>
            <w:r>
              <w:rPr>
                <w:rFonts w:ascii="Arial" w:cs="Arial" w:eastAsia="Arial" w:hAnsi="Arial"/>
                <w:sz w:val="13"/>
                <w:szCs w:val="13"/>
                <w:b w:val="1"/>
                <w:bCs w:val="1"/>
                <w:color w:val="auto"/>
              </w:rPr>
              <w:t>Equity instruments designated at the</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Arial" w:cs="Arial" w:eastAsia="Arial" w:hAnsi="Arial"/>
                <w:sz w:val="13"/>
                <w:szCs w:val="13"/>
                <w:b w:val="1"/>
                <w:bCs w:val="1"/>
                <w:color w:val="auto"/>
              </w:rPr>
              <w:t>initial recognition</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420" w:type="dxa"/>
            <w:vAlign w:val="bottom"/>
          </w:tcPr>
          <w:p>
            <w:pPr>
              <w:spacing w:after="0"/>
              <w:rPr>
                <w:sz w:val="20"/>
                <w:szCs w:val="20"/>
                <w:color w:val="auto"/>
              </w:rPr>
            </w:pPr>
            <w:r>
              <w:rPr>
                <w:rFonts w:ascii="Arial" w:cs="Arial" w:eastAsia="Arial" w:hAnsi="Arial"/>
                <w:sz w:val="13"/>
                <w:szCs w:val="13"/>
                <w:b w:val="1"/>
                <w:bCs w:val="1"/>
                <w:color w:val="auto"/>
              </w:rPr>
              <w:t>Shares issued by:</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Inversiones Centenario</w:t>
            </w: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112,647</w:t>
            </w: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(34,753)</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77,894</w:t>
            </w:r>
          </w:p>
        </w:tc>
        <w:tc>
          <w:tcPr>
            <w:tcW w:w="10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112,647</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(8,488)</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104,159</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Corporación Andina de Fomento</w:t>
            </w: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4,441</w:t>
            </w: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210</w:t>
            </w:r>
          </w:p>
        </w:tc>
        <w:tc>
          <w:tcPr>
            <w:tcW w:w="1100" w:type="dxa"/>
            <w:vAlign w:val="bottom"/>
            <w:gridSpan w:val="2"/>
          </w:tcPr>
          <w:p>
            <w:pPr>
              <w:jc w:val="right"/>
              <w:ind w:right="340"/>
              <w:spacing w:after="0" w:line="14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4,651</w:t>
            </w:r>
          </w:p>
        </w:tc>
        <w:tc>
          <w:tcPr>
            <w:tcW w:w="10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4,441</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873</w:t>
            </w:r>
          </w:p>
        </w:tc>
        <w:tc>
          <w:tcPr>
            <w:tcW w:w="104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5,314</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Holding Bursatil Chilena S.A.</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2</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4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2</w:t>
            </w:r>
          </w:p>
        </w:tc>
        <w:tc>
          <w:tcPr>
            <w:tcW w:w="10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13,232</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1,738</w:t>
            </w:r>
          </w:p>
        </w:tc>
        <w:tc>
          <w:tcPr>
            <w:tcW w:w="104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14,970</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Holding Bursatil Regional S.A.</w:t>
            </w: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4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20,599</w:t>
            </w: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(6,023)</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14,576</w:t>
            </w:r>
          </w:p>
        </w:tc>
        <w:tc>
          <w:tcPr>
            <w:tcW w:w="0" w:type="dxa"/>
            <w:vAlign w:val="bottom"/>
          </w:tcPr>
          <w:p>
            <w:pPr>
              <w:spacing w:after="0"/>
              <w:rPr>
                <w:sz w:val="1"/>
                <w:szCs w:val="1"/>
                <w:color w:val="auto"/>
              </w:rPr>
            </w:pPr>
          </w:p>
        </w:tc>
      </w:tr>
      <w:tr>
        <w:trPr>
          <w:trHeight w:val="145"/>
        </w:trPr>
        <w:tc>
          <w:tcPr>
            <w:tcW w:w="2420" w:type="dxa"/>
            <w:vAlign w:val="bottom"/>
          </w:tcPr>
          <w:p>
            <w:pPr>
              <w:spacing w:after="0" w:line="145" w:lineRule="exact"/>
              <w:rPr>
                <w:sz w:val="20"/>
                <w:szCs w:val="20"/>
                <w:color w:val="auto"/>
              </w:rPr>
            </w:pPr>
            <w:r>
              <w:rPr>
                <w:rFonts w:ascii="Arial" w:cs="Arial" w:eastAsia="Arial" w:hAnsi="Arial"/>
                <w:sz w:val="13"/>
                <w:szCs w:val="13"/>
                <w:color w:val="auto"/>
              </w:rPr>
              <w:t>Pagos Digitales Peruanos S.A.</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5,611</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(5,611)</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5,611</w:t>
            </w:r>
          </w:p>
        </w:tc>
        <w:tc>
          <w:tcPr>
            <w:tcW w:w="300" w:type="dxa"/>
            <w:vAlign w:val="bottom"/>
          </w:tcPr>
          <w:p>
            <w:pPr>
              <w:spacing w:after="0"/>
              <w:rPr>
                <w:sz w:val="12"/>
                <w:szCs w:val="12"/>
                <w:color w:val="auto"/>
              </w:rPr>
            </w:pPr>
          </w:p>
        </w:tc>
        <w:tc>
          <w:tcPr>
            <w:tcW w:w="10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(5,611)</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20"/>
                <w:szCs w:val="20"/>
                <w:color w:val="auto"/>
              </w:rPr>
            </w:pPr>
            <w:r>
              <w:rPr>
                <w:rFonts w:ascii="Arial" w:cs="Arial" w:eastAsia="Arial" w:hAnsi="Arial"/>
                <w:sz w:val="13"/>
                <w:szCs w:val="13"/>
                <w:color w:val="auto"/>
              </w:rPr>
              <w:t>Others</w:t>
            </w: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5,677</w:t>
            </w: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4,465</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(2,368)</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7,774</w:t>
            </w: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8,095</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2,733</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(2,583)</w:t>
            </w:r>
          </w:p>
        </w:tc>
        <w:tc>
          <w:tcPr>
            <w:tcW w:w="740" w:type="dxa"/>
            <w:vAlign w:val="bottom"/>
          </w:tcPr>
          <w:p>
            <w:pPr>
              <w:jc w:val="right"/>
              <w:spacing w:after="0"/>
              <w:rPr>
                <w:sz w:val="20"/>
                <w:szCs w:val="20"/>
                <w:color w:val="auto"/>
              </w:rPr>
            </w:pPr>
            <w:r>
              <w:rPr>
                <w:rFonts w:ascii="Arial" w:cs="Arial" w:eastAsia="Arial" w:hAnsi="Arial"/>
                <w:sz w:val="13"/>
                <w:szCs w:val="13"/>
                <w:color w:val="auto"/>
              </w:rPr>
              <w:t>8,245</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128,378</w:t>
            </w:r>
          </w:p>
        </w:tc>
        <w:tc>
          <w:tcPr>
            <w:tcW w:w="3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4,675</w:t>
            </w:r>
          </w:p>
        </w:tc>
        <w:tc>
          <w:tcPr>
            <w:tcW w:w="3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(42,732)</w:t>
            </w:r>
          </w:p>
        </w:tc>
        <w:tc>
          <w:tcPr>
            <w:tcW w:w="34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90,321</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164,625</w:t>
            </w:r>
          </w:p>
        </w:tc>
        <w:tc>
          <w:tcPr>
            <w:tcW w:w="3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5,344</w:t>
            </w:r>
          </w:p>
        </w:tc>
        <w:tc>
          <w:tcPr>
            <w:tcW w:w="28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(22,705)</w:t>
            </w:r>
          </w:p>
        </w:tc>
        <w:tc>
          <w:tcPr>
            <w:tcW w:w="3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147,264</w:t>
            </w:r>
          </w:p>
        </w:tc>
        <w:tc>
          <w:tcPr>
            <w:tcW w:w="0" w:type="dxa"/>
            <w:vAlign w:val="bottom"/>
          </w:tcPr>
          <w:p>
            <w:pPr>
              <w:spacing w:after="0"/>
              <w:rPr>
                <w:sz w:val="1"/>
                <w:szCs w:val="1"/>
                <w:color w:val="auto"/>
              </w:rPr>
            </w:pPr>
          </w:p>
        </w:tc>
      </w:tr>
      <w:tr>
        <w:trPr>
          <w:trHeight w:val="133"/>
        </w:trPr>
        <w:tc>
          <w:tcPr>
            <w:tcW w:w="2420" w:type="dxa"/>
            <w:vAlign w:val="bottom"/>
            <w:vMerge w:val="restart"/>
          </w:tcPr>
          <w:p>
            <w:pPr>
              <w:spacing w:after="0"/>
              <w:rPr>
                <w:sz w:val="20"/>
                <w:szCs w:val="20"/>
                <w:color w:val="auto"/>
              </w:rPr>
            </w:pPr>
            <w:r>
              <w:rPr>
                <w:rFonts w:ascii="Arial" w:cs="Arial" w:eastAsia="Arial" w:hAnsi="Arial"/>
                <w:sz w:val="13"/>
                <w:szCs w:val="13"/>
                <w:b w:val="1"/>
                <w:bCs w:val="1"/>
                <w:color w:val="auto"/>
              </w:rPr>
              <w:t>Balance before accrued interest</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20" w:type="dxa"/>
            <w:vAlign w:val="bottom"/>
            <w:vMerge w:val="continue"/>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37,667,834</w:t>
            </w:r>
          </w:p>
        </w:tc>
        <w:tc>
          <w:tcPr>
            <w:tcW w:w="32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1,287,179</w:t>
            </w:r>
          </w:p>
        </w:tc>
        <w:tc>
          <w:tcPr>
            <w:tcW w:w="32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(481,335)</w:t>
            </w:r>
          </w:p>
        </w:tc>
        <w:tc>
          <w:tcPr>
            <w:tcW w:w="34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38,473,678</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39,881,261</w:t>
            </w:r>
          </w:p>
        </w:tc>
        <w:tc>
          <w:tcPr>
            <w:tcW w:w="30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424,328</w:t>
            </w:r>
          </w:p>
        </w:tc>
        <w:tc>
          <w:tcPr>
            <w:tcW w:w="28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(708,247)</w:t>
            </w:r>
          </w:p>
        </w:tc>
        <w:tc>
          <w:tcPr>
            <w:tcW w:w="30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39,597,342</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20"/>
                <w:szCs w:val="20"/>
                <w:color w:val="auto"/>
              </w:rPr>
            </w:pPr>
            <w:r>
              <w:rPr>
                <w:rFonts w:ascii="Arial" w:cs="Arial" w:eastAsia="Arial" w:hAnsi="Arial"/>
                <w:sz w:val="13"/>
                <w:szCs w:val="13"/>
                <w:color w:val="auto"/>
              </w:rPr>
              <w:t>Accrued interest</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560,371</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545,296</w:t>
            </w:r>
          </w:p>
        </w:tc>
        <w:tc>
          <w:tcPr>
            <w:tcW w:w="0" w:type="dxa"/>
            <w:vAlign w:val="bottom"/>
          </w:tcPr>
          <w:p>
            <w:pPr>
              <w:spacing w:after="0"/>
              <w:rPr>
                <w:sz w:val="1"/>
                <w:szCs w:val="1"/>
                <w:color w:val="auto"/>
              </w:rPr>
            </w:pPr>
          </w:p>
        </w:tc>
      </w:tr>
      <w:tr>
        <w:trPr>
          <w:trHeight w:val="141"/>
        </w:trPr>
        <w:tc>
          <w:tcPr>
            <w:tcW w:w="242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39,034,049</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40,142,638</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00" w:right="120"/>
        <w:spacing w:after="0" w:line="245" w:lineRule="auto"/>
        <w:rPr>
          <w:sz w:val="20"/>
          <w:szCs w:val="20"/>
          <w:color w:val="auto"/>
        </w:rPr>
      </w:pPr>
      <w:r>
        <w:rPr>
          <w:rFonts w:ascii="Arial" w:cs="Arial" w:eastAsia="Arial" w:hAnsi="Arial"/>
          <w:sz w:val="16"/>
          <w:szCs w:val="16"/>
          <w:color w:val="auto"/>
        </w:rPr>
        <w:t>As of December 31, 2025, as a result of the evaluation of the loss due to impairment of investments at fair value through other comprehensive income, the Group has recorded a provision for expected credit losses of S/53.9 million (provision for credit losses of S/27.9 million as of December 31, 2024), which is presented in the item “Net gain on securities”, see Note 21, of the consolidated income statement. Likewise, Management has decided and has the ability to maintain each of these investments for a sufficient period of time to allow an early recovery of fair value, even before their recovery or maturity.</w:t>
      </w:r>
    </w:p>
    <w:p>
      <w:pPr>
        <w:spacing w:after="0" w:line="31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880"/>
          </w:cols>
          <w:pgMar w:left="600" w:top="316" w:right="41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The maturities and annual market rates of investments at fair value through other comprehensive income as of 2025 and 2024,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Maturities</w:t>
            </w: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rPr>
              <w:t>Annual market rate of return</w:t>
            </w: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170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60" w:type="dxa"/>
            <w:vAlign w:val="bottom"/>
          </w:tcPr>
          <w:p>
            <w:pPr>
              <w:spacing w:after="0"/>
              <w:rPr>
                <w:sz w:val="12"/>
                <w:szCs w:val="12"/>
                <w:color w:val="auto"/>
              </w:rPr>
            </w:pPr>
          </w:p>
        </w:tc>
        <w:tc>
          <w:tcPr>
            <w:tcW w:w="1280" w:type="dxa"/>
            <w:vAlign w:val="bottom"/>
            <w:gridSpan w:val="2"/>
          </w:tcPr>
          <w:p>
            <w:pPr>
              <w:jc w:val="right"/>
              <w:ind w:right="876"/>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2"/>
                <w:szCs w:val="12"/>
                <w:color w:val="auto"/>
              </w:rPr>
            </w:pPr>
          </w:p>
        </w:tc>
        <w:tc>
          <w:tcPr>
            <w:tcW w:w="420" w:type="dxa"/>
            <w:vAlign w:val="bottom"/>
            <w:gridSpan w:val="2"/>
          </w:tcPr>
          <w:p>
            <w:pPr>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7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Other</w:t>
            </w: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Other</w:t>
            </w: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1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3"/>
                <w:szCs w:val="13"/>
                <w:b w:val="1"/>
                <w:bCs w:val="1"/>
                <w:color w:val="auto"/>
              </w:rPr>
              <w:t>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3"/>
                <w:szCs w:val="13"/>
                <w:b w:val="1"/>
                <w:bCs w:val="1"/>
                <w:color w:val="auto"/>
              </w:rPr>
              <w:t>US$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currencies</w:t>
            </w:r>
          </w:p>
        </w:tc>
        <w:tc>
          <w:tcPr>
            <w:tcW w:w="440" w:type="dxa"/>
            <w:vAlign w:val="bottom"/>
          </w:tcPr>
          <w:p>
            <w:pPr>
              <w:spacing w:after="0"/>
              <w:rPr>
                <w:sz w:val="20"/>
                <w:szCs w:val="20"/>
                <w:color w:val="auto"/>
              </w:rPr>
            </w:pPr>
            <w:r>
              <w:rPr>
                <w:rFonts w:ascii="Arial" w:cs="Arial" w:eastAsia="Arial" w:hAnsi="Arial"/>
                <w:sz w:val="13"/>
                <w:szCs w:val="13"/>
                <w:b w:val="1"/>
                <w:bCs w:val="1"/>
                <w:color w:val="auto"/>
              </w:rPr>
              <w:t>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b w:val="1"/>
                <w:bCs w:val="1"/>
                <w:color w:val="auto"/>
              </w:rPr>
              <w:t>US$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currencies</w:t>
            </w:r>
          </w:p>
        </w:tc>
      </w:tr>
      <w:tr>
        <w:trPr>
          <w:trHeight w:val="129"/>
        </w:trPr>
        <w:tc>
          <w:tcPr>
            <w:tcW w:w="1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Min</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Max</w:t>
            </w:r>
          </w:p>
        </w:tc>
        <w:tc>
          <w:tcPr>
            <w:tcW w:w="140" w:type="dxa"/>
            <w:vAlign w:val="bottom"/>
          </w:tcPr>
          <w:p>
            <w:pPr>
              <w:spacing w:after="0"/>
              <w:rPr>
                <w:sz w:val="11"/>
                <w:szCs w:val="11"/>
                <w:color w:val="auto"/>
              </w:rPr>
            </w:pPr>
          </w:p>
        </w:tc>
        <w:tc>
          <w:tcPr>
            <w:tcW w:w="4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Min</w:t>
            </w:r>
          </w:p>
        </w:tc>
        <w:tc>
          <w:tcPr>
            <w:tcW w:w="46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Max</w:t>
            </w: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Min</w:t>
            </w:r>
          </w:p>
        </w:tc>
        <w:tc>
          <w:tcPr>
            <w:tcW w:w="4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Max</w:t>
            </w: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Min</w:t>
            </w:r>
          </w:p>
        </w:tc>
        <w:tc>
          <w:tcPr>
            <w:tcW w:w="48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Max</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Min</w:t>
            </w:r>
          </w:p>
        </w:tc>
        <w:tc>
          <w:tcPr>
            <w:tcW w:w="48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Max</w:t>
            </w:r>
          </w:p>
        </w:tc>
        <w:tc>
          <w:tcPr>
            <w:tcW w:w="16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Min</w:t>
            </w:r>
          </w:p>
        </w:tc>
        <w:tc>
          <w:tcPr>
            <w:tcW w:w="4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Max</w:t>
            </w:r>
          </w:p>
        </w:tc>
        <w:tc>
          <w:tcPr>
            <w:tcW w:w="20" w:type="dxa"/>
            <w:vAlign w:val="bottom"/>
          </w:tcPr>
          <w:p>
            <w:pPr>
              <w:spacing w:after="0"/>
              <w:rPr>
                <w:sz w:val="11"/>
                <w:szCs w:val="11"/>
                <w:color w:val="auto"/>
              </w:rPr>
            </w:pPr>
          </w:p>
        </w:tc>
      </w:tr>
      <w:tr>
        <w:trPr>
          <w:trHeight w:val="176"/>
        </w:trPr>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5"/>
                <w:szCs w:val="15"/>
                <w:color w:val="auto"/>
              </w:rPr>
            </w:pPr>
          </w:p>
        </w:tc>
      </w:tr>
      <w:tr>
        <w:trPr>
          <w:trHeight w:val="258"/>
        </w:trPr>
        <w:tc>
          <w:tcPr>
            <w:tcW w:w="1700" w:type="dxa"/>
            <w:vAlign w:val="bottom"/>
          </w:tcPr>
          <w:p>
            <w:pPr>
              <w:spacing w:after="0"/>
              <w:rPr>
                <w:sz w:val="20"/>
                <w:szCs w:val="20"/>
                <w:color w:val="auto"/>
              </w:rPr>
            </w:pPr>
            <w:r>
              <w:rPr>
                <w:rFonts w:ascii="Arial" w:cs="Arial" w:eastAsia="Arial" w:hAnsi="Arial"/>
                <w:sz w:val="13"/>
                <w:szCs w:val="13"/>
                <w:color w:val="auto"/>
              </w:rPr>
              <w:t>Corporate bonds</w:t>
            </w:r>
          </w:p>
        </w:tc>
        <w:tc>
          <w:tcPr>
            <w:tcW w:w="128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Jan-2026 / Nov-2095</w:t>
            </w:r>
          </w:p>
        </w:tc>
        <w:tc>
          <w:tcPr>
            <w:tcW w:w="6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Jan-2025 / Nov-2095</w:t>
            </w:r>
          </w:p>
        </w:tc>
        <w:tc>
          <w:tcPr>
            <w:tcW w:w="420" w:type="dxa"/>
            <w:vAlign w:val="bottom"/>
            <w:gridSpan w:val="2"/>
          </w:tcPr>
          <w:p>
            <w:pPr>
              <w:jc w:val="right"/>
              <w:ind w:right="16"/>
              <w:spacing w:after="0"/>
              <w:rPr>
                <w:sz w:val="20"/>
                <w:szCs w:val="20"/>
                <w:color w:val="auto"/>
              </w:rPr>
            </w:pPr>
            <w:r>
              <w:rPr>
                <w:rFonts w:ascii="Arial" w:cs="Arial" w:eastAsia="Arial" w:hAnsi="Arial"/>
                <w:sz w:val="13"/>
                <w:szCs w:val="13"/>
                <w:color w:val="auto"/>
              </w:rPr>
              <w:t>2.47</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10.80</w:t>
            </w:r>
          </w:p>
        </w:tc>
        <w:tc>
          <w:tcPr>
            <w:tcW w:w="420" w:type="dxa"/>
            <w:vAlign w:val="bottom"/>
          </w:tcPr>
          <w:p>
            <w:pPr>
              <w:jc w:val="right"/>
              <w:spacing w:after="0"/>
              <w:rPr>
                <w:sz w:val="20"/>
                <w:szCs w:val="20"/>
                <w:color w:val="auto"/>
              </w:rPr>
            </w:pPr>
            <w:r>
              <w:rPr>
                <w:rFonts w:ascii="Arial" w:cs="Arial" w:eastAsia="Arial" w:hAnsi="Arial"/>
                <w:sz w:val="13"/>
                <w:szCs w:val="13"/>
                <w:color w:val="auto"/>
              </w:rPr>
              <w:t>2.64</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11.78</w:t>
            </w:r>
          </w:p>
        </w:tc>
        <w:tc>
          <w:tcPr>
            <w:tcW w:w="460" w:type="dxa"/>
            <w:vAlign w:val="bottom"/>
          </w:tcPr>
          <w:p>
            <w:pPr>
              <w:jc w:val="right"/>
              <w:ind w:right="36"/>
              <w:spacing w:after="0"/>
              <w:rPr>
                <w:sz w:val="20"/>
                <w:szCs w:val="20"/>
                <w:color w:val="auto"/>
              </w:rPr>
            </w:pPr>
            <w:r>
              <w:rPr>
                <w:rFonts w:ascii="Arial" w:cs="Arial" w:eastAsia="Arial" w:hAnsi="Arial"/>
                <w:sz w:val="13"/>
                <w:szCs w:val="13"/>
                <w:color w:val="auto"/>
              </w:rPr>
              <w:t>2.94</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7.50</w:t>
            </w: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3.14</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16.62</w:t>
            </w:r>
          </w:p>
        </w:tc>
        <w:tc>
          <w:tcPr>
            <w:tcW w:w="540" w:type="dxa"/>
            <w:vAlign w:val="bottom"/>
            <w:gridSpan w:val="2"/>
          </w:tcPr>
          <w:p>
            <w:pPr>
              <w:jc w:val="right"/>
              <w:ind w:right="16"/>
              <w:spacing w:after="0"/>
              <w:rPr>
                <w:sz w:val="20"/>
                <w:szCs w:val="20"/>
                <w:color w:val="auto"/>
              </w:rPr>
            </w:pPr>
            <w:r>
              <w:rPr>
                <w:rFonts w:ascii="Arial" w:cs="Arial" w:eastAsia="Arial" w:hAnsi="Arial"/>
                <w:sz w:val="13"/>
                <w:szCs w:val="13"/>
                <w:color w:val="auto"/>
              </w:rPr>
              <w:t>3.90</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44.18</w:t>
            </w:r>
          </w:p>
        </w:tc>
        <w:tc>
          <w:tcPr>
            <w:tcW w:w="460" w:type="dxa"/>
            <w:vAlign w:val="bottom"/>
          </w:tcPr>
          <w:p>
            <w:pPr>
              <w:jc w:val="right"/>
              <w:ind w:right="36"/>
              <w:spacing w:after="0"/>
              <w:rPr>
                <w:sz w:val="20"/>
                <w:szCs w:val="20"/>
                <w:color w:val="auto"/>
              </w:rPr>
            </w:pPr>
            <w:r>
              <w:rPr>
                <w:rFonts w:ascii="Arial" w:cs="Arial" w:eastAsia="Arial" w:hAnsi="Arial"/>
                <w:sz w:val="13"/>
                <w:szCs w:val="13"/>
                <w:color w:val="auto"/>
              </w:rPr>
              <w:t>2.28</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7.50</w:t>
            </w:r>
          </w:p>
        </w:tc>
      </w:tr>
      <w:tr>
        <w:trPr>
          <w:trHeight w:val="145"/>
        </w:trPr>
        <w:tc>
          <w:tcPr>
            <w:tcW w:w="1700" w:type="dxa"/>
            <w:vAlign w:val="bottom"/>
          </w:tcPr>
          <w:p>
            <w:pPr>
              <w:spacing w:after="0" w:line="145" w:lineRule="exact"/>
              <w:rPr>
                <w:sz w:val="20"/>
                <w:szCs w:val="20"/>
                <w:color w:val="auto"/>
              </w:rPr>
            </w:pPr>
            <w:r>
              <w:rPr>
                <w:rFonts w:ascii="Arial" w:cs="Arial" w:eastAsia="Arial" w:hAnsi="Arial"/>
                <w:sz w:val="13"/>
                <w:szCs w:val="13"/>
                <w:color w:val="auto"/>
              </w:rPr>
              <w:t>Government bonds</w:t>
            </w:r>
          </w:p>
        </w:tc>
        <w:tc>
          <w:tcPr>
            <w:tcW w:w="12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Jan-2026 / Jan-2062</w:t>
            </w:r>
          </w:p>
        </w:tc>
        <w:tc>
          <w:tcPr>
            <w:tcW w:w="60" w:type="dxa"/>
            <w:vAlign w:val="bottom"/>
          </w:tcPr>
          <w:p>
            <w:pPr>
              <w:spacing w:after="0"/>
              <w:rPr>
                <w:sz w:val="12"/>
                <w:szCs w:val="12"/>
                <w:color w:val="auto"/>
              </w:rPr>
            </w:pPr>
          </w:p>
        </w:tc>
        <w:tc>
          <w:tcPr>
            <w:tcW w:w="136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w w:val="98"/>
              </w:rPr>
              <w:t>Jan-2025 / Dec-2055</w:t>
            </w:r>
          </w:p>
        </w:tc>
        <w:tc>
          <w:tcPr>
            <w:tcW w:w="420" w:type="dxa"/>
            <w:vAlign w:val="bottom"/>
            <w:gridSpan w:val="2"/>
          </w:tcPr>
          <w:p>
            <w:pPr>
              <w:jc w:val="right"/>
              <w:ind w:right="16"/>
              <w:spacing w:after="0" w:line="145" w:lineRule="exact"/>
              <w:rPr>
                <w:sz w:val="20"/>
                <w:szCs w:val="20"/>
                <w:color w:val="auto"/>
              </w:rPr>
            </w:pPr>
            <w:r>
              <w:rPr>
                <w:rFonts w:ascii="Arial" w:cs="Arial" w:eastAsia="Arial" w:hAnsi="Arial"/>
                <w:sz w:val="13"/>
                <w:szCs w:val="13"/>
                <w:color w:val="auto"/>
              </w:rPr>
              <w:t>2.09</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6.57</w:t>
            </w:r>
          </w:p>
        </w:tc>
        <w:tc>
          <w:tcPr>
            <w:tcW w:w="14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3"/>
                <w:szCs w:val="13"/>
                <w:color w:val="auto"/>
              </w:rPr>
              <w:t>4.33</w:t>
            </w: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8.90</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4.19</w:t>
            </w:r>
          </w:p>
        </w:tc>
        <w:tc>
          <w:tcPr>
            <w:tcW w:w="5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4.19</w:t>
            </w:r>
          </w:p>
        </w:tc>
        <w:tc>
          <w:tcPr>
            <w:tcW w:w="440" w:type="dxa"/>
            <w:vAlign w:val="bottom"/>
          </w:tcPr>
          <w:p>
            <w:pPr>
              <w:jc w:val="right"/>
              <w:ind w:right="16"/>
              <w:spacing w:after="0" w:line="145" w:lineRule="exact"/>
              <w:rPr>
                <w:sz w:val="20"/>
                <w:szCs w:val="20"/>
                <w:color w:val="auto"/>
              </w:rPr>
            </w:pPr>
            <w:r>
              <w:rPr>
                <w:rFonts w:ascii="Arial" w:cs="Arial" w:eastAsia="Arial" w:hAnsi="Arial"/>
                <w:sz w:val="13"/>
                <w:szCs w:val="13"/>
                <w:color w:val="auto"/>
              </w:rPr>
              <w:t>2.83</w:t>
            </w: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7.08</w:t>
            </w:r>
          </w:p>
        </w:tc>
        <w:tc>
          <w:tcPr>
            <w:tcW w:w="540" w:type="dxa"/>
            <w:vAlign w:val="bottom"/>
            <w:gridSpan w:val="2"/>
          </w:tcPr>
          <w:p>
            <w:pPr>
              <w:jc w:val="right"/>
              <w:ind w:right="16"/>
              <w:spacing w:after="0" w:line="145" w:lineRule="exact"/>
              <w:rPr>
                <w:sz w:val="20"/>
                <w:szCs w:val="20"/>
                <w:color w:val="auto"/>
              </w:rPr>
            </w:pPr>
            <w:r>
              <w:rPr>
                <w:rFonts w:ascii="Arial" w:cs="Arial" w:eastAsia="Arial" w:hAnsi="Arial"/>
                <w:sz w:val="13"/>
                <w:szCs w:val="13"/>
                <w:color w:val="auto"/>
              </w:rPr>
              <w:t>2.97</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9.95</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4.19</w:t>
            </w:r>
          </w:p>
        </w:tc>
        <w:tc>
          <w:tcPr>
            <w:tcW w:w="4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4.19</w:t>
            </w:r>
          </w:p>
        </w:tc>
      </w:tr>
      <w:tr>
        <w:trPr>
          <w:trHeight w:val="145"/>
        </w:trPr>
        <w:tc>
          <w:tcPr>
            <w:tcW w:w="1700" w:type="dxa"/>
            <w:vAlign w:val="bottom"/>
          </w:tcPr>
          <w:p>
            <w:pPr>
              <w:spacing w:after="0" w:line="145" w:lineRule="exact"/>
              <w:rPr>
                <w:sz w:val="20"/>
                <w:szCs w:val="20"/>
                <w:color w:val="auto"/>
              </w:rPr>
            </w:pPr>
            <w:r>
              <w:rPr>
                <w:rFonts w:ascii="Arial" w:cs="Arial" w:eastAsia="Arial" w:hAnsi="Arial"/>
                <w:sz w:val="13"/>
                <w:szCs w:val="13"/>
                <w:color w:val="auto"/>
              </w:rPr>
              <w:t>Certificates of deposit BCRP</w:t>
            </w:r>
          </w:p>
        </w:tc>
        <w:tc>
          <w:tcPr>
            <w:tcW w:w="12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Jan-2026 / Jul-2027</w:t>
            </w:r>
          </w:p>
        </w:tc>
        <w:tc>
          <w:tcPr>
            <w:tcW w:w="60" w:type="dxa"/>
            <w:vAlign w:val="bottom"/>
          </w:tcPr>
          <w:p>
            <w:pPr>
              <w:spacing w:after="0"/>
              <w:rPr>
                <w:sz w:val="12"/>
                <w:szCs w:val="12"/>
                <w:color w:val="auto"/>
              </w:rPr>
            </w:pPr>
          </w:p>
        </w:tc>
        <w:tc>
          <w:tcPr>
            <w:tcW w:w="136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Jan-2025 / Jun-2026</w:t>
            </w:r>
          </w:p>
        </w:tc>
        <w:tc>
          <w:tcPr>
            <w:tcW w:w="420" w:type="dxa"/>
            <w:vAlign w:val="bottom"/>
            <w:gridSpan w:val="2"/>
          </w:tcPr>
          <w:p>
            <w:pPr>
              <w:jc w:val="right"/>
              <w:ind w:right="16"/>
              <w:spacing w:after="0" w:line="145" w:lineRule="exact"/>
              <w:rPr>
                <w:sz w:val="20"/>
                <w:szCs w:val="20"/>
                <w:color w:val="auto"/>
              </w:rPr>
            </w:pPr>
            <w:r>
              <w:rPr>
                <w:rFonts w:ascii="Arial" w:cs="Arial" w:eastAsia="Arial" w:hAnsi="Arial"/>
                <w:sz w:val="13"/>
                <w:szCs w:val="13"/>
                <w:color w:val="auto"/>
              </w:rPr>
              <w:t>3.96</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4.21</w:t>
            </w:r>
          </w:p>
        </w:tc>
        <w:tc>
          <w:tcPr>
            <w:tcW w:w="14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40" w:type="dxa"/>
            <w:vAlign w:val="bottom"/>
          </w:tcPr>
          <w:p>
            <w:pPr>
              <w:jc w:val="right"/>
              <w:ind w:right="16"/>
              <w:spacing w:after="0" w:line="145" w:lineRule="exact"/>
              <w:rPr>
                <w:sz w:val="20"/>
                <w:szCs w:val="20"/>
                <w:color w:val="auto"/>
              </w:rPr>
            </w:pPr>
            <w:r>
              <w:rPr>
                <w:rFonts w:ascii="Arial" w:cs="Arial" w:eastAsia="Arial" w:hAnsi="Arial"/>
                <w:sz w:val="13"/>
                <w:szCs w:val="13"/>
                <w:color w:val="auto"/>
              </w:rPr>
              <w:t>4.24</w:t>
            </w: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4.93</w:t>
            </w:r>
          </w:p>
        </w:tc>
        <w:tc>
          <w:tcPr>
            <w:tcW w:w="80" w:type="dxa"/>
            <w:vAlign w:val="bottom"/>
          </w:tcPr>
          <w:p>
            <w:pPr>
              <w:spacing w:after="0"/>
              <w:rPr>
                <w:sz w:val="12"/>
                <w:szCs w:val="12"/>
                <w:color w:val="auto"/>
              </w:rPr>
            </w:pPr>
          </w:p>
        </w:tc>
        <w:tc>
          <w:tcPr>
            <w:tcW w:w="460" w:type="dxa"/>
            <w:vAlign w:val="bottom"/>
          </w:tcPr>
          <w:p>
            <w:pPr>
              <w:jc w:val="right"/>
              <w:ind w:right="16"/>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r>
      <w:tr>
        <w:trPr>
          <w:trHeight w:val="145"/>
        </w:trPr>
        <w:tc>
          <w:tcPr>
            <w:tcW w:w="1700" w:type="dxa"/>
            <w:vAlign w:val="bottom"/>
          </w:tcPr>
          <w:p>
            <w:pPr>
              <w:spacing w:after="0" w:line="145" w:lineRule="exact"/>
              <w:rPr>
                <w:sz w:val="20"/>
                <w:szCs w:val="20"/>
                <w:color w:val="auto"/>
              </w:rPr>
            </w:pPr>
            <w:r>
              <w:rPr>
                <w:rFonts w:ascii="Arial" w:cs="Arial" w:eastAsia="Arial" w:hAnsi="Arial"/>
                <w:sz w:val="13"/>
                <w:szCs w:val="13"/>
                <w:color w:val="auto"/>
              </w:rPr>
              <w:t>Securitization instruments</w:t>
            </w:r>
          </w:p>
        </w:tc>
        <w:tc>
          <w:tcPr>
            <w:tcW w:w="12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w w:val="98"/>
              </w:rPr>
              <w:t>Nov-2026 / Jun-2050</w:t>
            </w:r>
          </w:p>
        </w:tc>
        <w:tc>
          <w:tcPr>
            <w:tcW w:w="60" w:type="dxa"/>
            <w:vAlign w:val="bottom"/>
          </w:tcPr>
          <w:p>
            <w:pPr>
              <w:spacing w:after="0"/>
              <w:rPr>
                <w:sz w:val="12"/>
                <w:szCs w:val="12"/>
                <w:color w:val="auto"/>
              </w:rPr>
            </w:pPr>
          </w:p>
        </w:tc>
        <w:tc>
          <w:tcPr>
            <w:tcW w:w="136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w w:val="99"/>
              </w:rPr>
              <w:t>Sep-2025 / Oct-2049</w:t>
            </w:r>
          </w:p>
        </w:tc>
        <w:tc>
          <w:tcPr>
            <w:tcW w:w="420" w:type="dxa"/>
            <w:vAlign w:val="bottom"/>
            <w:gridSpan w:val="2"/>
          </w:tcPr>
          <w:p>
            <w:pPr>
              <w:jc w:val="right"/>
              <w:ind w:right="16"/>
              <w:spacing w:after="0" w:line="145" w:lineRule="exact"/>
              <w:rPr>
                <w:sz w:val="20"/>
                <w:szCs w:val="20"/>
                <w:color w:val="auto"/>
              </w:rPr>
            </w:pPr>
            <w:r>
              <w:rPr>
                <w:rFonts w:ascii="Arial" w:cs="Arial" w:eastAsia="Arial" w:hAnsi="Arial"/>
                <w:sz w:val="13"/>
                <w:szCs w:val="13"/>
                <w:color w:val="auto"/>
              </w:rPr>
              <w:t>3.67</w:t>
            </w: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22.73</w:t>
            </w:r>
          </w:p>
        </w:tc>
        <w:tc>
          <w:tcPr>
            <w:tcW w:w="420" w:type="dxa"/>
            <w:vAlign w:val="bottom"/>
          </w:tcPr>
          <w:p>
            <w:pPr>
              <w:jc w:val="right"/>
              <w:spacing w:after="0" w:line="145" w:lineRule="exact"/>
              <w:rPr>
                <w:sz w:val="20"/>
                <w:szCs w:val="20"/>
                <w:color w:val="auto"/>
              </w:rPr>
            </w:pPr>
            <w:r>
              <w:rPr>
                <w:rFonts w:ascii="Arial" w:cs="Arial" w:eastAsia="Arial" w:hAnsi="Arial"/>
                <w:sz w:val="13"/>
                <w:szCs w:val="13"/>
                <w:color w:val="auto"/>
              </w:rPr>
              <w:t>3.76</w:t>
            </w: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11.42</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40" w:type="dxa"/>
            <w:vAlign w:val="bottom"/>
          </w:tcPr>
          <w:p>
            <w:pPr>
              <w:jc w:val="right"/>
              <w:ind w:right="16"/>
              <w:spacing w:after="0" w:line="145" w:lineRule="exact"/>
              <w:rPr>
                <w:sz w:val="20"/>
                <w:szCs w:val="20"/>
                <w:color w:val="auto"/>
              </w:rPr>
            </w:pPr>
            <w:r>
              <w:rPr>
                <w:rFonts w:ascii="Arial" w:cs="Arial" w:eastAsia="Arial" w:hAnsi="Arial"/>
                <w:sz w:val="13"/>
                <w:szCs w:val="13"/>
                <w:color w:val="auto"/>
              </w:rPr>
              <w:t>3.99</w:t>
            </w: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20.86</w:t>
            </w:r>
          </w:p>
        </w:tc>
        <w:tc>
          <w:tcPr>
            <w:tcW w:w="540" w:type="dxa"/>
            <w:vAlign w:val="bottom"/>
            <w:gridSpan w:val="2"/>
          </w:tcPr>
          <w:p>
            <w:pPr>
              <w:jc w:val="right"/>
              <w:ind w:right="16"/>
              <w:spacing w:after="0" w:line="145" w:lineRule="exact"/>
              <w:rPr>
                <w:sz w:val="20"/>
                <w:szCs w:val="20"/>
                <w:color w:val="auto"/>
              </w:rPr>
            </w:pPr>
            <w:r>
              <w:rPr>
                <w:rFonts w:ascii="Arial" w:cs="Arial" w:eastAsia="Arial" w:hAnsi="Arial"/>
                <w:sz w:val="13"/>
                <w:szCs w:val="13"/>
                <w:color w:val="auto"/>
              </w:rPr>
              <w:t>5.17</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23.94</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5.80</w:t>
            </w:r>
          </w:p>
        </w:tc>
        <w:tc>
          <w:tcPr>
            <w:tcW w:w="4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6.00</w:t>
            </w:r>
          </w:p>
        </w:tc>
      </w:tr>
      <w:tr>
        <w:trPr>
          <w:trHeight w:val="145"/>
        </w:trPr>
        <w:tc>
          <w:tcPr>
            <w:tcW w:w="1700" w:type="dxa"/>
            <w:vAlign w:val="bottom"/>
          </w:tcPr>
          <w:p>
            <w:pPr>
              <w:spacing w:after="0" w:line="145" w:lineRule="exact"/>
              <w:rPr>
                <w:sz w:val="20"/>
                <w:szCs w:val="20"/>
                <w:color w:val="auto"/>
              </w:rPr>
            </w:pPr>
            <w:r>
              <w:rPr>
                <w:rFonts w:ascii="Arial" w:cs="Arial" w:eastAsia="Arial" w:hAnsi="Arial"/>
                <w:sz w:val="13"/>
                <w:szCs w:val="13"/>
                <w:color w:val="auto"/>
              </w:rPr>
              <w:t>Negotiable certificates of</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1700" w:type="dxa"/>
            <w:vAlign w:val="bottom"/>
          </w:tcPr>
          <w:p>
            <w:pPr>
              <w:spacing w:after="0" w:line="145" w:lineRule="exact"/>
              <w:rPr>
                <w:sz w:val="20"/>
                <w:szCs w:val="20"/>
                <w:color w:val="auto"/>
              </w:rPr>
            </w:pPr>
            <w:r>
              <w:rPr>
                <w:rFonts w:ascii="Arial" w:cs="Arial" w:eastAsia="Arial" w:hAnsi="Arial"/>
                <w:sz w:val="13"/>
                <w:szCs w:val="13"/>
                <w:color w:val="auto"/>
              </w:rPr>
              <w:t>deposits</w:t>
            </w:r>
          </w:p>
        </w:tc>
        <w:tc>
          <w:tcPr>
            <w:tcW w:w="12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w w:val="98"/>
              </w:rPr>
              <w:t>Jan-2026 / Aug-2037</w:t>
            </w:r>
          </w:p>
        </w:tc>
        <w:tc>
          <w:tcPr>
            <w:tcW w:w="60" w:type="dxa"/>
            <w:vAlign w:val="bottom"/>
          </w:tcPr>
          <w:p>
            <w:pPr>
              <w:spacing w:after="0"/>
              <w:rPr>
                <w:sz w:val="12"/>
                <w:szCs w:val="12"/>
                <w:color w:val="auto"/>
              </w:rPr>
            </w:pPr>
          </w:p>
        </w:tc>
        <w:tc>
          <w:tcPr>
            <w:tcW w:w="136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w w:val="97"/>
              </w:rPr>
              <w:t>Feb-2025 / Nov-2037</w:t>
            </w:r>
          </w:p>
        </w:tc>
        <w:tc>
          <w:tcPr>
            <w:tcW w:w="20" w:type="dxa"/>
            <w:vAlign w:val="bottom"/>
          </w:tcPr>
          <w:p>
            <w:pPr>
              <w:spacing w:after="0"/>
              <w:rPr>
                <w:sz w:val="12"/>
                <w:szCs w:val="12"/>
                <w:color w:val="auto"/>
              </w:rPr>
            </w:pPr>
          </w:p>
        </w:tc>
        <w:tc>
          <w:tcPr>
            <w:tcW w:w="400" w:type="dxa"/>
            <w:vAlign w:val="bottom"/>
          </w:tcPr>
          <w:p>
            <w:pPr>
              <w:jc w:val="right"/>
              <w:ind w:right="16"/>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0.53</w:t>
            </w:r>
          </w:p>
        </w:tc>
        <w:tc>
          <w:tcPr>
            <w:tcW w:w="5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6.64</w:t>
            </w:r>
          </w:p>
        </w:tc>
        <w:tc>
          <w:tcPr>
            <w:tcW w:w="440" w:type="dxa"/>
            <w:vAlign w:val="bottom"/>
          </w:tcPr>
          <w:p>
            <w:pPr>
              <w:jc w:val="right"/>
              <w:ind w:right="16"/>
              <w:spacing w:after="0" w:line="14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60" w:type="dxa"/>
            <w:vAlign w:val="bottom"/>
          </w:tcPr>
          <w:p>
            <w:pPr>
              <w:jc w:val="right"/>
              <w:ind w:right="16"/>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0.53</w:t>
            </w:r>
          </w:p>
        </w:tc>
        <w:tc>
          <w:tcPr>
            <w:tcW w:w="4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6.10</w:t>
            </w:r>
          </w:p>
        </w:tc>
      </w:tr>
      <w:tr>
        <w:trPr>
          <w:trHeight w:val="145"/>
        </w:trPr>
        <w:tc>
          <w:tcPr>
            <w:tcW w:w="1700" w:type="dxa"/>
            <w:vAlign w:val="bottom"/>
          </w:tcPr>
          <w:p>
            <w:pPr>
              <w:spacing w:after="0"/>
              <w:rPr>
                <w:sz w:val="12"/>
                <w:szCs w:val="12"/>
                <w:color w:val="auto"/>
              </w:rPr>
            </w:pPr>
          </w:p>
        </w:tc>
        <w:tc>
          <w:tcPr>
            <w:tcW w:w="12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May-2026 / Jun-</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1700" w:type="dxa"/>
            <w:vAlign w:val="bottom"/>
          </w:tcPr>
          <w:p>
            <w:pPr>
              <w:spacing w:after="0" w:line="145" w:lineRule="exact"/>
              <w:rPr>
                <w:sz w:val="20"/>
                <w:szCs w:val="20"/>
                <w:color w:val="auto"/>
              </w:rPr>
            </w:pPr>
            <w:r>
              <w:rPr>
                <w:rFonts w:ascii="Arial" w:cs="Arial" w:eastAsia="Arial" w:hAnsi="Arial"/>
                <w:sz w:val="13"/>
                <w:szCs w:val="13"/>
                <w:color w:val="auto"/>
              </w:rPr>
              <w:t>Subordinated bonds</w:t>
            </w:r>
          </w:p>
        </w:tc>
        <w:tc>
          <w:tcPr>
            <w:tcW w:w="1220" w:type="dxa"/>
            <w:vAlign w:val="bottom"/>
          </w:tcPr>
          <w:p>
            <w:pPr>
              <w:jc w:val="right"/>
              <w:spacing w:after="0" w:line="145" w:lineRule="exact"/>
              <w:rPr>
                <w:sz w:val="20"/>
                <w:szCs w:val="20"/>
                <w:color w:val="auto"/>
              </w:rPr>
            </w:pPr>
            <w:r>
              <w:rPr>
                <w:rFonts w:ascii="Arial" w:cs="Arial" w:eastAsia="Arial" w:hAnsi="Arial"/>
                <w:sz w:val="13"/>
                <w:szCs w:val="13"/>
                <w:color w:val="auto"/>
              </w:rPr>
              <w:t>2055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Apr-2025 / Jun-2055</w:t>
            </w:r>
          </w:p>
        </w:tc>
        <w:tc>
          <w:tcPr>
            <w:tcW w:w="420" w:type="dxa"/>
            <w:vAlign w:val="bottom"/>
            <w:gridSpan w:val="2"/>
          </w:tcPr>
          <w:p>
            <w:pPr>
              <w:jc w:val="right"/>
              <w:ind w:right="16"/>
              <w:spacing w:after="0" w:line="145" w:lineRule="exact"/>
              <w:rPr>
                <w:sz w:val="20"/>
                <w:szCs w:val="20"/>
                <w:color w:val="auto"/>
              </w:rPr>
            </w:pPr>
            <w:r>
              <w:rPr>
                <w:rFonts w:ascii="Arial" w:cs="Arial" w:eastAsia="Arial" w:hAnsi="Arial"/>
                <w:sz w:val="13"/>
                <w:szCs w:val="13"/>
                <w:color w:val="auto"/>
              </w:rPr>
              <w:t>3.73</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8.52</w:t>
            </w:r>
          </w:p>
        </w:tc>
        <w:tc>
          <w:tcPr>
            <w:tcW w:w="14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3"/>
                <w:szCs w:val="13"/>
                <w:color w:val="auto"/>
              </w:rPr>
              <w:t>3.08</w:t>
            </w: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7.78</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40" w:type="dxa"/>
            <w:vAlign w:val="bottom"/>
          </w:tcPr>
          <w:p>
            <w:pPr>
              <w:jc w:val="right"/>
              <w:ind w:right="16"/>
              <w:spacing w:after="0" w:line="145" w:lineRule="exact"/>
              <w:rPr>
                <w:sz w:val="20"/>
                <w:szCs w:val="20"/>
                <w:color w:val="auto"/>
              </w:rPr>
            </w:pPr>
            <w:r>
              <w:rPr>
                <w:rFonts w:ascii="Arial" w:cs="Arial" w:eastAsia="Arial" w:hAnsi="Arial"/>
                <w:sz w:val="13"/>
                <w:szCs w:val="13"/>
                <w:color w:val="auto"/>
              </w:rPr>
              <w:t>3.81</w:t>
            </w: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8.03</w:t>
            </w:r>
          </w:p>
        </w:tc>
        <w:tc>
          <w:tcPr>
            <w:tcW w:w="540" w:type="dxa"/>
            <w:vAlign w:val="bottom"/>
            <w:gridSpan w:val="2"/>
          </w:tcPr>
          <w:p>
            <w:pPr>
              <w:jc w:val="right"/>
              <w:ind w:right="16"/>
              <w:spacing w:after="0" w:line="145" w:lineRule="exact"/>
              <w:rPr>
                <w:sz w:val="20"/>
                <w:szCs w:val="20"/>
                <w:color w:val="auto"/>
              </w:rPr>
            </w:pPr>
            <w:r>
              <w:rPr>
                <w:rFonts w:ascii="Arial" w:cs="Arial" w:eastAsia="Arial" w:hAnsi="Arial"/>
                <w:sz w:val="13"/>
                <w:szCs w:val="13"/>
                <w:color w:val="auto"/>
              </w:rPr>
              <w:t>2.28</w:t>
            </w: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8.05</w:t>
            </w:r>
          </w:p>
        </w:tc>
        <w:tc>
          <w:tcPr>
            <w:tcW w:w="460" w:type="dxa"/>
            <w:vAlign w:val="bottom"/>
          </w:tcPr>
          <w:p>
            <w:pPr>
              <w:jc w:val="right"/>
              <w:ind w:right="36"/>
              <w:spacing w:after="0" w:line="14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r>
      <w:tr>
        <w:trPr>
          <w:trHeight w:val="168"/>
        </w:trPr>
        <w:tc>
          <w:tcPr>
            <w:tcW w:w="1700" w:type="dxa"/>
            <w:vAlign w:val="bottom"/>
          </w:tcPr>
          <w:p>
            <w:pPr>
              <w:spacing w:after="0"/>
              <w:rPr>
                <w:sz w:val="20"/>
                <w:szCs w:val="20"/>
                <w:color w:val="auto"/>
              </w:rPr>
            </w:pPr>
            <w:r>
              <w:rPr>
                <w:rFonts w:ascii="Arial" w:cs="Arial" w:eastAsia="Arial" w:hAnsi="Arial"/>
                <w:sz w:val="13"/>
                <w:szCs w:val="13"/>
                <w:color w:val="auto"/>
              </w:rPr>
              <w:t>Others</w:t>
            </w:r>
          </w:p>
        </w:tc>
        <w:tc>
          <w:tcPr>
            <w:tcW w:w="1280" w:type="dxa"/>
            <w:vAlign w:val="bottom"/>
            <w:gridSpan w:val="2"/>
          </w:tcPr>
          <w:p>
            <w:pPr>
              <w:jc w:val="right"/>
              <w:ind w:right="60"/>
              <w:spacing w:after="0"/>
              <w:rPr>
                <w:sz w:val="20"/>
                <w:szCs w:val="20"/>
                <w:color w:val="auto"/>
              </w:rPr>
            </w:pPr>
            <w:r>
              <w:rPr>
                <w:rFonts w:ascii="Arial" w:cs="Arial" w:eastAsia="Arial" w:hAnsi="Arial"/>
                <w:sz w:val="13"/>
                <w:szCs w:val="13"/>
                <w:color w:val="auto"/>
                <w:w w:val="99"/>
              </w:rPr>
              <w:t>Jan-2026 / Feb-2035</w:t>
            </w:r>
          </w:p>
        </w:tc>
        <w:tc>
          <w:tcPr>
            <w:tcW w:w="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Apr-2025 / Feb-2035</w:t>
            </w:r>
          </w:p>
        </w:tc>
        <w:tc>
          <w:tcPr>
            <w:tcW w:w="420" w:type="dxa"/>
            <w:vAlign w:val="bottom"/>
            <w:gridSpan w:val="2"/>
          </w:tcPr>
          <w:p>
            <w:pPr>
              <w:jc w:val="right"/>
              <w:ind w:right="16"/>
              <w:spacing w:after="0"/>
              <w:rPr>
                <w:sz w:val="20"/>
                <w:szCs w:val="20"/>
                <w:color w:val="auto"/>
              </w:rPr>
            </w:pPr>
            <w:r>
              <w:rPr>
                <w:rFonts w:ascii="Arial" w:cs="Arial" w:eastAsia="Arial" w:hAnsi="Arial"/>
                <w:sz w:val="13"/>
                <w:szCs w:val="13"/>
                <w:color w:val="auto"/>
              </w:rPr>
              <w:t>2.55</w:t>
            </w:r>
          </w:p>
        </w:tc>
        <w:tc>
          <w:tcPr>
            <w:tcW w:w="460" w:type="dxa"/>
            <w:vAlign w:val="bottom"/>
          </w:tcPr>
          <w:p>
            <w:pPr>
              <w:jc w:val="right"/>
              <w:spacing w:after="0"/>
              <w:rPr>
                <w:sz w:val="20"/>
                <w:szCs w:val="20"/>
                <w:color w:val="auto"/>
              </w:rPr>
            </w:pPr>
            <w:r>
              <w:rPr>
                <w:rFonts w:ascii="Arial" w:cs="Arial" w:eastAsia="Arial" w:hAnsi="Arial"/>
                <w:sz w:val="13"/>
                <w:szCs w:val="13"/>
                <w:color w:val="auto"/>
              </w:rPr>
              <w:t>4.56</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6"/>
              <w:spacing w:after="0"/>
              <w:rPr>
                <w:sz w:val="20"/>
                <w:szCs w:val="20"/>
                <w:color w:val="auto"/>
              </w:rPr>
            </w:pPr>
            <w:r>
              <w:rPr>
                <w:rFonts w:ascii="Arial" w:cs="Arial" w:eastAsia="Arial" w:hAnsi="Arial"/>
                <w:sz w:val="13"/>
                <w:szCs w:val="13"/>
                <w:color w:val="auto"/>
              </w:rPr>
              <w:t>0.91</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9.59</w:t>
            </w: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2.55</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3.42</w:t>
            </w:r>
          </w:p>
        </w:tc>
        <w:tc>
          <w:tcPr>
            <w:tcW w:w="540" w:type="dxa"/>
            <w:vAlign w:val="bottom"/>
            <w:gridSpan w:val="2"/>
          </w:tcPr>
          <w:p>
            <w:pPr>
              <w:jc w:val="right"/>
              <w:ind w:right="16"/>
              <w:spacing w:after="0"/>
              <w:rPr>
                <w:sz w:val="20"/>
                <w:szCs w:val="20"/>
                <w:color w:val="auto"/>
              </w:rPr>
            </w:pPr>
            <w:r>
              <w:rPr>
                <w:rFonts w:ascii="Arial" w:cs="Arial" w:eastAsia="Arial" w:hAnsi="Arial"/>
                <w:sz w:val="13"/>
                <w:szCs w:val="13"/>
                <w:color w:val="auto"/>
              </w:rPr>
              <w:t>7.50</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7.67</w:t>
            </w:r>
          </w:p>
        </w:tc>
        <w:tc>
          <w:tcPr>
            <w:tcW w:w="460" w:type="dxa"/>
            <w:vAlign w:val="bottom"/>
          </w:tcPr>
          <w:p>
            <w:pPr>
              <w:jc w:val="right"/>
              <w:ind w:right="36"/>
              <w:spacing w:after="0"/>
              <w:rPr>
                <w:sz w:val="20"/>
                <w:szCs w:val="20"/>
                <w:color w:val="auto"/>
              </w:rPr>
            </w:pPr>
            <w:r>
              <w:rPr>
                <w:rFonts w:ascii="Arial" w:cs="Arial" w:eastAsia="Arial" w:hAnsi="Arial"/>
                <w:sz w:val="13"/>
                <w:szCs w:val="13"/>
                <w:color w:val="auto"/>
              </w:rPr>
              <w:t>0.90</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4.25</w:t>
            </w:r>
          </w:p>
        </w:tc>
      </w:tr>
    </w:tbl>
    <w:p>
      <w:pPr>
        <w:spacing w:after="0" w:line="1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Likewise, as of December 31, 2025, the Group has entered into repurchase agreements (Repos) on Government bonds, corporate bonds and BCRP certificates of deposit classified as investments at fair value with changes in other comprehensive income for an estimated market value of S/5,990.9 million (S/5,934.5 million as of December 31, 2024); whose related liability is presented in the item “Payables from repurchase agreements and securities lending” of the consolidated statement of financial position, see Note 5(c).</w:t>
      </w:r>
    </w:p>
    <w:p>
      <w:pPr>
        <w:spacing w:after="0" w:line="31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00"/>
          </w:cols>
          <w:pgMar w:left="900" w:top="316" w:right="399" w:bottom="1440" w:gutter="0" w:footer="0" w:header="0"/>
        </w:sectPr>
      </w:pPr>
    </w:p>
    <w:bookmarkStart w:id="70" w:name="page71"/>
    <w:bookmarkEnd w:id="70"/>
    <w:p>
      <w:pPr>
        <w:ind w:left="284" w:right="100" w:hanging="284"/>
        <w:spacing w:after="0" w:line="248" w:lineRule="auto"/>
        <w:tabs>
          <w:tab w:leader="none" w:pos="284"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of December 31, 2025, the balance corresponds to corporate bonds issued by companies in the United States of America, Peru, Chile, Colombia and other countries, which represent 41.1 percent, 33.3 percent, 3.9 percent, 3.3 percent and 18.4 percent of the total, respectively. As of December 31, 2024, the balance corresponds to corporate bonds issued by companies in the United States of America, Peru, Colombia and other countries, which represent 42.2 percent, 33.2 percent, 3.6 percent and 21.0 percent of the total, respectively.</w:t>
      </w:r>
    </w:p>
    <w:p>
      <w:pPr>
        <w:spacing w:after="0" w:line="144" w:lineRule="exact"/>
        <w:rPr>
          <w:rFonts w:ascii="Arial" w:cs="Arial" w:eastAsia="Arial" w:hAnsi="Arial"/>
          <w:sz w:val="16"/>
          <w:szCs w:val="16"/>
          <w:color w:val="auto"/>
        </w:rPr>
      </w:pPr>
    </w:p>
    <w:p>
      <w:pPr>
        <w:ind w:left="284"/>
        <w:spacing w:after="0" w:line="248" w:lineRule="auto"/>
        <w:rPr>
          <w:rFonts w:ascii="Arial" w:cs="Arial" w:eastAsia="Arial" w:hAnsi="Arial"/>
          <w:sz w:val="16"/>
          <w:szCs w:val="16"/>
          <w:color w:val="auto"/>
        </w:rPr>
      </w:pPr>
      <w:r>
        <w:rPr>
          <w:rFonts w:ascii="Arial" w:cs="Arial" w:eastAsia="Arial" w:hAnsi="Arial"/>
          <w:sz w:val="16"/>
          <w:szCs w:val="16"/>
          <w:color w:val="auto"/>
        </w:rPr>
        <w:t>As of December 31, 2025, the Group holds interest rate swaps (IRS), which have been designated as fair value hedges of certain fixed-rate U.S. dollar–denominated corporate bonds issued by corporate entities and classified as investments at fair value through other comprehensive income, for a notional amount of S/504.5 million (S/790.4 million as of December 31, 2024), see Note 12(c). Through these IRS, such bonds were economically converted to variable interest rates.</w:t>
      </w:r>
    </w:p>
    <w:p>
      <w:pPr>
        <w:spacing w:after="0" w:line="144" w:lineRule="exact"/>
        <w:rPr>
          <w:rFonts w:ascii="Arial" w:cs="Arial" w:eastAsia="Arial" w:hAnsi="Arial"/>
          <w:sz w:val="16"/>
          <w:szCs w:val="16"/>
          <w:color w:val="auto"/>
        </w:rPr>
      </w:pPr>
    </w:p>
    <w:p>
      <w:pPr>
        <w:ind w:left="284" w:right="80"/>
        <w:spacing w:after="0" w:line="248" w:lineRule="auto"/>
        <w:rPr>
          <w:rFonts w:ascii="Arial" w:cs="Arial" w:eastAsia="Arial" w:hAnsi="Arial"/>
          <w:sz w:val="16"/>
          <w:szCs w:val="16"/>
          <w:color w:val="auto"/>
        </w:rPr>
      </w:pPr>
      <w:r>
        <w:rPr>
          <w:rFonts w:ascii="Arial" w:cs="Arial" w:eastAsia="Arial" w:hAnsi="Arial"/>
          <w:sz w:val="16"/>
          <w:szCs w:val="16"/>
          <w:color w:val="auto"/>
        </w:rPr>
        <w:t>As of December 31, 2025, the Group holds foreign currency forwards designated as fair value hedges of certain U.S. dollar–denominated corporate bonds classified as investments at fair value through other comprehensive income, for a notional amount of US$49.7 million equivalent to S/167.3 million (US$33.3 million equivalent to S/125.2 million as of December 31, 2024). Through these instruments, the investments were economically converted into Peruvian soles. See Note 12(c).</w:t>
      </w:r>
    </w:p>
    <w:p>
      <w:pPr>
        <w:spacing w:after="0" w:line="144" w:lineRule="exact"/>
        <w:rPr>
          <w:rFonts w:ascii="Arial" w:cs="Arial" w:eastAsia="Arial" w:hAnsi="Arial"/>
          <w:sz w:val="16"/>
          <w:szCs w:val="16"/>
          <w:color w:val="auto"/>
        </w:rPr>
      </w:pPr>
    </w:p>
    <w:p>
      <w:pPr>
        <w:ind w:left="284" w:right="60"/>
        <w:spacing w:after="0" w:line="255" w:lineRule="auto"/>
        <w:rPr>
          <w:rFonts w:ascii="Arial" w:cs="Arial" w:eastAsia="Arial" w:hAnsi="Arial"/>
          <w:sz w:val="16"/>
          <w:szCs w:val="16"/>
          <w:color w:val="auto"/>
        </w:rPr>
      </w:pPr>
      <w:r>
        <w:rPr>
          <w:rFonts w:ascii="Arial" w:cs="Arial" w:eastAsia="Arial" w:hAnsi="Arial"/>
          <w:sz w:val="16"/>
          <w:szCs w:val="16"/>
          <w:color w:val="auto"/>
        </w:rPr>
        <w:t>Likewise, during 2025, the Group held, until their maturity, cross-currency swaps (CCS) designated as cash flow hedges derivative instruments of corporate bonds classified as fair value through other comprehensive income for S/47.0 million, through which such bonds were economically converted into fixed-rate soles. See Note 12(c).</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of December 31, 2025, and December 31, 2024, the balance includes the following government treasury bonds:</w:t>
      </w:r>
    </w:p>
    <w:p>
      <w:pPr>
        <w:spacing w:after="0" w:line="190" w:lineRule="exact"/>
        <w:rPr>
          <w:sz w:val="20"/>
          <w:szCs w:val="20"/>
          <w:color w:val="auto"/>
        </w:rPr>
      </w:pPr>
    </w:p>
    <w:tbl>
      <w:tblPr>
        <w:tblLayout w:type="fixed"/>
        <w:tblInd w:w="344" w:type="dxa"/>
        <w:tblCellMar>
          <w:top w:w="0" w:type="dxa"/>
          <w:left w:w="0" w:type="dxa"/>
          <w:bottom w:w="0" w:type="dxa"/>
          <w:right w:w="0" w:type="dxa"/>
        </w:tblCellMar>
      </w:tblPr>
      <w:tr>
        <w:trPr>
          <w:trHeight w:val="198"/>
        </w:trPr>
        <w:tc>
          <w:tcPr>
            <w:tcW w:w="7900" w:type="dxa"/>
            <w:vAlign w:val="bottom"/>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790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7900" w:type="dxa"/>
            <w:vAlign w:val="bottom"/>
          </w:tcPr>
          <w:p>
            <w:pPr>
              <w:spacing w:after="0"/>
              <w:rPr>
                <w:sz w:val="20"/>
                <w:szCs w:val="20"/>
                <w:color w:val="auto"/>
              </w:rPr>
            </w:pPr>
            <w:r>
              <w:rPr>
                <w:rFonts w:ascii="Arial" w:cs="Arial" w:eastAsia="Arial" w:hAnsi="Arial"/>
                <w:sz w:val="16"/>
                <w:szCs w:val="16"/>
                <w:color w:val="auto"/>
              </w:rPr>
              <w:t>Peruvian Government bonds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11,225,526</w:t>
            </w:r>
          </w:p>
        </w:tc>
        <w:tc>
          <w:tcPr>
            <w:tcW w:w="1040" w:type="dxa"/>
            <w:vAlign w:val="bottom"/>
          </w:tcPr>
          <w:p>
            <w:pPr>
              <w:jc w:val="right"/>
              <w:spacing w:after="0"/>
              <w:rPr>
                <w:sz w:val="20"/>
                <w:szCs w:val="20"/>
                <w:color w:val="auto"/>
              </w:rPr>
            </w:pPr>
            <w:r>
              <w:rPr>
                <w:rFonts w:ascii="Arial" w:cs="Arial" w:eastAsia="Arial" w:hAnsi="Arial"/>
                <w:sz w:val="16"/>
                <w:szCs w:val="16"/>
                <w:color w:val="auto"/>
              </w:rPr>
              <w:t>10,387,634</w:t>
            </w:r>
          </w:p>
        </w:tc>
        <w:tc>
          <w:tcPr>
            <w:tcW w:w="20" w:type="dxa"/>
            <w:vAlign w:val="bottom"/>
          </w:tcPr>
          <w:p>
            <w:pPr>
              <w:spacing w:after="0"/>
              <w:rPr>
                <w:sz w:val="24"/>
                <w:szCs w:val="24"/>
                <w:color w:val="auto"/>
              </w:rPr>
            </w:pPr>
          </w:p>
        </w:tc>
      </w:tr>
      <w:tr>
        <w:trPr>
          <w:trHeight w:val="181"/>
        </w:trPr>
        <w:tc>
          <w:tcPr>
            <w:tcW w:w="7900" w:type="dxa"/>
            <w:vAlign w:val="bottom"/>
          </w:tcPr>
          <w:p>
            <w:pPr>
              <w:spacing w:after="0" w:line="181" w:lineRule="exact"/>
              <w:rPr>
                <w:sz w:val="20"/>
                <w:szCs w:val="20"/>
                <w:color w:val="auto"/>
              </w:rPr>
            </w:pPr>
            <w:r>
              <w:rPr>
                <w:rFonts w:ascii="Arial" w:cs="Arial" w:eastAsia="Arial" w:hAnsi="Arial"/>
                <w:sz w:val="16"/>
                <w:szCs w:val="16"/>
                <w:color w:val="auto"/>
              </w:rPr>
              <w:t>Colombian Government bonds</w:t>
            </w:r>
          </w:p>
        </w:tc>
        <w:tc>
          <w:tcPr>
            <w:tcW w:w="12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392,458</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341,299</w:t>
            </w:r>
          </w:p>
        </w:tc>
        <w:tc>
          <w:tcPr>
            <w:tcW w:w="20" w:type="dxa"/>
            <w:vAlign w:val="bottom"/>
          </w:tcPr>
          <w:p>
            <w:pPr>
              <w:spacing w:after="0"/>
              <w:rPr>
                <w:sz w:val="15"/>
                <w:szCs w:val="15"/>
                <w:color w:val="auto"/>
              </w:rPr>
            </w:pPr>
          </w:p>
        </w:tc>
      </w:tr>
      <w:tr>
        <w:trPr>
          <w:trHeight w:val="181"/>
        </w:trPr>
        <w:tc>
          <w:tcPr>
            <w:tcW w:w="7900" w:type="dxa"/>
            <w:vAlign w:val="bottom"/>
          </w:tcPr>
          <w:p>
            <w:pPr>
              <w:spacing w:after="0" w:line="181" w:lineRule="exact"/>
              <w:rPr>
                <w:sz w:val="20"/>
                <w:szCs w:val="20"/>
                <w:color w:val="auto"/>
              </w:rPr>
            </w:pPr>
            <w:r>
              <w:rPr>
                <w:rFonts w:ascii="Arial" w:cs="Arial" w:eastAsia="Arial" w:hAnsi="Arial"/>
                <w:sz w:val="16"/>
                <w:szCs w:val="16"/>
                <w:color w:val="auto"/>
              </w:rPr>
              <w:t>United States of America Government bonds</w:t>
            </w:r>
          </w:p>
        </w:tc>
        <w:tc>
          <w:tcPr>
            <w:tcW w:w="12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342,688</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1,279,202</w:t>
            </w:r>
          </w:p>
        </w:tc>
        <w:tc>
          <w:tcPr>
            <w:tcW w:w="20" w:type="dxa"/>
            <w:vAlign w:val="bottom"/>
          </w:tcPr>
          <w:p>
            <w:pPr>
              <w:spacing w:after="0"/>
              <w:rPr>
                <w:sz w:val="15"/>
                <w:szCs w:val="15"/>
                <w:color w:val="auto"/>
              </w:rPr>
            </w:pPr>
          </w:p>
        </w:tc>
      </w:tr>
      <w:tr>
        <w:trPr>
          <w:trHeight w:val="181"/>
        </w:trPr>
        <w:tc>
          <w:tcPr>
            <w:tcW w:w="7900" w:type="dxa"/>
            <w:vAlign w:val="bottom"/>
          </w:tcPr>
          <w:p>
            <w:pPr>
              <w:spacing w:after="0" w:line="181" w:lineRule="exact"/>
              <w:rPr>
                <w:sz w:val="20"/>
                <w:szCs w:val="20"/>
                <w:color w:val="auto"/>
              </w:rPr>
            </w:pPr>
            <w:r>
              <w:rPr>
                <w:rFonts w:ascii="Arial" w:cs="Arial" w:eastAsia="Arial" w:hAnsi="Arial"/>
                <w:sz w:val="16"/>
                <w:szCs w:val="16"/>
                <w:color w:val="auto"/>
              </w:rPr>
              <w:t>Panama Government bonds</w:t>
            </w:r>
          </w:p>
        </w:tc>
        <w:tc>
          <w:tcPr>
            <w:tcW w:w="12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194,799</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108,069</w:t>
            </w:r>
          </w:p>
        </w:tc>
        <w:tc>
          <w:tcPr>
            <w:tcW w:w="20" w:type="dxa"/>
            <w:vAlign w:val="bottom"/>
          </w:tcPr>
          <w:p>
            <w:pPr>
              <w:spacing w:after="0"/>
              <w:rPr>
                <w:sz w:val="15"/>
                <w:szCs w:val="15"/>
                <w:color w:val="auto"/>
              </w:rPr>
            </w:pPr>
          </w:p>
        </w:tc>
      </w:tr>
      <w:tr>
        <w:trPr>
          <w:trHeight w:val="181"/>
        </w:trPr>
        <w:tc>
          <w:tcPr>
            <w:tcW w:w="7900" w:type="dxa"/>
            <w:vAlign w:val="bottom"/>
          </w:tcPr>
          <w:p>
            <w:pPr>
              <w:spacing w:after="0" w:line="181" w:lineRule="exact"/>
              <w:rPr>
                <w:sz w:val="20"/>
                <w:szCs w:val="20"/>
                <w:color w:val="auto"/>
              </w:rPr>
            </w:pPr>
            <w:r>
              <w:rPr>
                <w:rFonts w:ascii="Arial" w:cs="Arial" w:eastAsia="Arial" w:hAnsi="Arial"/>
                <w:sz w:val="16"/>
                <w:szCs w:val="16"/>
                <w:color w:val="auto"/>
              </w:rPr>
              <w:t>Mexican Government bonds</w:t>
            </w:r>
          </w:p>
        </w:tc>
        <w:tc>
          <w:tcPr>
            <w:tcW w:w="12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73,441</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7,089</w:t>
            </w:r>
          </w:p>
        </w:tc>
        <w:tc>
          <w:tcPr>
            <w:tcW w:w="20" w:type="dxa"/>
            <w:vAlign w:val="bottom"/>
          </w:tcPr>
          <w:p>
            <w:pPr>
              <w:spacing w:after="0"/>
              <w:rPr>
                <w:sz w:val="15"/>
                <w:szCs w:val="15"/>
                <w:color w:val="auto"/>
              </w:rPr>
            </w:pPr>
          </w:p>
        </w:tc>
      </w:tr>
      <w:tr>
        <w:trPr>
          <w:trHeight w:val="181"/>
        </w:trPr>
        <w:tc>
          <w:tcPr>
            <w:tcW w:w="7900" w:type="dxa"/>
            <w:vAlign w:val="bottom"/>
          </w:tcPr>
          <w:p>
            <w:pPr>
              <w:spacing w:after="0" w:line="181" w:lineRule="exact"/>
              <w:rPr>
                <w:sz w:val="20"/>
                <w:szCs w:val="20"/>
                <w:color w:val="auto"/>
              </w:rPr>
            </w:pPr>
            <w:r>
              <w:rPr>
                <w:rFonts w:ascii="Arial" w:cs="Arial" w:eastAsia="Arial" w:hAnsi="Arial"/>
                <w:sz w:val="16"/>
                <w:szCs w:val="16"/>
                <w:color w:val="auto"/>
              </w:rPr>
              <w:t>Chilean Government bonds</w:t>
            </w:r>
          </w:p>
        </w:tc>
        <w:tc>
          <w:tcPr>
            <w:tcW w:w="12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73,059</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79,282</w:t>
            </w:r>
          </w:p>
        </w:tc>
      </w:tr>
      <w:tr>
        <w:trPr>
          <w:trHeight w:val="181"/>
        </w:trPr>
        <w:tc>
          <w:tcPr>
            <w:tcW w:w="7900" w:type="dxa"/>
            <w:vAlign w:val="bottom"/>
          </w:tcPr>
          <w:p>
            <w:pPr>
              <w:spacing w:after="0" w:line="181" w:lineRule="exact"/>
              <w:rPr>
                <w:sz w:val="20"/>
                <w:szCs w:val="20"/>
                <w:color w:val="auto"/>
              </w:rPr>
            </w:pPr>
            <w:r>
              <w:rPr>
                <w:rFonts w:ascii="Arial" w:cs="Arial" w:eastAsia="Arial" w:hAnsi="Arial"/>
                <w:sz w:val="16"/>
                <w:szCs w:val="16"/>
                <w:color w:val="auto"/>
              </w:rPr>
              <w:t>Brazilian Government bonds</w:t>
            </w:r>
          </w:p>
        </w:tc>
        <w:tc>
          <w:tcPr>
            <w:tcW w:w="12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53,230</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3,598</w:t>
            </w:r>
          </w:p>
        </w:tc>
        <w:tc>
          <w:tcPr>
            <w:tcW w:w="20" w:type="dxa"/>
            <w:vAlign w:val="bottom"/>
          </w:tcPr>
          <w:p>
            <w:pPr>
              <w:spacing w:after="0"/>
              <w:rPr>
                <w:sz w:val="15"/>
                <w:szCs w:val="15"/>
                <w:color w:val="auto"/>
              </w:rPr>
            </w:pPr>
          </w:p>
        </w:tc>
      </w:tr>
      <w:tr>
        <w:trPr>
          <w:trHeight w:val="181"/>
        </w:trPr>
        <w:tc>
          <w:tcPr>
            <w:tcW w:w="7900" w:type="dxa"/>
            <w:vAlign w:val="bottom"/>
          </w:tcPr>
          <w:p>
            <w:pPr>
              <w:spacing w:after="0" w:line="181" w:lineRule="exact"/>
              <w:rPr>
                <w:sz w:val="20"/>
                <w:szCs w:val="20"/>
                <w:color w:val="auto"/>
              </w:rPr>
            </w:pPr>
            <w:r>
              <w:rPr>
                <w:rFonts w:ascii="Arial" w:cs="Arial" w:eastAsia="Arial" w:hAnsi="Arial"/>
                <w:sz w:val="16"/>
                <w:szCs w:val="16"/>
                <w:color w:val="auto"/>
              </w:rPr>
              <w:t>Philippine Government bonds</w:t>
            </w:r>
          </w:p>
        </w:tc>
        <w:tc>
          <w:tcPr>
            <w:tcW w:w="12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10,589</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5,822</w:t>
            </w:r>
          </w:p>
        </w:tc>
        <w:tc>
          <w:tcPr>
            <w:tcW w:w="20" w:type="dxa"/>
            <w:vAlign w:val="bottom"/>
          </w:tcPr>
          <w:p>
            <w:pPr>
              <w:spacing w:after="0"/>
              <w:rPr>
                <w:sz w:val="15"/>
                <w:szCs w:val="15"/>
                <w:color w:val="auto"/>
              </w:rPr>
            </w:pPr>
          </w:p>
        </w:tc>
      </w:tr>
      <w:tr>
        <w:trPr>
          <w:trHeight w:val="181"/>
        </w:trPr>
        <w:tc>
          <w:tcPr>
            <w:tcW w:w="7900" w:type="dxa"/>
            <w:vAlign w:val="bottom"/>
          </w:tcPr>
          <w:p>
            <w:pPr>
              <w:spacing w:after="0" w:line="181" w:lineRule="exact"/>
              <w:rPr>
                <w:sz w:val="20"/>
                <w:szCs w:val="20"/>
                <w:color w:val="auto"/>
              </w:rPr>
            </w:pPr>
            <w:r>
              <w:rPr>
                <w:rFonts w:ascii="Arial" w:cs="Arial" w:eastAsia="Arial" w:hAnsi="Arial"/>
                <w:sz w:val="16"/>
                <w:szCs w:val="16"/>
                <w:color w:val="auto"/>
              </w:rPr>
              <w:t>Qatari Government bonds</w:t>
            </w:r>
          </w:p>
        </w:tc>
        <w:tc>
          <w:tcPr>
            <w:tcW w:w="12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10,362</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11,653</w:t>
            </w:r>
          </w:p>
        </w:tc>
        <w:tc>
          <w:tcPr>
            <w:tcW w:w="20" w:type="dxa"/>
            <w:vAlign w:val="bottom"/>
          </w:tcPr>
          <w:p>
            <w:pPr>
              <w:spacing w:after="0"/>
              <w:rPr>
                <w:sz w:val="15"/>
                <w:szCs w:val="15"/>
                <w:color w:val="auto"/>
              </w:rPr>
            </w:pPr>
          </w:p>
        </w:tc>
      </w:tr>
      <w:tr>
        <w:trPr>
          <w:trHeight w:val="202"/>
        </w:trPr>
        <w:tc>
          <w:tcPr>
            <w:tcW w:w="7900" w:type="dxa"/>
            <w:vAlign w:val="bottom"/>
          </w:tcPr>
          <w:p>
            <w:pPr>
              <w:spacing w:after="0"/>
              <w:rPr>
                <w:sz w:val="20"/>
                <w:szCs w:val="20"/>
                <w:color w:val="auto"/>
              </w:rPr>
            </w:pPr>
            <w:r>
              <w:rPr>
                <w:rFonts w:ascii="Arial" w:cs="Arial" w:eastAsia="Arial" w:hAnsi="Arial"/>
                <w:sz w:val="16"/>
                <w:szCs w:val="16"/>
                <w:color w:val="auto"/>
              </w:rPr>
              <w:t>Others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20,006</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23,007</w:t>
            </w:r>
          </w:p>
        </w:tc>
      </w:tr>
      <w:tr>
        <w:trPr>
          <w:trHeight w:val="185"/>
        </w:trPr>
        <w:tc>
          <w:tcPr>
            <w:tcW w:w="790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12,396,158</w:t>
            </w:r>
          </w:p>
        </w:tc>
        <w:tc>
          <w:tcPr>
            <w:tcW w:w="1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12,246,655</w:t>
            </w:r>
          </w:p>
        </w:tc>
        <w:tc>
          <w:tcPr>
            <w:tcW w:w="20" w:type="dxa"/>
            <w:vAlign w:val="bottom"/>
            <w:tcBorders>
              <w:top w:val="single" w:sz="8" w:color="auto"/>
              <w:bottom w:val="single" w:sz="8" w:color="auto"/>
            </w:tcBorders>
          </w:tcPr>
          <w:p>
            <w:pPr>
              <w:spacing w:after="0"/>
              <w:rPr>
                <w:sz w:val="16"/>
                <w:szCs w:val="16"/>
                <w:color w:val="auto"/>
              </w:rPr>
            </w:pPr>
          </w:p>
        </w:tc>
      </w:tr>
    </w:tbl>
    <w:p>
      <w:pPr>
        <w:spacing w:after="0" w:line="152" w:lineRule="exact"/>
        <w:rPr>
          <w:sz w:val="20"/>
          <w:szCs w:val="20"/>
          <w:color w:val="auto"/>
        </w:rPr>
      </w:pPr>
    </w:p>
    <w:p>
      <w:pPr>
        <w:ind w:left="284" w:right="100" w:hanging="284"/>
        <w:spacing w:after="0" w:line="274" w:lineRule="auto"/>
        <w:tabs>
          <w:tab w:leader="none" w:pos="284"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of December 31, 2025, the Group maintains 110,274 certificates of deposits BCRP. As of December 31, 2024, it held 116,499 certificates of deposits BCRP, which are instruments issued at discount through public auction, traded on the Peruvian secondary market and payable in soles.</w:t>
      </w:r>
    </w:p>
    <w:p>
      <w:pPr>
        <w:spacing w:after="0" w:line="291" w:lineRule="exact"/>
        <w:rPr>
          <w:rFonts w:ascii="Arial" w:cs="Arial" w:eastAsia="Arial" w:hAnsi="Arial"/>
          <w:sz w:val="16"/>
          <w:szCs w:val="16"/>
          <w:color w:val="auto"/>
        </w:rPr>
      </w:pPr>
    </w:p>
    <w:p>
      <w:pPr>
        <w:ind w:left="4944" w:hanging="104"/>
        <w:spacing w:after="0"/>
        <w:tabs>
          <w:tab w:leader="none" w:pos="4944" w:val="left"/>
        </w:tabs>
        <w:numPr>
          <w:ilvl w:val="1"/>
          <w:numId w:val="81"/>
        </w:numPr>
        <w:rPr>
          <w:rFonts w:ascii="Arial" w:cs="Arial" w:eastAsia="Arial" w:hAnsi="Arial"/>
          <w:sz w:val="16"/>
          <w:szCs w:val="16"/>
          <w:color w:val="auto"/>
        </w:rPr>
      </w:pPr>
      <w:r>
        <w:rPr>
          <w:rFonts w:ascii="Arial" w:cs="Arial" w:eastAsia="Arial" w:hAnsi="Arial"/>
          <w:sz w:val="16"/>
          <w:szCs w:val="16"/>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71" w:name="page72"/>
    <w:bookmarkEnd w:id="71"/>
    <w:tbl>
      <w:tblPr>
        <w:tblLayout w:type="fixed"/>
        <w:tblInd w:w="4" w:type="dxa"/>
        <w:tblCellMar>
          <w:top w:w="0" w:type="dxa"/>
          <w:left w:w="0" w:type="dxa"/>
          <w:bottom w:w="0" w:type="dxa"/>
          <w:right w:w="0" w:type="dxa"/>
        </w:tblCellMar>
      </w:tblPr>
      <w:tr>
        <w:trPr>
          <w:trHeight w:val="214"/>
        </w:trPr>
        <w:tc>
          <w:tcPr>
            <w:tcW w:w="8300" w:type="dxa"/>
            <w:vAlign w:val="bottom"/>
          </w:tcPr>
          <w:p>
            <w:pPr>
              <w:spacing w:after="0"/>
              <w:rPr>
                <w:sz w:val="20"/>
                <w:szCs w:val="20"/>
                <w:color w:val="auto"/>
              </w:rPr>
            </w:pPr>
            <w:r>
              <w:rPr>
                <w:rFonts w:ascii="Arial" w:cs="Arial" w:eastAsia="Arial" w:hAnsi="Arial"/>
                <w:sz w:val="16"/>
                <w:szCs w:val="16"/>
                <w:color w:val="auto"/>
              </w:rPr>
              <w:t>(iv) As of December 31, 2025, and 2024, the balance of securitization instruments includes the following:</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8"/>
        </w:trPr>
        <w:tc>
          <w:tcPr>
            <w:tcW w:w="830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r>
      <w:tr>
        <w:trPr>
          <w:trHeight w:val="214"/>
        </w:trPr>
        <w:tc>
          <w:tcPr>
            <w:tcW w:w="83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8300" w:type="dxa"/>
            <w:vAlign w:val="bottom"/>
          </w:tcPr>
          <w:p>
            <w:pPr>
              <w:ind w:left="340"/>
              <w:spacing w:after="0"/>
              <w:rPr>
                <w:sz w:val="20"/>
                <w:szCs w:val="20"/>
                <w:color w:val="auto"/>
              </w:rPr>
            </w:pPr>
            <w:r>
              <w:rPr>
                <w:rFonts w:ascii="Arial" w:cs="Arial" w:eastAsia="Arial" w:hAnsi="Arial"/>
                <w:sz w:val="16"/>
                <w:szCs w:val="16"/>
                <w:color w:val="auto"/>
              </w:rPr>
              <w:t>Inmuebles Panamericana S.A.</w:t>
            </w:r>
          </w:p>
        </w:tc>
        <w:tc>
          <w:tcPr>
            <w:tcW w:w="1060" w:type="dxa"/>
            <w:vAlign w:val="bottom"/>
          </w:tcPr>
          <w:p>
            <w:pPr>
              <w:jc w:val="right"/>
              <w:spacing w:after="0"/>
              <w:rPr>
                <w:sz w:val="20"/>
                <w:szCs w:val="20"/>
                <w:color w:val="auto"/>
              </w:rPr>
            </w:pPr>
            <w:r>
              <w:rPr>
                <w:rFonts w:ascii="Arial" w:cs="Arial" w:eastAsia="Arial" w:hAnsi="Arial"/>
                <w:sz w:val="16"/>
                <w:szCs w:val="16"/>
                <w:color w:val="auto"/>
              </w:rPr>
              <w:t>151,944</w:t>
            </w:r>
          </w:p>
        </w:tc>
        <w:tc>
          <w:tcPr>
            <w:tcW w:w="20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149,074</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Mall Aventura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95,594</w:t>
            </w:r>
          </w:p>
        </w:tc>
        <w:tc>
          <w:tcPr>
            <w:tcW w:w="20" w:type="dxa"/>
            <w:vAlign w:val="bottom"/>
          </w:tcPr>
          <w:p>
            <w:pPr>
              <w:spacing w:after="0"/>
              <w:rPr>
                <w:sz w:val="15"/>
                <w:szCs w:val="15"/>
                <w:color w:val="auto"/>
              </w:rPr>
            </w:pP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Colegios Peruanos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84,583</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81,291</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ATN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77,547</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77,244</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Inretail Shopping Malls</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73,208</w:t>
            </w:r>
          </w:p>
        </w:tc>
        <w:tc>
          <w:tcPr>
            <w:tcW w:w="20" w:type="dxa"/>
            <w:vAlign w:val="bottom"/>
          </w:tcPr>
          <w:p>
            <w:pPr>
              <w:spacing w:after="0"/>
              <w:rPr>
                <w:sz w:val="15"/>
                <w:szCs w:val="15"/>
                <w:color w:val="auto"/>
              </w:rPr>
            </w:pP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Centro Comercial Plaza Norte S.A.C.</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65,419</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25,241</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Multimercados Zonales S.A.C.</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55,708</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54,374</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Aeropuertos del Perú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46,651</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14,058</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Centro Comercial Mall del Sur S.A.C.</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42,975</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25,215</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Universidad Peruana Cayetano Heredia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37,314</w:t>
            </w:r>
          </w:p>
        </w:tc>
        <w:tc>
          <w:tcPr>
            <w:tcW w:w="20" w:type="dxa"/>
            <w:vAlign w:val="bottom"/>
          </w:tcPr>
          <w:p>
            <w:pPr>
              <w:spacing w:after="0"/>
              <w:rPr>
                <w:sz w:val="15"/>
                <w:szCs w:val="15"/>
                <w:color w:val="auto"/>
              </w:rPr>
            </w:pP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Costa del Sol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35,772</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35,483</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Asociación Civil San Juan Bautista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34,310</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22,327</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Inmobiliaria Terrano S.A. y Operadora Portuaria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34,244</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40,125</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Nessus Hoteles Perú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31,635</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36,629</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Concesionaria La Chira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26,210</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26,279</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Red Eléctrica del Sur S.A. y Transmisora Eléctrica del Sur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23,027</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21,748</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Ferreyros S.A.</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21,846</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23,784</w:t>
            </w:r>
          </w:p>
        </w:tc>
      </w:tr>
      <w:tr>
        <w:trPr>
          <w:trHeight w:val="181"/>
        </w:trPr>
        <w:tc>
          <w:tcPr>
            <w:tcW w:w="8300" w:type="dxa"/>
            <w:vAlign w:val="bottom"/>
          </w:tcPr>
          <w:p>
            <w:pPr>
              <w:ind w:left="340"/>
              <w:spacing w:after="0" w:line="181" w:lineRule="exact"/>
              <w:rPr>
                <w:sz w:val="20"/>
                <w:szCs w:val="20"/>
                <w:color w:val="auto"/>
              </w:rPr>
            </w:pPr>
            <w:r>
              <w:rPr>
                <w:rFonts w:ascii="Arial" w:cs="Arial" w:eastAsia="Arial" w:hAnsi="Arial"/>
                <w:sz w:val="16"/>
                <w:szCs w:val="16"/>
                <w:color w:val="auto"/>
              </w:rPr>
              <w:t>Compañía de Turismo La Paz S.A.C.</w:t>
            </w:r>
          </w:p>
        </w:tc>
        <w:tc>
          <w:tcPr>
            <w:tcW w:w="12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19,780</w:t>
            </w:r>
          </w:p>
        </w:tc>
      </w:tr>
      <w:tr>
        <w:trPr>
          <w:trHeight w:val="202"/>
        </w:trPr>
        <w:tc>
          <w:tcPr>
            <w:tcW w:w="8300" w:type="dxa"/>
            <w:vAlign w:val="bottom"/>
          </w:tcPr>
          <w:p>
            <w:pPr>
              <w:ind w:left="340"/>
              <w:spacing w:after="0"/>
              <w:rPr>
                <w:sz w:val="20"/>
                <w:szCs w:val="20"/>
                <w:color w:val="auto"/>
              </w:rPr>
            </w:pPr>
            <w:r>
              <w:rPr>
                <w:rFonts w:ascii="Arial" w:cs="Arial" w:eastAsia="Arial" w:hAnsi="Arial"/>
                <w:sz w:val="16"/>
                <w:szCs w:val="16"/>
                <w:color w:val="auto"/>
              </w:rPr>
              <w:t>Other minors</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58,343</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56,843</w:t>
            </w:r>
          </w:p>
        </w:tc>
      </w:tr>
      <w:tr>
        <w:trPr>
          <w:trHeight w:val="185"/>
        </w:trPr>
        <w:tc>
          <w:tcPr>
            <w:tcW w:w="8300" w:type="dxa"/>
            <w:vAlign w:val="bottom"/>
          </w:tcPr>
          <w:p>
            <w:pPr>
              <w:ind w:left="340"/>
              <w:spacing w:after="0" w:line="181" w:lineRule="exact"/>
              <w:rPr>
                <w:sz w:val="20"/>
                <w:szCs w:val="20"/>
                <w:color w:val="auto"/>
              </w:rPr>
            </w:pPr>
            <w:r>
              <w:rPr>
                <w:rFonts w:ascii="Arial" w:cs="Arial" w:eastAsia="Arial" w:hAnsi="Arial"/>
                <w:sz w:val="16"/>
                <w:szCs w:val="16"/>
                <w:b w:val="1"/>
                <w:bCs w:val="1"/>
                <w:color w:val="auto"/>
              </w:rPr>
              <w:t>Total</w:t>
            </w: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996,330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709,495</w:t>
            </w:r>
          </w:p>
        </w:tc>
      </w:tr>
    </w:tbl>
    <w:p>
      <w:pPr>
        <w:spacing w:after="0" w:line="164" w:lineRule="exact"/>
        <w:rPr>
          <w:sz w:val="20"/>
          <w:szCs w:val="20"/>
          <w:color w:val="auto"/>
        </w:rPr>
      </w:pPr>
    </w:p>
    <w:p>
      <w:pPr>
        <w:jc w:val="both"/>
        <w:ind w:left="284" w:right="720"/>
        <w:spacing w:after="0" w:line="274" w:lineRule="auto"/>
        <w:rPr>
          <w:sz w:val="20"/>
          <w:szCs w:val="20"/>
          <w:color w:val="auto"/>
        </w:rPr>
      </w:pPr>
      <w:r>
        <w:rPr>
          <w:rFonts w:ascii="Arial" w:cs="Arial" w:eastAsia="Arial" w:hAnsi="Arial"/>
          <w:sz w:val="16"/>
          <w:szCs w:val="16"/>
          <w:color w:val="auto"/>
        </w:rPr>
        <w:t>The instruments have predominantly semiannual payments through the year 2050. The pool of underlying assets is composed mainly of receivables from revenues, service revenues, maintenance and marketing contributions, and service-related receivables, among others.</w:t>
      </w:r>
    </w:p>
    <w:p>
      <w:pPr>
        <w:spacing w:after="0" w:line="123" w:lineRule="exact"/>
        <w:rPr>
          <w:sz w:val="20"/>
          <w:szCs w:val="20"/>
          <w:color w:val="auto"/>
        </w:rPr>
      </w:pPr>
    </w:p>
    <w:p>
      <w:pPr>
        <w:jc w:val="both"/>
        <w:ind w:left="284" w:hanging="284"/>
        <w:spacing w:after="0" w:line="255" w:lineRule="auto"/>
        <w:tabs>
          <w:tab w:leader="none" w:pos="284" w:val="left"/>
        </w:tabs>
        <w:numPr>
          <w:ilvl w:val="0"/>
          <w:numId w:val="82"/>
        </w:numPr>
        <w:rPr>
          <w:rFonts w:ascii="Arial" w:cs="Arial" w:eastAsia="Arial" w:hAnsi="Arial"/>
          <w:sz w:val="16"/>
          <w:szCs w:val="16"/>
          <w:color w:val="auto"/>
        </w:rPr>
      </w:pPr>
      <w:r>
        <w:rPr>
          <w:rFonts w:ascii="Arial" w:cs="Arial" w:eastAsia="Arial" w:hAnsi="Arial"/>
          <w:sz w:val="16"/>
          <w:szCs w:val="16"/>
          <w:color w:val="auto"/>
        </w:rPr>
        <w:t>As of December 31, 2025, the balance corresponds to certificates equivalent to S/231.3 million in other currencies, issued mainly by entities of the Bolivia financial system. As of December 31, 2024, the balance corresponds to certificates equivalent to S/417.8 million in other currencies, issued mainly by entities of the Bolivia financial system.</w:t>
      </w:r>
    </w:p>
    <w:p>
      <w:pPr>
        <w:spacing w:after="0" w:line="306" w:lineRule="exact"/>
        <w:rPr>
          <w:rFonts w:ascii="Arial" w:cs="Arial" w:eastAsia="Arial" w:hAnsi="Arial"/>
          <w:sz w:val="16"/>
          <w:szCs w:val="16"/>
          <w:color w:val="auto"/>
        </w:rPr>
      </w:pPr>
    </w:p>
    <w:p>
      <w:pPr>
        <w:ind w:left="4944" w:hanging="104"/>
        <w:spacing w:after="0"/>
        <w:tabs>
          <w:tab w:leader="none" w:pos="49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4"/>
        </w:trPr>
        <w:tc>
          <w:tcPr>
            <w:tcW w:w="8540" w:type="dxa"/>
            <w:vAlign w:val="bottom"/>
          </w:tcPr>
          <w:p>
            <w:pPr>
              <w:spacing w:after="0"/>
              <w:rPr>
                <w:sz w:val="20"/>
                <w:szCs w:val="20"/>
                <w:color w:val="auto"/>
              </w:rPr>
            </w:pPr>
            <w:r>
              <w:rPr>
                <w:rFonts w:ascii="Arial" w:cs="Arial" w:eastAsia="Arial" w:hAnsi="Arial"/>
                <w:sz w:val="16"/>
                <w:szCs w:val="16"/>
                <w:color w:val="auto"/>
              </w:rPr>
              <w:t>c)  Amortized cost investments consist of the following:</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854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540" w:type="dxa"/>
            <w:vAlign w:val="bottom"/>
          </w:tcPr>
          <w:p>
            <w:pPr>
              <w:spacing w:after="0"/>
              <w:rPr>
                <w:sz w:val="14"/>
                <w:szCs w:val="14"/>
                <w:color w:val="auto"/>
              </w:rPr>
            </w:pPr>
          </w:p>
        </w:tc>
        <w:tc>
          <w:tcPr>
            <w:tcW w:w="128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Carrying</w:t>
            </w:r>
          </w:p>
        </w:tc>
        <w:tc>
          <w:tcPr>
            <w:tcW w:w="106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5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4"/>
        </w:trPr>
        <w:tc>
          <w:tcPr>
            <w:tcW w:w="854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8540" w:type="dxa"/>
            <w:vAlign w:val="bottom"/>
          </w:tcPr>
          <w:p>
            <w:pPr>
              <w:ind w:left="340"/>
              <w:spacing w:after="0"/>
              <w:rPr>
                <w:sz w:val="20"/>
                <w:szCs w:val="20"/>
                <w:color w:val="auto"/>
              </w:rPr>
            </w:pPr>
            <w:r>
              <w:rPr>
                <w:rFonts w:ascii="Arial" w:cs="Arial" w:eastAsia="Arial" w:hAnsi="Arial"/>
                <w:sz w:val="16"/>
                <w:szCs w:val="16"/>
                <w:color w:val="auto"/>
              </w:rPr>
              <w:t>Peruvian Government bonds (i)</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8,049,799</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7,965,134</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Corporate bonds (i)</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404,338</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408,397</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Bonds from financial organizations (i)</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66,520</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66,995</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Other government bonds (i)</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57,218</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57,098</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Subordinated bonds (i)</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28,175</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28,304</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Securitization instruments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11,812</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12,182</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Negotiable certificates of deposits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3,905</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3,917</w:t>
            </w:r>
          </w:p>
        </w:tc>
        <w:tc>
          <w:tcPr>
            <w:tcW w:w="0" w:type="dxa"/>
            <w:vAlign w:val="bottom"/>
          </w:tcPr>
          <w:p>
            <w:pPr>
              <w:spacing w:after="0"/>
              <w:rPr>
                <w:sz w:val="1"/>
                <w:szCs w:val="1"/>
                <w:color w:val="auto"/>
              </w:rPr>
            </w:pPr>
          </w:p>
        </w:tc>
      </w:tr>
      <w:tr>
        <w:trPr>
          <w:trHeight w:val="210"/>
        </w:trPr>
        <w:tc>
          <w:tcPr>
            <w:tcW w:w="8540" w:type="dxa"/>
            <w:vAlign w:val="bottom"/>
          </w:tcPr>
          <w:p>
            <w:pPr>
              <w:ind w:left="340"/>
              <w:spacing w:after="0"/>
              <w:rPr>
                <w:sz w:val="20"/>
                <w:szCs w:val="20"/>
                <w:color w:val="auto"/>
              </w:rPr>
            </w:pPr>
            <w:r>
              <w:rPr>
                <w:rFonts w:ascii="Arial" w:cs="Arial" w:eastAsia="Arial" w:hAnsi="Arial"/>
                <w:sz w:val="16"/>
                <w:szCs w:val="16"/>
                <w:color w:val="auto"/>
              </w:rPr>
              <w:t>Certificates of payment on work progress (CRPAO)</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2,108</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168"/>
        </w:trPr>
        <w:tc>
          <w:tcPr>
            <w:tcW w:w="8540" w:type="dxa"/>
            <w:vAlign w:val="bottom"/>
            <w:vMerge w:val="restart"/>
          </w:tcPr>
          <w:p>
            <w:pPr>
              <w:ind w:left="340"/>
              <w:spacing w:after="0"/>
              <w:rPr>
                <w:sz w:val="20"/>
                <w:szCs w:val="20"/>
                <w:color w:val="auto"/>
              </w:rPr>
            </w:pPr>
            <w:r>
              <w:rPr>
                <w:rFonts w:ascii="Arial" w:cs="Arial" w:eastAsia="Arial" w:hAnsi="Arial"/>
                <w:sz w:val="16"/>
                <w:szCs w:val="16"/>
                <w:color w:val="auto"/>
              </w:rPr>
              <w:t>Accrued interest</w:t>
            </w:r>
          </w:p>
        </w:tc>
        <w:tc>
          <w:tcPr>
            <w:tcW w:w="1060" w:type="dxa"/>
            <w:vAlign w:val="bottom"/>
            <w:tcBorders>
              <w:top w:val="single" w:sz="8" w:color="auto"/>
            </w:tcBorders>
          </w:tcPr>
          <w:p>
            <w:pPr>
              <w:ind w:left="360"/>
              <w:spacing w:after="0" w:line="168" w:lineRule="exact"/>
              <w:rPr>
                <w:sz w:val="20"/>
                <w:szCs w:val="20"/>
                <w:color w:val="auto"/>
              </w:rPr>
            </w:pPr>
            <w:r>
              <w:rPr>
                <w:rFonts w:ascii="Arial" w:cs="Arial" w:eastAsia="Arial" w:hAnsi="Arial"/>
                <w:sz w:val="16"/>
                <w:szCs w:val="16"/>
                <w:color w:val="auto"/>
                <w:w w:val="95"/>
              </w:rPr>
              <w:t>8,623,875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20"/>
              <w:spacing w:after="0" w:line="168" w:lineRule="exact"/>
              <w:rPr>
                <w:sz w:val="20"/>
                <w:szCs w:val="20"/>
                <w:color w:val="auto"/>
              </w:rPr>
            </w:pPr>
            <w:r>
              <w:rPr>
                <w:rFonts w:ascii="Arial" w:cs="Arial" w:eastAsia="Arial" w:hAnsi="Arial"/>
                <w:sz w:val="16"/>
                <w:szCs w:val="16"/>
                <w:color w:val="auto"/>
              </w:rPr>
              <w:t>8,544,132</w:t>
            </w:r>
          </w:p>
        </w:tc>
        <w:tc>
          <w:tcPr>
            <w:tcW w:w="0" w:type="dxa"/>
            <w:vAlign w:val="bottom"/>
          </w:tcPr>
          <w:p>
            <w:pPr>
              <w:spacing w:after="0"/>
              <w:rPr>
                <w:sz w:val="1"/>
                <w:szCs w:val="1"/>
                <w:color w:val="auto"/>
              </w:rPr>
            </w:pPr>
          </w:p>
        </w:tc>
      </w:tr>
      <w:tr>
        <w:trPr>
          <w:trHeight w:val="190"/>
        </w:trPr>
        <w:tc>
          <w:tcPr>
            <w:tcW w:w="8540" w:type="dxa"/>
            <w:vAlign w:val="bottom"/>
            <w:vMerge w:val="continue"/>
          </w:tcPr>
          <w:p>
            <w:pPr>
              <w:spacing w:after="0"/>
              <w:rPr>
                <w:sz w:val="16"/>
                <w:szCs w:val="16"/>
                <w:color w:val="auto"/>
              </w:rPr>
            </w:pP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189,782</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189,782</w:t>
            </w:r>
          </w:p>
        </w:tc>
        <w:tc>
          <w:tcPr>
            <w:tcW w:w="0" w:type="dxa"/>
            <w:vAlign w:val="bottom"/>
          </w:tcPr>
          <w:p>
            <w:pPr>
              <w:spacing w:after="0"/>
              <w:rPr>
                <w:sz w:val="1"/>
                <w:szCs w:val="1"/>
                <w:color w:val="auto"/>
              </w:rPr>
            </w:pPr>
          </w:p>
        </w:tc>
      </w:tr>
      <w:tr>
        <w:trPr>
          <w:trHeight w:val="185"/>
        </w:trPr>
        <w:tc>
          <w:tcPr>
            <w:tcW w:w="8540" w:type="dxa"/>
            <w:vAlign w:val="bottom"/>
          </w:tcPr>
          <w:p>
            <w:pPr>
              <w:ind w:left="340"/>
              <w:spacing w:after="0" w:line="181" w:lineRule="exact"/>
              <w:rPr>
                <w:sz w:val="20"/>
                <w:szCs w:val="20"/>
                <w:color w:val="auto"/>
              </w:rPr>
            </w:pPr>
            <w:r>
              <w:rPr>
                <w:rFonts w:ascii="Arial" w:cs="Arial" w:eastAsia="Arial" w:hAnsi="Arial"/>
                <w:sz w:val="16"/>
                <w:szCs w:val="16"/>
                <w:b w:val="1"/>
                <w:bCs w:val="1"/>
                <w:color w:val="auto"/>
              </w:rPr>
              <w:t>Total investments at amortized cost, net</w:t>
            </w:r>
          </w:p>
        </w:tc>
        <w:tc>
          <w:tcPr>
            <w:tcW w:w="1060" w:type="dxa"/>
            <w:vAlign w:val="bottom"/>
            <w:tcBorders>
              <w:top w:val="single" w:sz="8" w:color="auto"/>
            </w:tcBorders>
          </w:tcPr>
          <w:p>
            <w:pPr>
              <w:ind w:left="360"/>
              <w:spacing w:after="0" w:line="181" w:lineRule="exact"/>
              <w:rPr>
                <w:sz w:val="20"/>
                <w:szCs w:val="20"/>
                <w:color w:val="auto"/>
              </w:rPr>
            </w:pPr>
            <w:r>
              <w:rPr>
                <w:rFonts w:ascii="Arial" w:cs="Arial" w:eastAsia="Arial" w:hAnsi="Arial"/>
                <w:sz w:val="16"/>
                <w:szCs w:val="16"/>
                <w:color w:val="auto"/>
                <w:w w:val="95"/>
              </w:rPr>
              <w:t>8,813,657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8,733,914</w:t>
            </w:r>
          </w:p>
        </w:tc>
        <w:tc>
          <w:tcPr>
            <w:tcW w:w="0" w:type="dxa"/>
            <w:vAlign w:val="bottom"/>
          </w:tcPr>
          <w:p>
            <w:pPr>
              <w:spacing w:after="0"/>
              <w:rPr>
                <w:sz w:val="1"/>
                <w:szCs w:val="1"/>
                <w:color w:val="auto"/>
              </w:rPr>
            </w:pPr>
          </w:p>
        </w:tc>
      </w:tr>
      <w:tr>
        <w:trPr>
          <w:trHeight w:val="362"/>
        </w:trPr>
        <w:tc>
          <w:tcPr>
            <w:tcW w:w="8540" w:type="dxa"/>
            <w:vAlign w:val="bottom"/>
          </w:tcPr>
          <w:p>
            <w:pPr>
              <w:spacing w:after="0"/>
              <w:rPr>
                <w:sz w:val="24"/>
                <w:szCs w:val="24"/>
                <w:color w:val="auto"/>
              </w:rPr>
            </w:pPr>
          </w:p>
        </w:tc>
        <w:tc>
          <w:tcPr>
            <w:tcW w:w="1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540" w:type="dxa"/>
            <w:vAlign w:val="bottom"/>
          </w:tcPr>
          <w:p>
            <w:pPr>
              <w:spacing w:after="0"/>
              <w:rPr>
                <w:sz w:val="14"/>
                <w:szCs w:val="14"/>
                <w:color w:val="auto"/>
              </w:rPr>
            </w:pPr>
          </w:p>
        </w:tc>
        <w:tc>
          <w:tcPr>
            <w:tcW w:w="128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Carrying</w:t>
            </w:r>
          </w:p>
        </w:tc>
        <w:tc>
          <w:tcPr>
            <w:tcW w:w="106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5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4"/>
        </w:trPr>
        <w:tc>
          <w:tcPr>
            <w:tcW w:w="854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8540" w:type="dxa"/>
            <w:vAlign w:val="bottom"/>
          </w:tcPr>
          <w:p>
            <w:pPr>
              <w:ind w:left="340"/>
              <w:spacing w:after="0"/>
              <w:rPr>
                <w:sz w:val="20"/>
                <w:szCs w:val="20"/>
                <w:color w:val="auto"/>
              </w:rPr>
            </w:pPr>
            <w:r>
              <w:rPr>
                <w:rFonts w:ascii="Arial" w:cs="Arial" w:eastAsia="Arial" w:hAnsi="Arial"/>
                <w:sz w:val="16"/>
                <w:szCs w:val="16"/>
                <w:color w:val="auto"/>
              </w:rPr>
              <w:t>Peruvian Government Bonds (i)</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8,085,248</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7,558,307</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Corporate bonds (i)</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534,396</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536,321</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Bonds from financial organizations (i)</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48,090</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48,307</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Subordinated bonds (i)</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44,763</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45,148</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Other government bonds (i)</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29,074</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29,185</w:t>
            </w:r>
          </w:p>
        </w:tc>
        <w:tc>
          <w:tcPr>
            <w:tcW w:w="0" w:type="dxa"/>
            <w:vAlign w:val="bottom"/>
          </w:tcPr>
          <w:p>
            <w:pPr>
              <w:spacing w:after="0"/>
              <w:rPr>
                <w:sz w:val="1"/>
                <w:szCs w:val="1"/>
                <w:color w:val="auto"/>
              </w:rPr>
            </w:pPr>
          </w:p>
        </w:tc>
      </w:tr>
      <w:tr>
        <w:trPr>
          <w:trHeight w:val="181"/>
        </w:trPr>
        <w:tc>
          <w:tcPr>
            <w:tcW w:w="8540" w:type="dxa"/>
            <w:vAlign w:val="bottom"/>
          </w:tcPr>
          <w:p>
            <w:pPr>
              <w:ind w:left="340"/>
              <w:spacing w:after="0" w:line="181" w:lineRule="exact"/>
              <w:rPr>
                <w:sz w:val="20"/>
                <w:szCs w:val="20"/>
                <w:color w:val="auto"/>
              </w:rPr>
            </w:pPr>
            <w:r>
              <w:rPr>
                <w:rFonts w:ascii="Arial" w:cs="Arial" w:eastAsia="Arial" w:hAnsi="Arial"/>
                <w:sz w:val="16"/>
                <w:szCs w:val="16"/>
                <w:color w:val="auto"/>
              </w:rPr>
              <w:t>Negotiable certificates of deposits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23,889</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23,904</w:t>
            </w:r>
          </w:p>
        </w:tc>
        <w:tc>
          <w:tcPr>
            <w:tcW w:w="0" w:type="dxa"/>
            <w:vAlign w:val="bottom"/>
          </w:tcPr>
          <w:p>
            <w:pPr>
              <w:spacing w:after="0"/>
              <w:rPr>
                <w:sz w:val="1"/>
                <w:szCs w:val="1"/>
                <w:color w:val="auto"/>
              </w:rPr>
            </w:pPr>
          </w:p>
        </w:tc>
      </w:tr>
      <w:tr>
        <w:trPr>
          <w:trHeight w:val="210"/>
        </w:trPr>
        <w:tc>
          <w:tcPr>
            <w:tcW w:w="8540" w:type="dxa"/>
            <w:vAlign w:val="bottom"/>
          </w:tcPr>
          <w:p>
            <w:pPr>
              <w:ind w:left="340"/>
              <w:spacing w:after="0"/>
              <w:rPr>
                <w:sz w:val="20"/>
                <w:szCs w:val="20"/>
                <w:color w:val="auto"/>
              </w:rPr>
            </w:pPr>
            <w:r>
              <w:rPr>
                <w:rFonts w:ascii="Arial" w:cs="Arial" w:eastAsia="Arial" w:hAnsi="Arial"/>
                <w:sz w:val="16"/>
                <w:szCs w:val="16"/>
                <w:color w:val="auto"/>
              </w:rPr>
              <w:t>Certificates of payment on work progress (CRPAO)</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8,321</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8,270</w:t>
            </w:r>
          </w:p>
        </w:tc>
        <w:tc>
          <w:tcPr>
            <w:tcW w:w="0" w:type="dxa"/>
            <w:vAlign w:val="bottom"/>
          </w:tcPr>
          <w:p>
            <w:pPr>
              <w:spacing w:after="0"/>
              <w:rPr>
                <w:sz w:val="1"/>
                <w:szCs w:val="1"/>
                <w:color w:val="auto"/>
              </w:rPr>
            </w:pPr>
          </w:p>
        </w:tc>
      </w:tr>
      <w:tr>
        <w:trPr>
          <w:trHeight w:val="168"/>
        </w:trPr>
        <w:tc>
          <w:tcPr>
            <w:tcW w:w="8540" w:type="dxa"/>
            <w:vAlign w:val="bottom"/>
            <w:vMerge w:val="restart"/>
          </w:tcPr>
          <w:p>
            <w:pPr>
              <w:ind w:left="340"/>
              <w:spacing w:after="0"/>
              <w:rPr>
                <w:sz w:val="20"/>
                <w:szCs w:val="20"/>
                <w:color w:val="auto"/>
              </w:rPr>
            </w:pPr>
            <w:r>
              <w:rPr>
                <w:rFonts w:ascii="Arial" w:cs="Arial" w:eastAsia="Arial" w:hAnsi="Arial"/>
                <w:sz w:val="16"/>
                <w:szCs w:val="16"/>
                <w:color w:val="auto"/>
              </w:rPr>
              <w:t>Accrued interest</w:t>
            </w:r>
          </w:p>
        </w:tc>
        <w:tc>
          <w:tcPr>
            <w:tcW w:w="1060" w:type="dxa"/>
            <w:vAlign w:val="bottom"/>
            <w:tcBorders>
              <w:top w:val="single" w:sz="8" w:color="auto"/>
            </w:tcBorders>
          </w:tcPr>
          <w:p>
            <w:pPr>
              <w:ind w:left="360"/>
              <w:spacing w:after="0" w:line="168" w:lineRule="exact"/>
              <w:rPr>
                <w:sz w:val="20"/>
                <w:szCs w:val="20"/>
                <w:color w:val="auto"/>
              </w:rPr>
            </w:pPr>
            <w:r>
              <w:rPr>
                <w:rFonts w:ascii="Arial" w:cs="Arial" w:eastAsia="Arial" w:hAnsi="Arial"/>
                <w:sz w:val="16"/>
                <w:szCs w:val="16"/>
                <w:color w:val="auto"/>
                <w:w w:val="95"/>
              </w:rPr>
              <w:t>8,773,781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20"/>
              <w:spacing w:after="0" w:line="168" w:lineRule="exact"/>
              <w:rPr>
                <w:sz w:val="20"/>
                <w:szCs w:val="20"/>
                <w:color w:val="auto"/>
              </w:rPr>
            </w:pPr>
            <w:r>
              <w:rPr>
                <w:rFonts w:ascii="Arial" w:cs="Arial" w:eastAsia="Arial" w:hAnsi="Arial"/>
                <w:sz w:val="16"/>
                <w:szCs w:val="16"/>
                <w:color w:val="auto"/>
              </w:rPr>
              <w:t>8,249,442</w:t>
            </w:r>
          </w:p>
        </w:tc>
        <w:tc>
          <w:tcPr>
            <w:tcW w:w="0" w:type="dxa"/>
            <w:vAlign w:val="bottom"/>
          </w:tcPr>
          <w:p>
            <w:pPr>
              <w:spacing w:after="0"/>
              <w:rPr>
                <w:sz w:val="1"/>
                <w:szCs w:val="1"/>
                <w:color w:val="auto"/>
              </w:rPr>
            </w:pPr>
          </w:p>
        </w:tc>
      </w:tr>
      <w:tr>
        <w:trPr>
          <w:trHeight w:val="190"/>
        </w:trPr>
        <w:tc>
          <w:tcPr>
            <w:tcW w:w="8540" w:type="dxa"/>
            <w:vAlign w:val="bottom"/>
            <w:vMerge w:val="continue"/>
          </w:tcPr>
          <w:p>
            <w:pPr>
              <w:spacing w:after="0"/>
              <w:rPr>
                <w:sz w:val="16"/>
                <w:szCs w:val="16"/>
                <w:color w:val="auto"/>
              </w:rPr>
            </w:pP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194,096</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194,096</w:t>
            </w:r>
          </w:p>
        </w:tc>
        <w:tc>
          <w:tcPr>
            <w:tcW w:w="0" w:type="dxa"/>
            <w:vAlign w:val="bottom"/>
          </w:tcPr>
          <w:p>
            <w:pPr>
              <w:spacing w:after="0"/>
              <w:rPr>
                <w:sz w:val="1"/>
                <w:szCs w:val="1"/>
                <w:color w:val="auto"/>
              </w:rPr>
            </w:pPr>
          </w:p>
        </w:tc>
      </w:tr>
      <w:tr>
        <w:trPr>
          <w:trHeight w:val="185"/>
        </w:trPr>
        <w:tc>
          <w:tcPr>
            <w:tcW w:w="8540" w:type="dxa"/>
            <w:vAlign w:val="bottom"/>
          </w:tcPr>
          <w:p>
            <w:pPr>
              <w:ind w:left="340"/>
              <w:spacing w:after="0" w:line="181" w:lineRule="exact"/>
              <w:rPr>
                <w:sz w:val="20"/>
                <w:szCs w:val="20"/>
                <w:color w:val="auto"/>
              </w:rPr>
            </w:pPr>
            <w:r>
              <w:rPr>
                <w:rFonts w:ascii="Arial" w:cs="Arial" w:eastAsia="Arial" w:hAnsi="Arial"/>
                <w:sz w:val="16"/>
                <w:szCs w:val="16"/>
                <w:b w:val="1"/>
                <w:bCs w:val="1"/>
                <w:color w:val="auto"/>
              </w:rPr>
              <w:t>Total investments at amortized cost, net</w:t>
            </w:r>
          </w:p>
        </w:tc>
        <w:tc>
          <w:tcPr>
            <w:tcW w:w="1060" w:type="dxa"/>
            <w:vAlign w:val="bottom"/>
            <w:tcBorders>
              <w:top w:val="single" w:sz="8" w:color="auto"/>
              <w:bottom w:val="single" w:sz="8" w:color="auto"/>
            </w:tcBorders>
          </w:tcPr>
          <w:p>
            <w:pPr>
              <w:ind w:left="360"/>
              <w:spacing w:after="0" w:line="181" w:lineRule="exact"/>
              <w:rPr>
                <w:sz w:val="20"/>
                <w:szCs w:val="20"/>
                <w:color w:val="auto"/>
              </w:rPr>
            </w:pPr>
            <w:r>
              <w:rPr>
                <w:rFonts w:ascii="Arial" w:cs="Arial" w:eastAsia="Arial" w:hAnsi="Arial"/>
                <w:sz w:val="16"/>
                <w:szCs w:val="16"/>
                <w:color w:val="auto"/>
                <w:w w:val="95"/>
              </w:rPr>
              <w:t>8,967,877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8,443,538</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expected loss of investments at amortized cost as of December 31, 2025, and 2024 is S/2.1 million and S/2.9 million, respectively.</w:t>
      </w:r>
    </w:p>
    <w:p>
      <w:pPr>
        <w:spacing w:after="0" w:line="178" w:lineRule="exact"/>
        <w:rPr>
          <w:sz w:val="20"/>
          <w:szCs w:val="20"/>
          <w:color w:val="auto"/>
        </w:rPr>
      </w:pPr>
    </w:p>
    <w:p>
      <w:pPr>
        <w:jc w:val="both"/>
        <w:ind w:left="580" w:hanging="284"/>
        <w:spacing w:after="0" w:line="243" w:lineRule="auto"/>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of December 31, 2025, these bonds have maturities between January 2026 and February 2042; with annual market rates between 4.13 percent and 6.55 percent annually for bonds issued in soles, between 3.88 percent and 8.87 percent for bonds issued in US Dollars, and between 4.78 percent and 9.60 percent annually for bonds issued in other currencies. As of December 31, 2024, they have maturities between January 2025 and February 2042; with annual market rates between 4.40 percent and 7.02 percent annually for bonds issued in soles, between 4.32 percent and 15.39 percent for bonds issued in US Dollars, and between 5.30 percent and 10.40 percent annually for bonds issued in other currencies.</w:t>
      </w:r>
    </w:p>
    <w:p>
      <w:pPr>
        <w:spacing w:after="0" w:line="335" w:lineRule="exact"/>
        <w:rPr>
          <w:rFonts w:ascii="Arial" w:cs="Arial" w:eastAsia="Arial" w:hAnsi="Arial"/>
          <w:sz w:val="16"/>
          <w:szCs w:val="16"/>
          <w:color w:val="auto"/>
        </w:rPr>
      </w:pPr>
    </w:p>
    <w:p>
      <w:pPr>
        <w:ind w:left="580" w:right="440"/>
        <w:spacing w:after="0" w:line="274" w:lineRule="auto"/>
        <w:rPr>
          <w:rFonts w:ascii="Arial" w:cs="Arial" w:eastAsia="Arial" w:hAnsi="Arial"/>
          <w:sz w:val="16"/>
          <w:szCs w:val="16"/>
          <w:color w:val="auto"/>
        </w:rPr>
      </w:pPr>
      <w:r>
        <w:rPr>
          <w:rFonts w:ascii="Arial" w:cs="Arial" w:eastAsia="Arial" w:hAnsi="Arial"/>
          <w:sz w:val="16"/>
          <w:szCs w:val="16"/>
          <w:color w:val="auto"/>
        </w:rPr>
        <w:t>Likewise, Credicorp Management has determined that as of December 31, 2025, the difference between amortized cost and the fair value of these investments is temporary in nature and Credicorp has the intention and ability to hold each of these investments until its maturity.</w:t>
      </w:r>
    </w:p>
    <w:p>
      <w:pPr>
        <w:spacing w:after="0" w:line="291" w:lineRule="exact"/>
        <w:rPr>
          <w:rFonts w:ascii="Arial" w:cs="Arial" w:eastAsia="Arial" w:hAnsi="Arial"/>
          <w:sz w:val="16"/>
          <w:szCs w:val="16"/>
          <w:color w:val="auto"/>
        </w:rPr>
      </w:pPr>
    </w:p>
    <w:p>
      <w:pPr>
        <w:ind w:left="5240" w:hanging="104"/>
        <w:spacing w:after="0"/>
        <w:tabs>
          <w:tab w:leader="none" w:pos="52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80"/>
          </w:cols>
          <w:pgMar w:left="600" w:top="316" w:right="319" w:bottom="1440" w:gutter="0" w:footer="0" w:header="0"/>
        </w:sectPr>
      </w:pPr>
    </w:p>
    <w:bookmarkStart w:id="73" w:name="page74"/>
    <w:bookmarkEnd w:id="73"/>
    <w:p>
      <w:pPr>
        <w:ind w:left="860" w:right="20"/>
        <w:spacing w:after="0" w:line="255" w:lineRule="auto"/>
        <w:rPr>
          <w:sz w:val="20"/>
          <w:szCs w:val="20"/>
          <w:color w:val="auto"/>
        </w:rPr>
      </w:pPr>
      <w:r>
        <w:rPr>
          <w:rFonts w:ascii="Arial" w:cs="Arial" w:eastAsia="Arial" w:hAnsi="Arial"/>
          <w:sz w:val="16"/>
          <w:szCs w:val="16"/>
          <w:color w:val="auto"/>
        </w:rPr>
        <w:t>As of December 31, 2025, the Group maintains repurchase agreement transactions related to investments measured at amortized cost, with an estimated fair value of S/323.5 million. As of December 31, 2024, such repurchase agreement transactions amounted to an estimated fair value of S/1,063.4 million, see Note 5(c).</w:t>
      </w:r>
    </w:p>
    <w:p>
      <w:pPr>
        <w:spacing w:after="0" w:line="137" w:lineRule="exact"/>
        <w:rPr>
          <w:sz w:val="20"/>
          <w:szCs w:val="20"/>
          <w:color w:val="auto"/>
        </w:rPr>
      </w:pPr>
    </w:p>
    <w:p>
      <w:pPr>
        <w:ind w:left="580" w:right="20" w:hanging="294"/>
        <w:spacing w:after="0" w:line="245" w:lineRule="auto"/>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June and August 2025, the Group participated in securities exchange programs offered by the Ministry of Economy and Finance on behalf of the Peruvian Government, through which sovereign bonds amounting to S/3,438.2 million were delivered, and sovereign bonds amounting to S/3,729.7 million were received in exchange, without affecting their accounting classification. These exchanges mainly involved bonds classified at fair value through other comprehensive income, resulting in the realization of a net gain of S/99.0 million, which was recognized in the consolidated statement of income.</w:t>
      </w:r>
    </w:p>
    <w:p>
      <w:pPr>
        <w:spacing w:after="0" w:line="146" w:lineRule="exact"/>
        <w:rPr>
          <w:rFonts w:ascii="Arial" w:cs="Arial" w:eastAsia="Arial" w:hAnsi="Arial"/>
          <w:sz w:val="16"/>
          <w:szCs w:val="16"/>
          <w:color w:val="auto"/>
        </w:rPr>
      </w:pPr>
    </w:p>
    <w:p>
      <w:pPr>
        <w:ind w:left="580" w:right="40"/>
        <w:spacing w:after="0" w:line="245" w:lineRule="auto"/>
        <w:rPr>
          <w:rFonts w:ascii="Arial" w:cs="Arial" w:eastAsia="Arial" w:hAnsi="Arial"/>
          <w:sz w:val="16"/>
          <w:szCs w:val="16"/>
          <w:color w:val="auto"/>
        </w:rPr>
      </w:pPr>
      <w:r>
        <w:rPr>
          <w:rFonts w:ascii="Arial" w:cs="Arial" w:eastAsia="Arial" w:hAnsi="Arial"/>
          <w:sz w:val="16"/>
          <w:szCs w:val="16"/>
          <w:color w:val="auto"/>
        </w:rPr>
        <w:t>In June 2024, the Group participated in securities repurchase and exchange program offered by the Ministry of Economy and Finance on behalf of the Peruvian Government, through which sovereign bonds amounting to S/1,450.0 million were repurchased. Additionally, sovereign bonds were exchanged by delivering bonds amounting to S/780.8 million and receiving sovereign bonds amounting to S/795.4 million in return, without affecting their accounting classification. These exchanges mainly involved bonds classified at fair value through other comprehensive income, resulting in the realization of a net gain of S/26.0 million, which was recognized in the consolidated statement of income.</w:t>
      </w:r>
    </w:p>
    <w:p>
      <w:pPr>
        <w:spacing w:after="0" w:line="146" w:lineRule="exact"/>
        <w:rPr>
          <w:rFonts w:ascii="Arial" w:cs="Arial" w:eastAsia="Arial" w:hAnsi="Arial"/>
          <w:sz w:val="16"/>
          <w:szCs w:val="16"/>
          <w:color w:val="auto"/>
        </w:rPr>
      </w:pPr>
    </w:p>
    <w:p>
      <w:pPr>
        <w:ind w:left="580" w:hanging="294"/>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table below shows the balance of investments classified by maturity, without consider accrued interest or provision for credit loss: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00" w:type="dxa"/>
            <w:vAlign w:val="bottom"/>
          </w:tcPr>
          <w:p>
            <w:pPr>
              <w:spacing w:after="0"/>
              <w:rPr>
                <w:sz w:val="17"/>
                <w:szCs w:val="17"/>
                <w:color w:val="auto"/>
              </w:rPr>
            </w:pPr>
          </w:p>
        </w:tc>
        <w:tc>
          <w:tcPr>
            <w:tcW w:w="6020" w:type="dxa"/>
            <w:vAlign w:val="bottom"/>
            <w:gridSpan w:val="3"/>
          </w:tcPr>
          <w:p>
            <w:pPr>
              <w:ind w:left="484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6"/>
        </w:trPr>
        <w:tc>
          <w:tcPr>
            <w:tcW w:w="39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36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6"/>
                <w:szCs w:val="16"/>
                <w:b w:val="1"/>
                <w:bCs w:val="1"/>
                <w:color w:val="auto"/>
              </w:rPr>
              <w:t>At fair value</w:t>
            </w: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1"/>
        </w:trPr>
        <w:tc>
          <w:tcPr>
            <w:tcW w:w="39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36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through other</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39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36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comprehensive</w:t>
            </w:r>
          </w:p>
        </w:tc>
        <w:tc>
          <w:tcPr>
            <w:tcW w:w="108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15"/>
                <w:szCs w:val="15"/>
                <w:color w:val="auto"/>
              </w:rPr>
            </w:pPr>
          </w:p>
        </w:tc>
      </w:tr>
      <w:tr>
        <w:trPr>
          <w:trHeight w:val="198"/>
        </w:trPr>
        <w:tc>
          <w:tcPr>
            <w:tcW w:w="39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income</w:t>
            </w: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7"/>
                <w:szCs w:val="17"/>
                <w:color w:val="auto"/>
              </w:rPr>
            </w:pPr>
          </w:p>
        </w:tc>
      </w:tr>
      <w:tr>
        <w:trPr>
          <w:trHeight w:val="214"/>
        </w:trPr>
        <w:tc>
          <w:tcPr>
            <w:tcW w:w="39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05"/>
        </w:trPr>
        <w:tc>
          <w:tcPr>
            <w:tcW w:w="3900" w:type="dxa"/>
            <w:vAlign w:val="bottom"/>
          </w:tcPr>
          <w:p>
            <w:pPr>
              <w:ind w:left="620"/>
              <w:spacing w:after="0"/>
              <w:rPr>
                <w:sz w:val="20"/>
                <w:szCs w:val="20"/>
                <w:color w:val="auto"/>
              </w:rPr>
            </w:pPr>
            <w:r>
              <w:rPr>
                <w:rFonts w:ascii="Arial" w:cs="Arial" w:eastAsia="Arial" w:hAnsi="Arial"/>
                <w:sz w:val="16"/>
                <w:szCs w:val="16"/>
                <w:color w:val="auto"/>
              </w:rPr>
              <w:t>Up to 3 months</w:t>
            </w:r>
          </w:p>
        </w:tc>
        <w:tc>
          <w:tcPr>
            <w:tcW w:w="6200" w:type="dxa"/>
            <w:vAlign w:val="bottom"/>
            <w:gridSpan w:val="4"/>
          </w:tcPr>
          <w:p>
            <w:pPr>
              <w:jc w:val="right"/>
              <w:ind w:right="180"/>
              <w:spacing w:after="0"/>
              <w:rPr>
                <w:sz w:val="20"/>
                <w:szCs w:val="20"/>
                <w:color w:val="auto"/>
              </w:rPr>
            </w:pPr>
            <w:r>
              <w:rPr>
                <w:rFonts w:ascii="Arial" w:cs="Arial" w:eastAsia="Arial" w:hAnsi="Arial"/>
                <w:sz w:val="16"/>
                <w:szCs w:val="16"/>
                <w:color w:val="auto"/>
              </w:rPr>
              <w:t>6,033,742</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39,815</w:t>
            </w:r>
          </w:p>
        </w:tc>
        <w:tc>
          <w:tcPr>
            <w:tcW w:w="80" w:type="dxa"/>
            <w:vAlign w:val="bottom"/>
          </w:tcPr>
          <w:p>
            <w:pPr>
              <w:spacing w:after="0"/>
              <w:rPr>
                <w:sz w:val="24"/>
                <w:szCs w:val="24"/>
                <w:color w:val="auto"/>
              </w:rPr>
            </w:pPr>
          </w:p>
        </w:tc>
      </w:tr>
      <w:tr>
        <w:trPr>
          <w:trHeight w:val="181"/>
        </w:trPr>
        <w:tc>
          <w:tcPr>
            <w:tcW w:w="3900" w:type="dxa"/>
            <w:vAlign w:val="bottom"/>
          </w:tcPr>
          <w:p>
            <w:pPr>
              <w:ind w:left="620"/>
              <w:spacing w:after="0" w:line="181" w:lineRule="exact"/>
              <w:rPr>
                <w:sz w:val="20"/>
                <w:szCs w:val="20"/>
                <w:color w:val="auto"/>
              </w:rPr>
            </w:pPr>
            <w:r>
              <w:rPr>
                <w:rFonts w:ascii="Arial" w:cs="Arial" w:eastAsia="Arial" w:hAnsi="Arial"/>
                <w:sz w:val="16"/>
                <w:szCs w:val="16"/>
                <w:color w:val="auto"/>
              </w:rPr>
              <w:t>From 3 months to 1 year</w:t>
            </w:r>
          </w:p>
        </w:tc>
        <w:tc>
          <w:tcPr>
            <w:tcW w:w="6200" w:type="dxa"/>
            <w:vAlign w:val="bottom"/>
            <w:gridSpan w:val="4"/>
          </w:tcPr>
          <w:p>
            <w:pPr>
              <w:jc w:val="right"/>
              <w:ind w:right="180"/>
              <w:spacing w:after="0" w:line="181" w:lineRule="exact"/>
              <w:rPr>
                <w:sz w:val="20"/>
                <w:szCs w:val="20"/>
                <w:color w:val="auto"/>
              </w:rPr>
            </w:pPr>
            <w:r>
              <w:rPr>
                <w:rFonts w:ascii="Arial" w:cs="Arial" w:eastAsia="Arial" w:hAnsi="Arial"/>
                <w:sz w:val="16"/>
                <w:szCs w:val="16"/>
                <w:color w:val="auto"/>
              </w:rPr>
              <w:t>6,815,415</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270,064</w:t>
            </w:r>
          </w:p>
        </w:tc>
        <w:tc>
          <w:tcPr>
            <w:tcW w:w="80" w:type="dxa"/>
            <w:vAlign w:val="bottom"/>
          </w:tcPr>
          <w:p>
            <w:pPr>
              <w:spacing w:after="0"/>
              <w:rPr>
                <w:sz w:val="15"/>
                <w:szCs w:val="15"/>
                <w:color w:val="auto"/>
              </w:rPr>
            </w:pPr>
          </w:p>
        </w:tc>
      </w:tr>
      <w:tr>
        <w:trPr>
          <w:trHeight w:val="181"/>
        </w:trPr>
        <w:tc>
          <w:tcPr>
            <w:tcW w:w="3900" w:type="dxa"/>
            <w:vAlign w:val="bottom"/>
          </w:tcPr>
          <w:p>
            <w:pPr>
              <w:ind w:left="620"/>
              <w:spacing w:after="0" w:line="181" w:lineRule="exact"/>
              <w:rPr>
                <w:sz w:val="20"/>
                <w:szCs w:val="20"/>
                <w:color w:val="auto"/>
              </w:rPr>
            </w:pPr>
            <w:r>
              <w:rPr>
                <w:rFonts w:ascii="Arial" w:cs="Arial" w:eastAsia="Arial" w:hAnsi="Arial"/>
                <w:sz w:val="16"/>
                <w:szCs w:val="16"/>
                <w:color w:val="auto"/>
              </w:rPr>
              <w:t>From 1 to 3 years</w:t>
            </w:r>
          </w:p>
        </w:tc>
        <w:tc>
          <w:tcPr>
            <w:tcW w:w="6200" w:type="dxa"/>
            <w:vAlign w:val="bottom"/>
            <w:gridSpan w:val="4"/>
          </w:tcPr>
          <w:p>
            <w:pPr>
              <w:jc w:val="right"/>
              <w:ind w:right="180"/>
              <w:spacing w:after="0" w:line="181" w:lineRule="exact"/>
              <w:rPr>
                <w:sz w:val="20"/>
                <w:szCs w:val="20"/>
                <w:color w:val="auto"/>
              </w:rPr>
            </w:pPr>
            <w:r>
              <w:rPr>
                <w:rFonts w:ascii="Arial" w:cs="Arial" w:eastAsia="Arial" w:hAnsi="Arial"/>
                <w:sz w:val="16"/>
                <w:szCs w:val="16"/>
                <w:color w:val="auto"/>
              </w:rPr>
              <w:t>3,139,798</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1,413,293</w:t>
            </w:r>
          </w:p>
        </w:tc>
        <w:tc>
          <w:tcPr>
            <w:tcW w:w="80" w:type="dxa"/>
            <w:vAlign w:val="bottom"/>
          </w:tcPr>
          <w:p>
            <w:pPr>
              <w:spacing w:after="0"/>
              <w:rPr>
                <w:sz w:val="15"/>
                <w:szCs w:val="15"/>
                <w:color w:val="auto"/>
              </w:rPr>
            </w:pPr>
          </w:p>
        </w:tc>
      </w:tr>
      <w:tr>
        <w:trPr>
          <w:trHeight w:val="181"/>
        </w:trPr>
        <w:tc>
          <w:tcPr>
            <w:tcW w:w="3900" w:type="dxa"/>
            <w:vAlign w:val="bottom"/>
          </w:tcPr>
          <w:p>
            <w:pPr>
              <w:ind w:left="620"/>
              <w:spacing w:after="0" w:line="181" w:lineRule="exact"/>
              <w:rPr>
                <w:sz w:val="20"/>
                <w:szCs w:val="20"/>
                <w:color w:val="auto"/>
              </w:rPr>
            </w:pPr>
            <w:r>
              <w:rPr>
                <w:rFonts w:ascii="Arial" w:cs="Arial" w:eastAsia="Arial" w:hAnsi="Arial"/>
                <w:sz w:val="16"/>
                <w:szCs w:val="16"/>
                <w:color w:val="auto"/>
              </w:rPr>
              <w:t>From 3 to 5 years</w:t>
            </w:r>
          </w:p>
        </w:tc>
        <w:tc>
          <w:tcPr>
            <w:tcW w:w="6200" w:type="dxa"/>
            <w:vAlign w:val="bottom"/>
            <w:gridSpan w:val="4"/>
          </w:tcPr>
          <w:p>
            <w:pPr>
              <w:jc w:val="right"/>
              <w:ind w:right="180"/>
              <w:spacing w:after="0" w:line="181" w:lineRule="exact"/>
              <w:rPr>
                <w:sz w:val="20"/>
                <w:szCs w:val="20"/>
                <w:color w:val="auto"/>
              </w:rPr>
            </w:pPr>
            <w:r>
              <w:rPr>
                <w:rFonts w:ascii="Arial" w:cs="Arial" w:eastAsia="Arial" w:hAnsi="Arial"/>
                <w:sz w:val="16"/>
                <w:szCs w:val="16"/>
                <w:color w:val="auto"/>
              </w:rPr>
              <w:t>2,749,017</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1,017,231</w:t>
            </w:r>
          </w:p>
        </w:tc>
        <w:tc>
          <w:tcPr>
            <w:tcW w:w="80" w:type="dxa"/>
            <w:vAlign w:val="bottom"/>
          </w:tcPr>
          <w:p>
            <w:pPr>
              <w:spacing w:after="0"/>
              <w:rPr>
                <w:sz w:val="15"/>
                <w:szCs w:val="15"/>
                <w:color w:val="auto"/>
              </w:rPr>
            </w:pPr>
          </w:p>
        </w:tc>
      </w:tr>
      <w:tr>
        <w:trPr>
          <w:trHeight w:val="181"/>
        </w:trPr>
        <w:tc>
          <w:tcPr>
            <w:tcW w:w="3900" w:type="dxa"/>
            <w:vAlign w:val="bottom"/>
          </w:tcPr>
          <w:p>
            <w:pPr>
              <w:ind w:left="620"/>
              <w:spacing w:after="0" w:line="181" w:lineRule="exact"/>
              <w:rPr>
                <w:sz w:val="20"/>
                <w:szCs w:val="20"/>
                <w:color w:val="auto"/>
              </w:rPr>
            </w:pPr>
            <w:r>
              <w:rPr>
                <w:rFonts w:ascii="Arial" w:cs="Arial" w:eastAsia="Arial" w:hAnsi="Arial"/>
                <w:sz w:val="16"/>
                <w:szCs w:val="16"/>
                <w:color w:val="auto"/>
              </w:rPr>
              <w:t>More than 5 years</w:t>
            </w:r>
          </w:p>
        </w:tc>
        <w:tc>
          <w:tcPr>
            <w:tcW w:w="60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19,642,799</w:t>
            </w:r>
          </w:p>
        </w:tc>
        <w:tc>
          <w:tcPr>
            <w:tcW w:w="180" w:type="dxa"/>
            <w:vAlign w:val="bottom"/>
          </w:tcPr>
          <w:p>
            <w:pPr>
              <w:spacing w:after="0"/>
              <w:rPr>
                <w:sz w:val="15"/>
                <w:szCs w:val="15"/>
                <w:color w:val="auto"/>
              </w:rPr>
            </w:pP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5,883,472</w:t>
            </w:r>
          </w:p>
        </w:tc>
        <w:tc>
          <w:tcPr>
            <w:tcW w:w="80" w:type="dxa"/>
            <w:vAlign w:val="bottom"/>
          </w:tcPr>
          <w:p>
            <w:pPr>
              <w:spacing w:after="0"/>
              <w:rPr>
                <w:sz w:val="15"/>
                <w:szCs w:val="15"/>
                <w:color w:val="auto"/>
              </w:rPr>
            </w:pPr>
          </w:p>
        </w:tc>
      </w:tr>
      <w:tr>
        <w:trPr>
          <w:trHeight w:val="202"/>
        </w:trPr>
        <w:tc>
          <w:tcPr>
            <w:tcW w:w="3900" w:type="dxa"/>
            <w:vAlign w:val="bottom"/>
          </w:tcPr>
          <w:p>
            <w:pPr>
              <w:ind w:left="620"/>
              <w:spacing w:after="0"/>
              <w:rPr>
                <w:sz w:val="20"/>
                <w:szCs w:val="20"/>
                <w:color w:val="auto"/>
              </w:rPr>
            </w:pPr>
            <w:r>
              <w:rPr>
                <w:rFonts w:ascii="Arial" w:cs="Arial" w:eastAsia="Arial" w:hAnsi="Arial"/>
                <w:sz w:val="16"/>
                <w:szCs w:val="16"/>
                <w:color w:val="auto"/>
              </w:rPr>
              <w:t>Without maturity</w:t>
            </w:r>
          </w:p>
        </w:tc>
        <w:tc>
          <w:tcPr>
            <w:tcW w:w="6200" w:type="dxa"/>
            <w:vAlign w:val="bottom"/>
            <w:gridSpan w:val="4"/>
          </w:tcPr>
          <w:p>
            <w:pPr>
              <w:jc w:val="right"/>
              <w:ind w:right="180"/>
              <w:spacing w:after="0"/>
              <w:rPr>
                <w:sz w:val="20"/>
                <w:szCs w:val="20"/>
                <w:color w:val="auto"/>
              </w:rPr>
            </w:pPr>
            <w:r>
              <w:rPr>
                <w:rFonts w:ascii="Arial" w:cs="Arial" w:eastAsia="Arial" w:hAnsi="Arial"/>
                <w:sz w:val="16"/>
                <w:szCs w:val="16"/>
                <w:color w:val="auto"/>
              </w:rPr>
              <w:t>92,907</w:t>
            </w:r>
          </w:p>
        </w:tc>
        <w:tc>
          <w:tcPr>
            <w:tcW w:w="2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85"/>
        </w:trPr>
        <w:tc>
          <w:tcPr>
            <w:tcW w:w="3900" w:type="dxa"/>
            <w:vAlign w:val="bottom"/>
          </w:tcPr>
          <w:p>
            <w:pPr>
              <w:ind w:left="620"/>
              <w:spacing w:after="0" w:line="181" w:lineRule="exact"/>
              <w:rPr>
                <w:sz w:val="20"/>
                <w:szCs w:val="20"/>
                <w:color w:val="auto"/>
              </w:rPr>
            </w:pPr>
            <w:r>
              <w:rPr>
                <w:rFonts w:ascii="Arial" w:cs="Arial" w:eastAsia="Arial" w:hAnsi="Arial"/>
                <w:sz w:val="16"/>
                <w:szCs w:val="16"/>
                <w:b w:val="1"/>
                <w:bCs w:val="1"/>
                <w:color w:val="auto"/>
              </w:rPr>
              <w:t>Total</w:t>
            </w:r>
          </w:p>
        </w:tc>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38,473,678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8,623,875</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362"/>
        </w:trPr>
        <w:tc>
          <w:tcPr>
            <w:tcW w:w="3900" w:type="dxa"/>
            <w:vAlign w:val="bottom"/>
          </w:tcPr>
          <w:p>
            <w:pPr>
              <w:spacing w:after="0"/>
              <w:rPr>
                <w:sz w:val="24"/>
                <w:szCs w:val="24"/>
                <w:color w:val="auto"/>
              </w:rPr>
            </w:pPr>
          </w:p>
        </w:tc>
        <w:tc>
          <w:tcPr>
            <w:tcW w:w="6020" w:type="dxa"/>
            <w:vAlign w:val="bottom"/>
            <w:gridSpan w:val="3"/>
          </w:tcPr>
          <w:p>
            <w:pPr>
              <w:ind w:left="484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39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36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6"/>
                <w:szCs w:val="16"/>
                <w:b w:val="1"/>
                <w:bCs w:val="1"/>
                <w:color w:val="auto"/>
              </w:rPr>
              <w:t>At fair value</w:t>
            </w: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1"/>
        </w:trPr>
        <w:tc>
          <w:tcPr>
            <w:tcW w:w="39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36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through other</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39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36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comprehensive</w:t>
            </w:r>
          </w:p>
        </w:tc>
        <w:tc>
          <w:tcPr>
            <w:tcW w:w="108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15"/>
                <w:szCs w:val="15"/>
                <w:color w:val="auto"/>
              </w:rPr>
            </w:pPr>
          </w:p>
        </w:tc>
      </w:tr>
      <w:tr>
        <w:trPr>
          <w:trHeight w:val="198"/>
        </w:trPr>
        <w:tc>
          <w:tcPr>
            <w:tcW w:w="39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income</w:t>
            </w: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7"/>
                <w:szCs w:val="17"/>
                <w:color w:val="auto"/>
              </w:rPr>
            </w:pPr>
          </w:p>
        </w:tc>
      </w:tr>
      <w:tr>
        <w:trPr>
          <w:trHeight w:val="214"/>
        </w:trPr>
        <w:tc>
          <w:tcPr>
            <w:tcW w:w="39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05"/>
        </w:trPr>
        <w:tc>
          <w:tcPr>
            <w:tcW w:w="3900" w:type="dxa"/>
            <w:vAlign w:val="bottom"/>
          </w:tcPr>
          <w:p>
            <w:pPr>
              <w:ind w:left="620"/>
              <w:spacing w:after="0"/>
              <w:rPr>
                <w:sz w:val="20"/>
                <w:szCs w:val="20"/>
                <w:color w:val="auto"/>
              </w:rPr>
            </w:pPr>
            <w:r>
              <w:rPr>
                <w:rFonts w:ascii="Arial" w:cs="Arial" w:eastAsia="Arial" w:hAnsi="Arial"/>
                <w:sz w:val="16"/>
                <w:szCs w:val="16"/>
                <w:color w:val="auto"/>
              </w:rPr>
              <w:t>Up to 3 months</w:t>
            </w:r>
          </w:p>
        </w:tc>
        <w:tc>
          <w:tcPr>
            <w:tcW w:w="6200" w:type="dxa"/>
            <w:vAlign w:val="bottom"/>
            <w:gridSpan w:val="4"/>
          </w:tcPr>
          <w:p>
            <w:pPr>
              <w:jc w:val="right"/>
              <w:ind w:right="180"/>
              <w:spacing w:after="0"/>
              <w:rPr>
                <w:sz w:val="20"/>
                <w:szCs w:val="20"/>
                <w:color w:val="auto"/>
              </w:rPr>
            </w:pPr>
            <w:r>
              <w:rPr>
                <w:rFonts w:ascii="Arial" w:cs="Arial" w:eastAsia="Arial" w:hAnsi="Arial"/>
                <w:sz w:val="16"/>
                <w:szCs w:val="16"/>
                <w:color w:val="auto"/>
              </w:rPr>
              <w:t>4,631,496</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161,924</w:t>
            </w:r>
          </w:p>
        </w:tc>
        <w:tc>
          <w:tcPr>
            <w:tcW w:w="80" w:type="dxa"/>
            <w:vAlign w:val="bottom"/>
          </w:tcPr>
          <w:p>
            <w:pPr>
              <w:spacing w:after="0"/>
              <w:rPr>
                <w:sz w:val="24"/>
                <w:szCs w:val="24"/>
                <w:color w:val="auto"/>
              </w:rPr>
            </w:pPr>
          </w:p>
        </w:tc>
      </w:tr>
      <w:tr>
        <w:trPr>
          <w:trHeight w:val="181"/>
        </w:trPr>
        <w:tc>
          <w:tcPr>
            <w:tcW w:w="3900" w:type="dxa"/>
            <w:vAlign w:val="bottom"/>
          </w:tcPr>
          <w:p>
            <w:pPr>
              <w:ind w:left="620"/>
              <w:spacing w:after="0" w:line="181" w:lineRule="exact"/>
              <w:rPr>
                <w:sz w:val="20"/>
                <w:szCs w:val="20"/>
                <w:color w:val="auto"/>
              </w:rPr>
            </w:pPr>
            <w:r>
              <w:rPr>
                <w:rFonts w:ascii="Arial" w:cs="Arial" w:eastAsia="Arial" w:hAnsi="Arial"/>
                <w:sz w:val="16"/>
                <w:szCs w:val="16"/>
                <w:color w:val="auto"/>
              </w:rPr>
              <w:t>From 3 months to 1 year</w:t>
            </w:r>
          </w:p>
        </w:tc>
        <w:tc>
          <w:tcPr>
            <w:tcW w:w="6200" w:type="dxa"/>
            <w:vAlign w:val="bottom"/>
            <w:gridSpan w:val="4"/>
          </w:tcPr>
          <w:p>
            <w:pPr>
              <w:jc w:val="right"/>
              <w:ind w:right="180"/>
              <w:spacing w:after="0" w:line="181" w:lineRule="exact"/>
              <w:rPr>
                <w:sz w:val="20"/>
                <w:szCs w:val="20"/>
                <w:color w:val="auto"/>
              </w:rPr>
            </w:pPr>
            <w:r>
              <w:rPr>
                <w:rFonts w:ascii="Arial" w:cs="Arial" w:eastAsia="Arial" w:hAnsi="Arial"/>
                <w:sz w:val="16"/>
                <w:szCs w:val="16"/>
                <w:color w:val="auto"/>
              </w:rPr>
              <w:t>8,960,899</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196,986</w:t>
            </w:r>
          </w:p>
        </w:tc>
        <w:tc>
          <w:tcPr>
            <w:tcW w:w="80" w:type="dxa"/>
            <w:vAlign w:val="bottom"/>
          </w:tcPr>
          <w:p>
            <w:pPr>
              <w:spacing w:after="0"/>
              <w:rPr>
                <w:sz w:val="15"/>
                <w:szCs w:val="15"/>
                <w:color w:val="auto"/>
              </w:rPr>
            </w:pPr>
          </w:p>
        </w:tc>
      </w:tr>
      <w:tr>
        <w:trPr>
          <w:trHeight w:val="181"/>
        </w:trPr>
        <w:tc>
          <w:tcPr>
            <w:tcW w:w="3900" w:type="dxa"/>
            <w:vAlign w:val="bottom"/>
          </w:tcPr>
          <w:p>
            <w:pPr>
              <w:ind w:left="620"/>
              <w:spacing w:after="0" w:line="181" w:lineRule="exact"/>
              <w:rPr>
                <w:sz w:val="20"/>
                <w:szCs w:val="20"/>
                <w:color w:val="auto"/>
              </w:rPr>
            </w:pPr>
            <w:r>
              <w:rPr>
                <w:rFonts w:ascii="Arial" w:cs="Arial" w:eastAsia="Arial" w:hAnsi="Arial"/>
                <w:sz w:val="16"/>
                <w:szCs w:val="16"/>
                <w:color w:val="auto"/>
              </w:rPr>
              <w:t>From 1 to 3 years</w:t>
            </w:r>
          </w:p>
        </w:tc>
        <w:tc>
          <w:tcPr>
            <w:tcW w:w="6200" w:type="dxa"/>
            <w:vAlign w:val="bottom"/>
            <w:gridSpan w:val="4"/>
          </w:tcPr>
          <w:p>
            <w:pPr>
              <w:jc w:val="right"/>
              <w:ind w:right="180"/>
              <w:spacing w:after="0" w:line="181" w:lineRule="exact"/>
              <w:rPr>
                <w:sz w:val="20"/>
                <w:szCs w:val="20"/>
                <w:color w:val="auto"/>
              </w:rPr>
            </w:pPr>
            <w:r>
              <w:rPr>
                <w:rFonts w:ascii="Arial" w:cs="Arial" w:eastAsia="Arial" w:hAnsi="Arial"/>
                <w:sz w:val="16"/>
                <w:szCs w:val="16"/>
                <w:color w:val="auto"/>
              </w:rPr>
              <w:t>5,259,160</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642,039</w:t>
            </w:r>
          </w:p>
        </w:tc>
        <w:tc>
          <w:tcPr>
            <w:tcW w:w="80" w:type="dxa"/>
            <w:vAlign w:val="bottom"/>
          </w:tcPr>
          <w:p>
            <w:pPr>
              <w:spacing w:after="0"/>
              <w:rPr>
                <w:sz w:val="15"/>
                <w:szCs w:val="15"/>
                <w:color w:val="auto"/>
              </w:rPr>
            </w:pPr>
          </w:p>
        </w:tc>
      </w:tr>
      <w:tr>
        <w:trPr>
          <w:trHeight w:val="181"/>
        </w:trPr>
        <w:tc>
          <w:tcPr>
            <w:tcW w:w="3900" w:type="dxa"/>
            <w:vAlign w:val="bottom"/>
          </w:tcPr>
          <w:p>
            <w:pPr>
              <w:ind w:left="620"/>
              <w:spacing w:after="0" w:line="181" w:lineRule="exact"/>
              <w:rPr>
                <w:sz w:val="20"/>
                <w:szCs w:val="20"/>
                <w:color w:val="auto"/>
              </w:rPr>
            </w:pPr>
            <w:r>
              <w:rPr>
                <w:rFonts w:ascii="Arial" w:cs="Arial" w:eastAsia="Arial" w:hAnsi="Arial"/>
                <w:sz w:val="16"/>
                <w:szCs w:val="16"/>
                <w:color w:val="auto"/>
              </w:rPr>
              <w:t>From 3 to 5 years</w:t>
            </w:r>
          </w:p>
        </w:tc>
        <w:tc>
          <w:tcPr>
            <w:tcW w:w="6200" w:type="dxa"/>
            <w:vAlign w:val="bottom"/>
            <w:gridSpan w:val="4"/>
          </w:tcPr>
          <w:p>
            <w:pPr>
              <w:jc w:val="right"/>
              <w:ind w:right="180"/>
              <w:spacing w:after="0" w:line="181" w:lineRule="exact"/>
              <w:rPr>
                <w:sz w:val="20"/>
                <w:szCs w:val="20"/>
                <w:color w:val="auto"/>
              </w:rPr>
            </w:pPr>
            <w:r>
              <w:rPr>
                <w:rFonts w:ascii="Arial" w:cs="Arial" w:eastAsia="Arial" w:hAnsi="Arial"/>
                <w:sz w:val="16"/>
                <w:szCs w:val="16"/>
                <w:color w:val="auto"/>
              </w:rPr>
              <w:t>5,176,129</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2,211,166</w:t>
            </w:r>
          </w:p>
        </w:tc>
        <w:tc>
          <w:tcPr>
            <w:tcW w:w="80" w:type="dxa"/>
            <w:vAlign w:val="bottom"/>
          </w:tcPr>
          <w:p>
            <w:pPr>
              <w:spacing w:after="0"/>
              <w:rPr>
                <w:sz w:val="15"/>
                <w:szCs w:val="15"/>
                <w:color w:val="auto"/>
              </w:rPr>
            </w:pPr>
          </w:p>
        </w:tc>
      </w:tr>
      <w:tr>
        <w:trPr>
          <w:trHeight w:val="181"/>
        </w:trPr>
        <w:tc>
          <w:tcPr>
            <w:tcW w:w="3900" w:type="dxa"/>
            <w:vAlign w:val="bottom"/>
          </w:tcPr>
          <w:p>
            <w:pPr>
              <w:ind w:left="620"/>
              <w:spacing w:after="0" w:line="181" w:lineRule="exact"/>
              <w:rPr>
                <w:sz w:val="20"/>
                <w:szCs w:val="20"/>
                <w:color w:val="auto"/>
              </w:rPr>
            </w:pPr>
            <w:r>
              <w:rPr>
                <w:rFonts w:ascii="Arial" w:cs="Arial" w:eastAsia="Arial" w:hAnsi="Arial"/>
                <w:sz w:val="16"/>
                <w:szCs w:val="16"/>
                <w:color w:val="auto"/>
              </w:rPr>
              <w:t>More than 5 years</w:t>
            </w:r>
          </w:p>
        </w:tc>
        <w:tc>
          <w:tcPr>
            <w:tcW w:w="60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15,422,394</w:t>
            </w:r>
          </w:p>
        </w:tc>
        <w:tc>
          <w:tcPr>
            <w:tcW w:w="180" w:type="dxa"/>
            <w:vAlign w:val="bottom"/>
          </w:tcPr>
          <w:p>
            <w:pPr>
              <w:spacing w:after="0"/>
              <w:rPr>
                <w:sz w:val="15"/>
                <w:szCs w:val="15"/>
                <w:color w:val="auto"/>
              </w:rPr>
            </w:pP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5,561,666</w:t>
            </w:r>
          </w:p>
        </w:tc>
        <w:tc>
          <w:tcPr>
            <w:tcW w:w="80" w:type="dxa"/>
            <w:vAlign w:val="bottom"/>
          </w:tcPr>
          <w:p>
            <w:pPr>
              <w:spacing w:after="0"/>
              <w:rPr>
                <w:sz w:val="15"/>
                <w:szCs w:val="15"/>
                <w:color w:val="auto"/>
              </w:rPr>
            </w:pPr>
          </w:p>
        </w:tc>
      </w:tr>
      <w:tr>
        <w:trPr>
          <w:trHeight w:val="202"/>
        </w:trPr>
        <w:tc>
          <w:tcPr>
            <w:tcW w:w="3900" w:type="dxa"/>
            <w:vAlign w:val="bottom"/>
          </w:tcPr>
          <w:p>
            <w:pPr>
              <w:ind w:left="620"/>
              <w:spacing w:after="0"/>
              <w:rPr>
                <w:sz w:val="20"/>
                <w:szCs w:val="20"/>
                <w:color w:val="auto"/>
              </w:rPr>
            </w:pPr>
            <w:r>
              <w:rPr>
                <w:rFonts w:ascii="Arial" w:cs="Arial" w:eastAsia="Arial" w:hAnsi="Arial"/>
                <w:sz w:val="16"/>
                <w:szCs w:val="16"/>
                <w:color w:val="auto"/>
              </w:rPr>
              <w:t>Without maturity</w:t>
            </w:r>
          </w:p>
        </w:tc>
        <w:tc>
          <w:tcPr>
            <w:tcW w:w="6200" w:type="dxa"/>
            <w:vAlign w:val="bottom"/>
            <w:gridSpan w:val="4"/>
          </w:tcPr>
          <w:p>
            <w:pPr>
              <w:jc w:val="right"/>
              <w:ind w:right="180"/>
              <w:spacing w:after="0"/>
              <w:rPr>
                <w:sz w:val="20"/>
                <w:szCs w:val="20"/>
                <w:color w:val="auto"/>
              </w:rPr>
            </w:pPr>
            <w:r>
              <w:rPr>
                <w:rFonts w:ascii="Arial" w:cs="Arial" w:eastAsia="Arial" w:hAnsi="Arial"/>
                <w:sz w:val="16"/>
                <w:szCs w:val="16"/>
                <w:color w:val="auto"/>
              </w:rPr>
              <w:t>147,264</w:t>
            </w:r>
          </w:p>
        </w:tc>
        <w:tc>
          <w:tcPr>
            <w:tcW w:w="2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85"/>
        </w:trPr>
        <w:tc>
          <w:tcPr>
            <w:tcW w:w="3900" w:type="dxa"/>
            <w:vAlign w:val="bottom"/>
          </w:tcPr>
          <w:p>
            <w:pPr>
              <w:ind w:left="620"/>
              <w:spacing w:after="0" w:line="181" w:lineRule="exact"/>
              <w:rPr>
                <w:sz w:val="20"/>
                <w:szCs w:val="20"/>
                <w:color w:val="auto"/>
              </w:rPr>
            </w:pPr>
            <w:r>
              <w:rPr>
                <w:rFonts w:ascii="Arial" w:cs="Arial" w:eastAsia="Arial" w:hAnsi="Arial"/>
                <w:sz w:val="16"/>
                <w:szCs w:val="16"/>
                <w:b w:val="1"/>
                <w:bCs w:val="1"/>
                <w:color w:val="auto"/>
              </w:rPr>
              <w:t>Total</w:t>
            </w:r>
          </w:p>
        </w:tc>
        <w:tc>
          <w:tcPr>
            <w:tcW w:w="4860" w:type="dxa"/>
            <w:vAlign w:val="bottom"/>
            <w:gridSpan w:val="2"/>
          </w:tcPr>
          <w:p>
            <w:pPr>
              <w:spacing w:after="0"/>
              <w:rPr>
                <w:sz w:val="16"/>
                <w:szCs w:val="16"/>
                <w:color w:val="auto"/>
              </w:rPr>
            </w:pPr>
          </w:p>
        </w:tc>
        <w:tc>
          <w:tcPr>
            <w:tcW w:w="11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39,597,342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8,773,781</w:t>
            </w:r>
          </w:p>
        </w:tc>
        <w:tc>
          <w:tcPr>
            <w:tcW w:w="80" w:type="dxa"/>
            <w:vAlign w:val="bottom"/>
          </w:tcPr>
          <w:p>
            <w:pPr>
              <w:spacing w:after="0"/>
              <w:rPr>
                <w:sz w:val="16"/>
                <w:szCs w:val="16"/>
                <w:color w:val="auto"/>
              </w:rPr>
            </w:pPr>
          </w:p>
        </w:tc>
      </w:tr>
      <w:tr>
        <w:trPr>
          <w:trHeight w:val="547"/>
        </w:trPr>
        <w:tc>
          <w:tcPr>
            <w:tcW w:w="3900" w:type="dxa"/>
            <w:vAlign w:val="bottom"/>
          </w:tcPr>
          <w:p>
            <w:pPr>
              <w:spacing w:after="0"/>
              <w:rPr>
                <w:sz w:val="24"/>
                <w:szCs w:val="24"/>
                <w:color w:val="auto"/>
              </w:rPr>
            </w:pPr>
          </w:p>
        </w:tc>
        <w:tc>
          <w:tcPr>
            <w:tcW w:w="4840" w:type="dxa"/>
            <w:vAlign w:val="bottom"/>
          </w:tcPr>
          <w:p>
            <w:pPr>
              <w:jc w:val="right"/>
              <w:ind w:right="2860"/>
              <w:spacing w:after="0"/>
              <w:rPr>
                <w:sz w:val="20"/>
                <w:szCs w:val="20"/>
                <w:color w:val="auto"/>
              </w:rPr>
            </w:pPr>
            <w:r>
              <w:rPr>
                <w:rFonts w:ascii="Arial" w:cs="Arial" w:eastAsia="Arial" w:hAnsi="Arial"/>
                <w:sz w:val="16"/>
                <w:szCs w:val="16"/>
                <w:color w:val="auto"/>
              </w:rPr>
              <w:t>- 69 -</w:t>
            </w:r>
          </w:p>
        </w:tc>
        <w:tc>
          <w:tcPr>
            <w:tcW w:w="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
        </w:trPr>
        <w:tc>
          <w:tcPr>
            <w:tcW w:w="390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16" w:right="3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tcPr>
          <w:p>
            <w:pPr>
              <w:spacing w:after="0"/>
              <w:rPr>
                <w:sz w:val="20"/>
                <w:szCs w:val="20"/>
                <w:color w:val="auto"/>
              </w:rPr>
            </w:pPr>
            <w:r>
              <w:rPr>
                <w:rFonts w:ascii="Arial" w:cs="Arial" w:eastAsia="Arial" w:hAnsi="Arial"/>
                <w:sz w:val="16"/>
                <w:szCs w:val="16"/>
                <w:b w:val="1"/>
                <w:bCs w:val="1"/>
                <w:color w:val="auto"/>
              </w:rPr>
              <w:t>7  LOANS, NET</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8000" w:type="dxa"/>
            <w:vAlign w:val="bottom"/>
          </w:tcPr>
          <w:p>
            <w:pPr>
              <w:ind w:left="280"/>
              <w:spacing w:after="0"/>
              <w:rPr>
                <w:sz w:val="20"/>
                <w:szCs w:val="20"/>
                <w:color w:val="auto"/>
              </w:rPr>
            </w:pPr>
            <w:r>
              <w:rPr>
                <w:rFonts w:ascii="Arial" w:cs="Arial" w:eastAsia="Arial" w:hAnsi="Arial"/>
                <w:sz w:val="16"/>
                <w:szCs w:val="16"/>
                <w:color w:val="auto"/>
              </w:rPr>
              <w:t>a)  This item consists of the following:</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0" w:type="dxa"/>
            <w:vAlign w:val="bottom"/>
          </w:tcPr>
          <w:p>
            <w:pPr>
              <w:spacing w:after="0"/>
              <w:rPr>
                <w:sz w:val="24"/>
                <w:szCs w:val="24"/>
                <w:color w:val="auto"/>
              </w:rPr>
            </w:pPr>
          </w:p>
        </w:tc>
        <w:tc>
          <w:tcPr>
            <w:tcW w:w="1800" w:type="dxa"/>
            <w:vAlign w:val="bottom"/>
            <w:gridSpan w:val="2"/>
          </w:tcPr>
          <w:p>
            <w:pPr>
              <w:ind w:left="74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8000" w:type="dxa"/>
            <w:vAlign w:val="bottom"/>
          </w:tcPr>
          <w:p>
            <w:pPr>
              <w:ind w:left="620"/>
              <w:spacing w:after="0"/>
              <w:rPr>
                <w:sz w:val="20"/>
                <w:szCs w:val="20"/>
                <w:color w:val="auto"/>
              </w:rPr>
            </w:pPr>
            <w:r>
              <w:rPr>
                <w:rFonts w:ascii="Arial" w:cs="Arial" w:eastAsia="Arial" w:hAnsi="Arial"/>
                <w:sz w:val="16"/>
                <w:szCs w:val="16"/>
                <w:b w:val="1"/>
                <w:bCs w:val="1"/>
                <w:color w:val="auto"/>
              </w:rPr>
              <w:t>Direct loans -</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000" w:type="dxa"/>
            <w:vAlign w:val="bottom"/>
          </w:tcPr>
          <w:p>
            <w:pPr>
              <w:ind w:left="620"/>
              <w:spacing w:after="0" w:line="181" w:lineRule="exact"/>
              <w:rPr>
                <w:sz w:val="20"/>
                <w:szCs w:val="20"/>
                <w:color w:val="auto"/>
              </w:rPr>
            </w:pPr>
            <w:r>
              <w:rPr>
                <w:rFonts w:ascii="Arial" w:cs="Arial" w:eastAsia="Arial" w:hAnsi="Arial"/>
                <w:sz w:val="16"/>
                <w:szCs w:val="16"/>
                <w:color w:val="auto"/>
              </w:rPr>
              <w:t>Loans</w:t>
            </w:r>
          </w:p>
        </w:tc>
        <w:tc>
          <w:tcPr>
            <w:tcW w:w="2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122,308,754</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118,396,820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00" w:type="dxa"/>
            <w:vAlign w:val="bottom"/>
          </w:tcPr>
          <w:p>
            <w:pPr>
              <w:ind w:left="620"/>
              <w:spacing w:after="0" w:line="181" w:lineRule="exact"/>
              <w:rPr>
                <w:sz w:val="20"/>
                <w:szCs w:val="20"/>
                <w:color w:val="auto"/>
              </w:rPr>
            </w:pPr>
            <w:r>
              <w:rPr>
                <w:rFonts w:ascii="Arial" w:cs="Arial" w:eastAsia="Arial" w:hAnsi="Arial"/>
                <w:sz w:val="16"/>
                <w:szCs w:val="16"/>
                <w:color w:val="auto"/>
              </w:rPr>
              <w:t>Credit cards</w:t>
            </w:r>
          </w:p>
        </w:tc>
        <w:tc>
          <w:tcPr>
            <w:tcW w:w="2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6,716,700</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6,223,711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00" w:type="dxa"/>
            <w:vAlign w:val="bottom"/>
          </w:tcPr>
          <w:p>
            <w:pPr>
              <w:ind w:left="620"/>
              <w:spacing w:after="0" w:line="181" w:lineRule="exact"/>
              <w:rPr>
                <w:sz w:val="20"/>
                <w:szCs w:val="20"/>
                <w:color w:val="auto"/>
              </w:rPr>
            </w:pPr>
            <w:r>
              <w:rPr>
                <w:rFonts w:ascii="Arial" w:cs="Arial" w:eastAsia="Arial" w:hAnsi="Arial"/>
                <w:sz w:val="16"/>
                <w:szCs w:val="16"/>
                <w:color w:val="auto"/>
              </w:rPr>
              <w:t>Leasing receivables</w:t>
            </w:r>
          </w:p>
        </w:tc>
        <w:tc>
          <w:tcPr>
            <w:tcW w:w="2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5,019,366</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5,260,182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00" w:type="dxa"/>
            <w:vAlign w:val="bottom"/>
          </w:tcPr>
          <w:p>
            <w:pPr>
              <w:ind w:left="620"/>
              <w:spacing w:after="0" w:line="181" w:lineRule="exact"/>
              <w:rPr>
                <w:sz w:val="20"/>
                <w:szCs w:val="20"/>
                <w:color w:val="auto"/>
              </w:rPr>
            </w:pPr>
            <w:r>
              <w:rPr>
                <w:rFonts w:ascii="Arial" w:cs="Arial" w:eastAsia="Arial" w:hAnsi="Arial"/>
                <w:sz w:val="16"/>
                <w:szCs w:val="16"/>
                <w:color w:val="auto"/>
              </w:rPr>
              <w:t>Discounted notes</w:t>
            </w:r>
          </w:p>
        </w:tc>
        <w:tc>
          <w:tcPr>
            <w:tcW w:w="2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4,098,691</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3,391,576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00" w:type="dxa"/>
            <w:vAlign w:val="bottom"/>
          </w:tcPr>
          <w:p>
            <w:pPr>
              <w:ind w:left="620"/>
              <w:spacing w:after="0" w:line="181" w:lineRule="exact"/>
              <w:rPr>
                <w:sz w:val="20"/>
                <w:szCs w:val="20"/>
                <w:color w:val="auto"/>
              </w:rPr>
            </w:pPr>
            <w:r>
              <w:rPr>
                <w:rFonts w:ascii="Arial" w:cs="Arial" w:eastAsia="Arial" w:hAnsi="Arial"/>
                <w:sz w:val="16"/>
                <w:szCs w:val="16"/>
                <w:color w:val="auto"/>
              </w:rPr>
              <w:t>Factoring receivables and confirming</w:t>
            </w:r>
          </w:p>
        </w:tc>
        <w:tc>
          <w:tcPr>
            <w:tcW w:w="2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3,598,101</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3,243,531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00" w:type="dxa"/>
            <w:vAlign w:val="bottom"/>
          </w:tcPr>
          <w:p>
            <w:pPr>
              <w:ind w:left="620"/>
              <w:spacing w:after="0" w:line="181" w:lineRule="exact"/>
              <w:rPr>
                <w:sz w:val="20"/>
                <w:szCs w:val="20"/>
                <w:color w:val="auto"/>
              </w:rPr>
            </w:pPr>
            <w:r>
              <w:rPr>
                <w:rFonts w:ascii="Arial" w:cs="Arial" w:eastAsia="Arial" w:hAnsi="Arial"/>
                <w:sz w:val="16"/>
                <w:szCs w:val="16"/>
                <w:color w:val="auto"/>
              </w:rPr>
              <w:t>Advances and overdrafts in current account</w:t>
            </w:r>
          </w:p>
        </w:tc>
        <w:tc>
          <w:tcPr>
            <w:tcW w:w="2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56,637</w:t>
            </w: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132,231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20"/>
              <w:spacing w:after="0"/>
              <w:rPr>
                <w:sz w:val="20"/>
                <w:szCs w:val="20"/>
                <w:color w:val="auto"/>
              </w:rPr>
            </w:pPr>
            <w:r>
              <w:rPr>
                <w:rFonts w:ascii="Arial" w:cs="Arial" w:eastAsia="Arial" w:hAnsi="Arial"/>
                <w:sz w:val="16"/>
                <w:szCs w:val="16"/>
                <w:color w:val="auto"/>
              </w:rPr>
              <w:t>Refinanced loans</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2,009,723</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2,241,062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620"/>
              <w:spacing w:after="0"/>
              <w:rPr>
                <w:sz w:val="20"/>
                <w:szCs w:val="20"/>
                <w:color w:val="auto"/>
              </w:rPr>
            </w:pPr>
            <w:r>
              <w:rPr>
                <w:rFonts w:ascii="Arial" w:cs="Arial" w:eastAsia="Arial" w:hAnsi="Arial"/>
                <w:sz w:val="16"/>
                <w:szCs w:val="16"/>
                <w:b w:val="1"/>
                <w:bCs w:val="1"/>
                <w:color w:val="auto"/>
              </w:rPr>
              <w:t>Total direct loans</w:t>
            </w:r>
          </w:p>
        </w:tc>
        <w:tc>
          <w:tcPr>
            <w:tcW w:w="74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143,807,972</w:t>
            </w:r>
          </w:p>
        </w:tc>
        <w:tc>
          <w:tcPr>
            <w:tcW w:w="200" w:type="dxa"/>
            <w:vAlign w:val="bottom"/>
          </w:tcPr>
          <w:p>
            <w:pPr>
              <w:spacing w:after="0"/>
              <w:rPr>
                <w:sz w:val="17"/>
                <w:szCs w:val="17"/>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138,889,113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8000" w:type="dxa"/>
            <w:vAlign w:val="bottom"/>
          </w:tcPr>
          <w:p>
            <w:pPr>
              <w:ind w:left="620"/>
              <w:spacing w:after="0"/>
              <w:rPr>
                <w:sz w:val="20"/>
                <w:szCs w:val="20"/>
                <w:color w:val="auto"/>
              </w:rPr>
            </w:pPr>
            <w:r>
              <w:rPr>
                <w:rFonts w:ascii="Arial" w:cs="Arial" w:eastAsia="Arial" w:hAnsi="Arial"/>
                <w:sz w:val="16"/>
                <w:szCs w:val="16"/>
                <w:color w:val="auto"/>
              </w:rPr>
              <w:t>Internal overdue loans and under legal collection loans</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4,821,126</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5,430,132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0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Add (less) -</w:t>
            </w:r>
          </w:p>
        </w:tc>
        <w:tc>
          <w:tcPr>
            <w:tcW w:w="74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148,629,098</w:t>
            </w:r>
          </w:p>
        </w:tc>
        <w:tc>
          <w:tcPr>
            <w:tcW w:w="200" w:type="dxa"/>
            <w:vAlign w:val="bottom"/>
          </w:tcPr>
          <w:p>
            <w:pPr>
              <w:spacing w:after="0"/>
              <w:rPr>
                <w:sz w:val="17"/>
                <w:szCs w:val="17"/>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144,319,245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80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20"/>
              <w:spacing w:after="0"/>
              <w:rPr>
                <w:sz w:val="20"/>
                <w:szCs w:val="20"/>
                <w:color w:val="auto"/>
              </w:rPr>
            </w:pPr>
            <w:r>
              <w:rPr>
                <w:rFonts w:ascii="Arial" w:cs="Arial" w:eastAsia="Arial" w:hAnsi="Arial"/>
                <w:sz w:val="16"/>
                <w:szCs w:val="16"/>
                <w:color w:val="auto"/>
              </w:rPr>
              <w:t>Accrued interest</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1,355,856</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1,413,028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000" w:type="dxa"/>
            <w:vAlign w:val="bottom"/>
          </w:tcPr>
          <w:p>
            <w:pPr>
              <w:ind w:left="620"/>
              <w:spacing w:after="0" w:line="156" w:lineRule="exact"/>
              <w:rPr>
                <w:sz w:val="20"/>
                <w:szCs w:val="20"/>
                <w:color w:val="auto"/>
              </w:rPr>
            </w:pPr>
            <w:r>
              <w:rPr>
                <w:rFonts w:ascii="Arial" w:cs="Arial" w:eastAsia="Arial" w:hAnsi="Arial"/>
                <w:sz w:val="16"/>
                <w:szCs w:val="16"/>
                <w:color w:val="auto"/>
              </w:rPr>
              <w:t>Total direct loans</w:t>
            </w:r>
          </w:p>
        </w:tc>
        <w:tc>
          <w:tcPr>
            <w:tcW w:w="740" w:type="dxa"/>
            <w:vAlign w:val="bottom"/>
          </w:tcPr>
          <w:p>
            <w:pPr>
              <w:spacing w:after="0"/>
              <w:rPr>
                <w:sz w:val="13"/>
                <w:szCs w:val="13"/>
                <w:color w:val="auto"/>
              </w:rPr>
            </w:pPr>
          </w:p>
        </w:tc>
        <w:tc>
          <w:tcPr>
            <w:tcW w:w="10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149,984,954</w:t>
            </w:r>
          </w:p>
        </w:tc>
        <w:tc>
          <w:tcPr>
            <w:tcW w:w="20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145,732,273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620"/>
              <w:spacing w:after="0"/>
              <w:rPr>
                <w:sz w:val="20"/>
                <w:szCs w:val="20"/>
                <w:color w:val="auto"/>
              </w:rPr>
            </w:pPr>
            <w:r>
              <w:rPr>
                <w:rFonts w:ascii="Arial" w:cs="Arial" w:eastAsia="Arial" w:hAnsi="Arial"/>
                <w:sz w:val="16"/>
                <w:szCs w:val="16"/>
                <w:color w:val="auto"/>
              </w:rPr>
              <w:t>Allowance for direct loan losses, Note 30.1(c)</w:t>
            </w:r>
          </w:p>
        </w:tc>
        <w:tc>
          <w:tcPr>
            <w:tcW w:w="2000" w:type="dxa"/>
            <w:vAlign w:val="bottom"/>
            <w:gridSpan w:val="3"/>
          </w:tcPr>
          <w:p>
            <w:pPr>
              <w:jc w:val="right"/>
              <w:ind w:right="160"/>
              <w:spacing w:after="0"/>
              <w:rPr>
                <w:sz w:val="20"/>
                <w:szCs w:val="20"/>
                <w:color w:val="auto"/>
              </w:rPr>
            </w:pPr>
            <w:r>
              <w:rPr>
                <w:rFonts w:ascii="Arial" w:cs="Arial" w:eastAsia="Arial" w:hAnsi="Arial"/>
                <w:sz w:val="16"/>
                <w:szCs w:val="16"/>
                <w:color w:val="auto"/>
              </w:rPr>
              <w:t>(7,669,950)</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(7,994,977)</w:t>
            </w:r>
          </w:p>
        </w:tc>
        <w:tc>
          <w:tcPr>
            <w:tcW w:w="0" w:type="dxa"/>
            <w:vAlign w:val="bottom"/>
          </w:tcPr>
          <w:p>
            <w:pPr>
              <w:spacing w:after="0"/>
              <w:rPr>
                <w:sz w:val="1"/>
                <w:szCs w:val="1"/>
                <w:color w:val="auto"/>
              </w:rPr>
            </w:pPr>
          </w:p>
        </w:tc>
      </w:tr>
      <w:tr>
        <w:trPr>
          <w:trHeight w:val="185"/>
        </w:trPr>
        <w:tc>
          <w:tcPr>
            <w:tcW w:w="8000" w:type="dxa"/>
            <w:vAlign w:val="bottom"/>
          </w:tcPr>
          <w:p>
            <w:pPr>
              <w:ind w:left="620"/>
              <w:spacing w:after="0" w:line="181" w:lineRule="exact"/>
              <w:rPr>
                <w:sz w:val="20"/>
                <w:szCs w:val="20"/>
                <w:color w:val="auto"/>
              </w:rPr>
            </w:pPr>
            <w:r>
              <w:rPr>
                <w:rFonts w:ascii="Arial" w:cs="Arial" w:eastAsia="Arial" w:hAnsi="Arial"/>
                <w:sz w:val="16"/>
                <w:szCs w:val="16"/>
                <w:b w:val="1"/>
                <w:bCs w:val="1"/>
                <w:color w:val="auto"/>
              </w:rPr>
              <w:t>Total direct loans, net</w:t>
            </w:r>
          </w:p>
        </w:tc>
        <w:tc>
          <w:tcPr>
            <w:tcW w:w="740" w:type="dxa"/>
            <w:vAlign w:val="bottom"/>
          </w:tcPr>
          <w:p>
            <w:pPr>
              <w:spacing w:after="0"/>
              <w:rPr>
                <w:sz w:val="16"/>
                <w:szCs w:val="16"/>
                <w:color w:val="auto"/>
              </w:rPr>
            </w:pPr>
          </w:p>
        </w:tc>
        <w:tc>
          <w:tcPr>
            <w:tcW w:w="10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142,315,004</w:t>
            </w:r>
          </w:p>
        </w:tc>
        <w:tc>
          <w:tcPr>
            <w:tcW w:w="20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137,737,296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000" w:type="dxa"/>
            <w:vAlign w:val="bottom"/>
          </w:tcPr>
          <w:p>
            <w:pPr>
              <w:ind w:left="280"/>
              <w:spacing w:after="0"/>
              <w:rPr>
                <w:sz w:val="20"/>
                <w:szCs w:val="20"/>
                <w:color w:val="auto"/>
              </w:rPr>
            </w:pPr>
            <w:r>
              <w:rPr>
                <w:rFonts w:ascii="Arial" w:cs="Arial" w:eastAsia="Arial" w:hAnsi="Arial"/>
                <w:sz w:val="16"/>
                <w:szCs w:val="16"/>
                <w:color w:val="auto"/>
              </w:rPr>
              <w:t>b)  As of December 31, 2025, and 2024, the composition of the gross credit balance is as follows:</w:t>
            </w:r>
          </w:p>
        </w:tc>
        <w:tc>
          <w:tcPr>
            <w:tcW w:w="7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0" w:type="dxa"/>
            <w:vAlign w:val="bottom"/>
          </w:tcPr>
          <w:p>
            <w:pPr>
              <w:spacing w:after="0"/>
              <w:rPr>
                <w:sz w:val="24"/>
                <w:szCs w:val="24"/>
                <w:color w:val="auto"/>
              </w:rPr>
            </w:pPr>
          </w:p>
        </w:tc>
        <w:tc>
          <w:tcPr>
            <w:tcW w:w="1800" w:type="dxa"/>
            <w:vAlign w:val="bottom"/>
            <w:gridSpan w:val="2"/>
          </w:tcPr>
          <w:p>
            <w:pPr>
              <w:ind w:left="74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8000" w:type="dxa"/>
            <w:vAlign w:val="bottom"/>
          </w:tcPr>
          <w:p>
            <w:pPr>
              <w:ind w:left="620"/>
              <w:spacing w:after="0"/>
              <w:rPr>
                <w:sz w:val="20"/>
                <w:szCs w:val="20"/>
                <w:color w:val="auto"/>
              </w:rPr>
            </w:pPr>
            <w:r>
              <w:rPr>
                <w:rFonts w:ascii="Arial" w:cs="Arial" w:eastAsia="Arial" w:hAnsi="Arial"/>
                <w:sz w:val="16"/>
                <w:szCs w:val="16"/>
                <w:color w:val="auto"/>
              </w:rPr>
              <w:t>Direct loans, Note 7(a)</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148,629,098</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144,319,245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000" w:type="dxa"/>
            <w:vAlign w:val="bottom"/>
          </w:tcPr>
          <w:p>
            <w:pPr>
              <w:ind w:left="620"/>
              <w:spacing w:after="0" w:line="181" w:lineRule="exact"/>
              <w:rPr>
                <w:sz w:val="20"/>
                <w:szCs w:val="20"/>
                <w:color w:val="auto"/>
              </w:rPr>
            </w:pPr>
            <w:r>
              <w:rPr>
                <w:rFonts w:ascii="Arial" w:cs="Arial" w:eastAsia="Arial" w:hAnsi="Arial"/>
                <w:sz w:val="16"/>
                <w:szCs w:val="16"/>
                <w:color w:val="auto"/>
              </w:rPr>
              <w:t>Indirect loans, Note 18(a)</w:t>
            </w:r>
          </w:p>
        </w:tc>
        <w:tc>
          <w:tcPr>
            <w:tcW w:w="18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21,267,157</w:t>
            </w:r>
          </w:p>
        </w:tc>
        <w:tc>
          <w:tcPr>
            <w:tcW w:w="200" w:type="dxa"/>
            <w:vAlign w:val="bottom"/>
          </w:tcPr>
          <w:p>
            <w:pPr>
              <w:spacing w:after="0"/>
              <w:rPr>
                <w:sz w:val="15"/>
                <w:szCs w:val="15"/>
                <w:color w:val="auto"/>
              </w:rPr>
            </w:pPr>
          </w:p>
        </w:tc>
        <w:tc>
          <w:tcPr>
            <w:tcW w:w="10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22,139,321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620"/>
              <w:spacing w:after="0"/>
              <w:rPr>
                <w:sz w:val="20"/>
                <w:szCs w:val="20"/>
                <w:color w:val="auto"/>
              </w:rPr>
            </w:pPr>
            <w:r>
              <w:rPr>
                <w:rFonts w:ascii="Arial" w:cs="Arial" w:eastAsia="Arial" w:hAnsi="Arial"/>
                <w:sz w:val="16"/>
                <w:szCs w:val="16"/>
                <w:color w:val="auto"/>
              </w:rPr>
              <w:t>Due from customers on banker’s acceptances</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345,906</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528,184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000" w:type="dxa"/>
            <w:vAlign w:val="bottom"/>
          </w:tcPr>
          <w:p>
            <w:pPr>
              <w:ind w:left="620"/>
              <w:spacing w:after="0" w:line="181" w:lineRule="exact"/>
              <w:rPr>
                <w:sz w:val="20"/>
                <w:szCs w:val="20"/>
                <w:color w:val="auto"/>
              </w:rPr>
            </w:pPr>
            <w:r>
              <w:rPr>
                <w:rFonts w:ascii="Arial" w:cs="Arial" w:eastAsia="Arial" w:hAnsi="Arial"/>
                <w:sz w:val="16"/>
                <w:szCs w:val="16"/>
                <w:b w:val="1"/>
                <w:bCs w:val="1"/>
                <w:color w:val="auto"/>
              </w:rPr>
              <w:t>Total</w:t>
            </w:r>
          </w:p>
        </w:tc>
        <w:tc>
          <w:tcPr>
            <w:tcW w:w="740" w:type="dxa"/>
            <w:vAlign w:val="bottom"/>
          </w:tcPr>
          <w:p>
            <w:pPr>
              <w:spacing w:after="0"/>
              <w:rPr>
                <w:sz w:val="16"/>
                <w:szCs w:val="16"/>
                <w:color w:val="auto"/>
              </w:rPr>
            </w:pPr>
          </w:p>
        </w:tc>
        <w:tc>
          <w:tcPr>
            <w:tcW w:w="10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170,242,161</w:t>
            </w:r>
          </w:p>
        </w:tc>
        <w:tc>
          <w:tcPr>
            <w:tcW w:w="20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166,986,750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8000" w:type="dxa"/>
            <w:vAlign w:val="bottom"/>
          </w:tcPr>
          <w:p>
            <w:pPr>
              <w:ind w:left="5420"/>
              <w:spacing w:after="0"/>
              <w:rPr>
                <w:sz w:val="20"/>
                <w:szCs w:val="20"/>
                <w:color w:val="auto"/>
              </w:rPr>
            </w:pPr>
            <w:r>
              <w:rPr>
                <w:rFonts w:ascii="Arial" w:cs="Arial" w:eastAsia="Arial" w:hAnsi="Arial"/>
                <w:sz w:val="16"/>
                <w:szCs w:val="16"/>
                <w:color w:val="auto"/>
              </w:rPr>
              <w:t>- 70 -</w:t>
            </w:r>
          </w:p>
        </w:tc>
        <w:tc>
          <w:tcPr>
            <w:tcW w:w="7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0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75" w:name="page76"/>
    <w:bookmarkEnd w:id="75"/>
    <w:p>
      <w:pPr>
        <w:ind w:left="340"/>
        <w:spacing w:after="0"/>
        <w:rPr>
          <w:sz w:val="20"/>
          <w:szCs w:val="20"/>
          <w:color w:val="auto"/>
        </w:rPr>
      </w:pPr>
      <w:r>
        <w:rPr>
          <w:rFonts w:ascii="Arial" w:cs="Arial" w:eastAsia="Arial" w:hAnsi="Arial"/>
          <w:sz w:val="16"/>
          <w:szCs w:val="16"/>
          <w:color w:val="auto"/>
        </w:rPr>
        <w:t>The following table presents the movement of the gross balance of the credit portfolio by stage periods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1</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New loans,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liquidation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December</w:t>
            </w:r>
          </w:p>
        </w:tc>
        <w:tc>
          <w:tcPr>
            <w:tcW w:w="10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 to</w:t>
            </w:r>
          </w:p>
        </w:tc>
        <w:tc>
          <w:tcPr>
            <w:tcW w:w="9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 to</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 loan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31, 2024</w:t>
            </w:r>
          </w:p>
        </w:tc>
        <w:tc>
          <w:tcPr>
            <w:tcW w:w="1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Stage 2</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Stage 3</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from Stage 2</w:t>
            </w:r>
          </w:p>
        </w:tc>
        <w:tc>
          <w:tcPr>
            <w:tcW w:w="1080" w:type="dxa"/>
            <w:vAlign w:val="bottom"/>
            <w:gridSpan w:val="3"/>
          </w:tcPr>
          <w:p>
            <w:pPr>
              <w:ind w:left="100"/>
              <w:spacing w:after="0"/>
              <w:rPr>
                <w:sz w:val="20"/>
                <w:szCs w:val="20"/>
                <w:color w:val="auto"/>
              </w:rPr>
            </w:pPr>
            <w:r>
              <w:rPr>
                <w:rFonts w:ascii="Arial" w:cs="Arial" w:eastAsia="Arial" w:hAnsi="Arial"/>
                <w:sz w:val="13"/>
                <w:szCs w:val="13"/>
                <w:b w:val="1"/>
                <w:bCs w:val="1"/>
                <w:color w:val="auto"/>
              </w:rPr>
              <w:t>Stage 3</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9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89,105,601</w:t>
            </w: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(6,357,467)</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(469,266)</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3,576,054</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309,924</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1,023,019</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5,587,697</w:t>
            </w:r>
          </w:p>
        </w:tc>
        <w:tc>
          <w:tcPr>
            <w:tcW w:w="20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(5,550,866)</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87,224,696</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9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18,956,529</w:t>
            </w: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(2,064,585)</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(57,011)</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3,393,702</w:t>
            </w:r>
          </w:p>
        </w:tc>
        <w:tc>
          <w:tcPr>
            <w:tcW w:w="108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32,643</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7,760</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2,635,093</w:t>
            </w:r>
          </w:p>
        </w:tc>
        <w:tc>
          <w:tcPr>
            <w:tcW w:w="20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(764,478)</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22,139,653</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9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16,905,829</w:t>
            </w: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(9,011,684)</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(90,624)</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2,369,423</w:t>
            </w:r>
          </w:p>
        </w:tc>
        <w:tc>
          <w:tcPr>
            <w:tcW w:w="108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29,434</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(1,023,019)</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9,778,401</w:t>
            </w:r>
          </w:p>
        </w:tc>
        <w:tc>
          <w:tcPr>
            <w:tcW w:w="20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(351,549)</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18,606,211</w:t>
            </w: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14,392,541</w:t>
            </w:r>
          </w:p>
        </w:tc>
        <w:tc>
          <w:tcPr>
            <w:tcW w:w="1060" w:type="dxa"/>
            <w:vAlign w:val="bottom"/>
            <w:gridSpan w:val="3"/>
          </w:tcPr>
          <w:p>
            <w:pPr>
              <w:jc w:val="right"/>
              <w:ind w:right="122"/>
              <w:spacing w:after="0"/>
              <w:rPr>
                <w:sz w:val="20"/>
                <w:szCs w:val="20"/>
                <w:color w:val="auto"/>
              </w:rPr>
            </w:pPr>
            <w:r>
              <w:rPr>
                <w:rFonts w:ascii="Arial" w:cs="Arial" w:eastAsia="Arial" w:hAnsi="Arial"/>
                <w:sz w:val="13"/>
                <w:szCs w:val="13"/>
                <w:color w:val="auto"/>
              </w:rPr>
              <w:t>(5,532,737)</w:t>
            </w:r>
          </w:p>
        </w:tc>
        <w:tc>
          <w:tcPr>
            <w:tcW w:w="960" w:type="dxa"/>
            <w:vAlign w:val="bottom"/>
            <w:gridSpan w:val="2"/>
          </w:tcPr>
          <w:p>
            <w:pPr>
              <w:jc w:val="right"/>
              <w:ind w:right="122"/>
              <w:spacing w:after="0"/>
              <w:rPr>
                <w:sz w:val="20"/>
                <w:szCs w:val="20"/>
                <w:color w:val="auto"/>
              </w:rPr>
            </w:pPr>
            <w:r>
              <w:rPr>
                <w:rFonts w:ascii="Arial" w:cs="Arial" w:eastAsia="Arial" w:hAnsi="Arial"/>
                <w:sz w:val="13"/>
                <w:szCs w:val="13"/>
                <w:color w:val="auto"/>
              </w:rPr>
              <w:t>(72,133)</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2,625,644</w:t>
            </w:r>
          </w:p>
        </w:tc>
        <w:tc>
          <w:tcPr>
            <w:tcW w:w="1080" w:type="dxa"/>
            <w:vAlign w:val="bottom"/>
            <w:gridSpan w:val="3"/>
          </w:tcPr>
          <w:p>
            <w:pPr>
              <w:jc w:val="right"/>
              <w:ind w:right="182"/>
              <w:spacing w:after="0"/>
              <w:rPr>
                <w:sz w:val="20"/>
                <w:szCs w:val="20"/>
                <w:color w:val="auto"/>
              </w:rPr>
            </w:pPr>
            <w:r>
              <w:rPr>
                <w:rFonts w:ascii="Arial" w:cs="Arial" w:eastAsia="Arial" w:hAnsi="Arial"/>
                <w:sz w:val="13"/>
                <w:szCs w:val="13"/>
                <w:color w:val="auto"/>
              </w:rPr>
              <w:t>116,152</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(7,760)</w:t>
            </w:r>
          </w:p>
        </w:tc>
        <w:tc>
          <w:tcPr>
            <w:tcW w:w="800" w:type="dxa"/>
            <w:vAlign w:val="bottom"/>
          </w:tcPr>
          <w:p>
            <w:pPr>
              <w:jc w:val="right"/>
              <w:spacing w:after="0"/>
              <w:rPr>
                <w:sz w:val="20"/>
                <w:szCs w:val="20"/>
                <w:color w:val="auto"/>
              </w:rPr>
            </w:pPr>
            <w:r>
              <w:rPr>
                <w:rFonts w:ascii="Arial" w:cs="Arial" w:eastAsia="Arial" w:hAnsi="Arial"/>
                <w:sz w:val="13"/>
                <w:szCs w:val="13"/>
                <w:color w:val="auto"/>
              </w:rPr>
              <w:t>6,288,017</w:t>
            </w:r>
          </w:p>
        </w:tc>
        <w:tc>
          <w:tcPr>
            <w:tcW w:w="200" w:type="dxa"/>
            <w:vAlign w:val="bottom"/>
          </w:tcPr>
          <w:p>
            <w:pPr>
              <w:spacing w:after="0"/>
              <w:rPr>
                <w:sz w:val="14"/>
                <w:szCs w:val="14"/>
                <w:color w:val="auto"/>
              </w:rPr>
            </w:pP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rPr>
                <w:sz w:val="20"/>
                <w:szCs w:val="20"/>
                <w:color w:val="auto"/>
              </w:rPr>
            </w:pPr>
            <w:r>
              <w:rPr>
                <w:rFonts w:ascii="Arial" w:cs="Arial" w:eastAsia="Arial" w:hAnsi="Arial"/>
                <w:sz w:val="13"/>
                <w:szCs w:val="13"/>
                <w:color w:val="auto"/>
              </w:rPr>
              <w:t>(360,304)</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17,449,420</w:t>
            </w: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139,360,500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(22,966,473</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(689,034</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11,964,823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488,153</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24,289,208</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(7,027,197</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145,419,980</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Stage 2</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New loans,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liquidation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December</w:t>
            </w:r>
          </w:p>
        </w:tc>
        <w:tc>
          <w:tcPr>
            <w:tcW w:w="10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 to</w:t>
            </w:r>
          </w:p>
        </w:tc>
        <w:tc>
          <w:tcPr>
            <w:tcW w:w="9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 to</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 Stage</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 loan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31, 2024</w:t>
            </w:r>
          </w:p>
        </w:tc>
        <w:tc>
          <w:tcPr>
            <w:tcW w:w="1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Stage 1</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Stage 3</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from Stage 1</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4,508,146</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(3,576,054)</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(1,324,351)</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6,357,467</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155,245</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71,068</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(893,639)</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(173,438)</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5,124,444</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4,492,325</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(3,393,702)</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(385,204)</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2,064,585</w:t>
            </w:r>
          </w:p>
        </w:tc>
        <w:tc>
          <w:tcPr>
            <w:tcW w:w="108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72,531</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462</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(370,485)</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(50,031)</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2,430,481</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4,243,585</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(2,369,423)</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(1,414,877)</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9,011,684</w:t>
            </w:r>
          </w:p>
        </w:tc>
        <w:tc>
          <w:tcPr>
            <w:tcW w:w="108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92,463</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(71,068)</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(5,386,341)</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(11,365)</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4,094,658</w:t>
            </w: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3,718,855</w:t>
            </w:r>
          </w:p>
        </w:tc>
        <w:tc>
          <w:tcPr>
            <w:tcW w:w="100" w:type="dxa"/>
            <w:vAlign w:val="bottom"/>
          </w:tcPr>
          <w:p>
            <w:pPr>
              <w:spacing w:after="0"/>
              <w:rPr>
                <w:sz w:val="14"/>
                <w:szCs w:val="14"/>
                <w:color w:val="auto"/>
              </w:rPr>
            </w:pPr>
          </w:p>
        </w:tc>
        <w:tc>
          <w:tcPr>
            <w:tcW w:w="1060" w:type="dxa"/>
            <w:vAlign w:val="bottom"/>
            <w:gridSpan w:val="3"/>
          </w:tcPr>
          <w:p>
            <w:pPr>
              <w:jc w:val="right"/>
              <w:ind w:right="122"/>
              <w:spacing w:after="0"/>
              <w:rPr>
                <w:sz w:val="20"/>
                <w:szCs w:val="20"/>
                <w:color w:val="auto"/>
              </w:rPr>
            </w:pPr>
            <w:r>
              <w:rPr>
                <w:rFonts w:ascii="Arial" w:cs="Arial" w:eastAsia="Arial" w:hAnsi="Arial"/>
                <w:sz w:val="13"/>
                <w:szCs w:val="13"/>
                <w:color w:val="auto"/>
              </w:rPr>
              <w:t>(2,625,644)</w:t>
            </w:r>
          </w:p>
        </w:tc>
        <w:tc>
          <w:tcPr>
            <w:tcW w:w="960" w:type="dxa"/>
            <w:vAlign w:val="bottom"/>
            <w:gridSpan w:val="2"/>
          </w:tcPr>
          <w:p>
            <w:pPr>
              <w:jc w:val="right"/>
              <w:ind w:right="122"/>
              <w:spacing w:after="0"/>
              <w:rPr>
                <w:sz w:val="20"/>
                <w:szCs w:val="20"/>
                <w:color w:val="auto"/>
              </w:rPr>
            </w:pPr>
            <w:r>
              <w:rPr>
                <w:rFonts w:ascii="Arial" w:cs="Arial" w:eastAsia="Arial" w:hAnsi="Arial"/>
                <w:sz w:val="13"/>
                <w:szCs w:val="13"/>
                <w:color w:val="auto"/>
              </w:rPr>
              <w:t>(1,346,489)</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5,532,737</w:t>
            </w:r>
          </w:p>
        </w:tc>
        <w:tc>
          <w:tcPr>
            <w:tcW w:w="1080" w:type="dxa"/>
            <w:vAlign w:val="bottom"/>
            <w:gridSpan w:val="3"/>
          </w:tcPr>
          <w:p>
            <w:pPr>
              <w:jc w:val="right"/>
              <w:ind w:right="182"/>
              <w:spacing w:after="0"/>
              <w:rPr>
                <w:sz w:val="20"/>
                <w:szCs w:val="20"/>
                <w:color w:val="auto"/>
              </w:rPr>
            </w:pPr>
            <w:r>
              <w:rPr>
                <w:rFonts w:ascii="Arial" w:cs="Arial" w:eastAsia="Arial" w:hAnsi="Arial"/>
                <w:sz w:val="13"/>
                <w:szCs w:val="13"/>
                <w:color w:val="auto"/>
              </w:rPr>
              <w:t>98,790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(462)</w:t>
            </w:r>
          </w:p>
        </w:tc>
        <w:tc>
          <w:tcPr>
            <w:tcW w:w="1000" w:type="dxa"/>
            <w:vAlign w:val="bottom"/>
            <w:gridSpan w:val="2"/>
          </w:tcPr>
          <w:p>
            <w:pPr>
              <w:jc w:val="right"/>
              <w:ind w:right="122"/>
              <w:spacing w:after="0"/>
              <w:rPr>
                <w:sz w:val="20"/>
                <w:szCs w:val="20"/>
                <w:color w:val="auto"/>
              </w:rPr>
            </w:pPr>
            <w:r>
              <w:rPr>
                <w:rFonts w:ascii="Arial" w:cs="Arial" w:eastAsia="Arial" w:hAnsi="Arial"/>
                <w:sz w:val="13"/>
                <w:szCs w:val="13"/>
                <w:color w:val="auto"/>
              </w:rPr>
              <w:t>(1,898,936)</w:t>
            </w: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rPr>
                <w:sz w:val="20"/>
                <w:szCs w:val="20"/>
                <w:color w:val="auto"/>
              </w:rPr>
            </w:pPr>
            <w:r>
              <w:rPr>
                <w:rFonts w:ascii="Arial" w:cs="Arial" w:eastAsia="Arial" w:hAnsi="Arial"/>
                <w:sz w:val="13"/>
                <w:szCs w:val="13"/>
                <w:color w:val="auto"/>
              </w:rPr>
              <w:t>(11,949)</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3,466,902</w:t>
            </w: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16,962,911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(11,964,823</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(4,470,921</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22,966,473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419,029</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(8,549,401</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(246,783</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15,116,485</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Stage 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New loans,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liquidation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December</w:t>
            </w:r>
          </w:p>
        </w:tc>
        <w:tc>
          <w:tcPr>
            <w:tcW w:w="10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 to</w:t>
            </w:r>
          </w:p>
        </w:tc>
        <w:tc>
          <w:tcPr>
            <w:tcW w:w="9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 to</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 Stage</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 loan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31, 2024</w:t>
            </w:r>
          </w:p>
        </w:tc>
        <w:tc>
          <w:tcPr>
            <w:tcW w:w="1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Stage 1</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Stage 2</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from Stage 1</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5,873,420</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(309,924)</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(155,245)</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469,266</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1,324,351</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307,257</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(1,954,164)</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(8,698)</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(202,923)</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5,343,340</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1,643,178</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(32,643)</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(72,531)</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57,011</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385,204</w:t>
            </w:r>
          </w:p>
        </w:tc>
        <w:tc>
          <w:tcPr>
            <w:tcW w:w="220" w:type="dxa"/>
            <w:vAlign w:val="bottom"/>
          </w:tcPr>
          <w:p>
            <w:pPr>
              <w:spacing w:after="0"/>
              <w:rPr>
                <w:sz w:val="12"/>
                <w:szCs w:val="12"/>
                <w:color w:val="auto"/>
              </w:rPr>
            </w:pP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(96)</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(308,771)</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(53,902)</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1,617,450</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1,687,703</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(29,434)</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(92,463)</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90,624</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1,414,877</w:t>
            </w:r>
          </w:p>
        </w:tc>
        <w:tc>
          <w:tcPr>
            <w:tcW w:w="220" w:type="dxa"/>
            <w:vAlign w:val="bottom"/>
          </w:tcPr>
          <w:p>
            <w:pPr>
              <w:spacing w:after="0"/>
              <w:rPr>
                <w:sz w:val="12"/>
                <w:szCs w:val="12"/>
                <w:color w:val="auto"/>
              </w:rPr>
            </w:pP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(307,257)</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(1,375,550)</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(30,759)</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1,357,741</w:t>
            </w: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1,459,038</w:t>
            </w:r>
          </w:p>
        </w:tc>
        <w:tc>
          <w:tcPr>
            <w:tcW w:w="100" w:type="dxa"/>
            <w:vAlign w:val="bottom"/>
          </w:tcPr>
          <w:p>
            <w:pPr>
              <w:spacing w:after="0"/>
              <w:rPr>
                <w:sz w:val="14"/>
                <w:szCs w:val="14"/>
                <w:color w:val="auto"/>
              </w:rPr>
            </w:pPr>
          </w:p>
        </w:tc>
        <w:tc>
          <w:tcPr>
            <w:tcW w:w="1060" w:type="dxa"/>
            <w:vAlign w:val="bottom"/>
            <w:gridSpan w:val="3"/>
          </w:tcPr>
          <w:p>
            <w:pPr>
              <w:jc w:val="right"/>
              <w:ind w:right="122"/>
              <w:spacing w:after="0"/>
              <w:rPr>
                <w:sz w:val="20"/>
                <w:szCs w:val="20"/>
                <w:color w:val="auto"/>
              </w:rPr>
            </w:pPr>
            <w:r>
              <w:rPr>
                <w:rFonts w:ascii="Arial" w:cs="Arial" w:eastAsia="Arial" w:hAnsi="Arial"/>
                <w:sz w:val="13"/>
                <w:szCs w:val="13"/>
                <w:color w:val="auto"/>
              </w:rPr>
              <w:t>(116,152)</w:t>
            </w:r>
          </w:p>
        </w:tc>
        <w:tc>
          <w:tcPr>
            <w:tcW w:w="960" w:type="dxa"/>
            <w:vAlign w:val="bottom"/>
            <w:gridSpan w:val="2"/>
          </w:tcPr>
          <w:p>
            <w:pPr>
              <w:jc w:val="right"/>
              <w:ind w:right="122"/>
              <w:spacing w:after="0"/>
              <w:rPr>
                <w:sz w:val="20"/>
                <w:szCs w:val="20"/>
                <w:color w:val="auto"/>
              </w:rPr>
            </w:pPr>
            <w:r>
              <w:rPr>
                <w:rFonts w:ascii="Arial" w:cs="Arial" w:eastAsia="Arial" w:hAnsi="Arial"/>
                <w:sz w:val="13"/>
                <w:szCs w:val="13"/>
                <w:color w:val="auto"/>
              </w:rPr>
              <w:t>(98,790)</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72,133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1,346,489</w:t>
            </w:r>
          </w:p>
        </w:tc>
        <w:tc>
          <w:tcPr>
            <w:tcW w:w="2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96</w:t>
            </w:r>
          </w:p>
        </w:tc>
        <w:tc>
          <w:tcPr>
            <w:tcW w:w="1000" w:type="dxa"/>
            <w:vAlign w:val="bottom"/>
            <w:gridSpan w:val="2"/>
          </w:tcPr>
          <w:p>
            <w:pPr>
              <w:jc w:val="right"/>
              <w:ind w:right="122"/>
              <w:spacing w:after="0"/>
              <w:rPr>
                <w:sz w:val="20"/>
                <w:szCs w:val="20"/>
                <w:color w:val="auto"/>
              </w:rPr>
            </w:pPr>
            <w:r>
              <w:rPr>
                <w:rFonts w:ascii="Arial" w:cs="Arial" w:eastAsia="Arial" w:hAnsi="Arial"/>
                <w:sz w:val="13"/>
                <w:szCs w:val="13"/>
                <w:color w:val="auto"/>
              </w:rPr>
              <w:t>(1,263,868)</w:t>
            </w: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rPr>
                <w:sz w:val="20"/>
                <w:szCs w:val="20"/>
                <w:color w:val="auto"/>
              </w:rPr>
            </w:pPr>
            <w:r>
              <w:rPr>
                <w:rFonts w:ascii="Arial" w:cs="Arial" w:eastAsia="Arial" w:hAnsi="Arial"/>
                <w:sz w:val="13"/>
                <w:szCs w:val="13"/>
                <w:color w:val="auto"/>
              </w:rPr>
              <w:t>(11,781)</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1,387,165</w:t>
            </w: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10,663,339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(488,153</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(419,029</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689,034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4,470,921</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(4,902,353</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(8,698</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(299,365</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9,705,696</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Consolidated 3 Stages</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New loans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Written off</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liquidation,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 loan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b w:val="1"/>
                <w:bCs w:val="1"/>
                <w:color w:val="auto"/>
              </w:rPr>
              <w:t>31, 2024</w:t>
            </w:r>
          </w:p>
        </w:tc>
        <w:tc>
          <w:tcPr>
            <w:tcW w:w="120" w:type="dxa"/>
            <w:vAlign w:val="bottom"/>
          </w:tcPr>
          <w:p>
            <w:pPr>
              <w:spacing w:after="0"/>
              <w:rPr>
                <w:sz w:val="13"/>
                <w:szCs w:val="13"/>
                <w:color w:val="auto"/>
              </w:rPr>
            </w:pPr>
          </w:p>
        </w:tc>
        <w:tc>
          <w:tcPr>
            <w:tcW w:w="1080" w:type="dxa"/>
            <w:vAlign w:val="bottom"/>
            <w:gridSpan w:val="3"/>
          </w:tcPr>
          <w:p>
            <w:pPr>
              <w:ind w:left="100"/>
              <w:spacing w:after="0"/>
              <w:rPr>
                <w:sz w:val="20"/>
                <w:szCs w:val="20"/>
                <w:color w:val="auto"/>
              </w:rPr>
            </w:pPr>
            <w:r>
              <w:rPr>
                <w:rFonts w:ascii="Arial" w:cs="Arial" w:eastAsia="Arial" w:hAnsi="Arial"/>
                <w:sz w:val="13"/>
                <w:szCs w:val="13"/>
                <w:b w:val="1"/>
                <w:bCs w:val="1"/>
                <w:color w:val="auto"/>
              </w:rPr>
              <w:t>forgivens</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net</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99,487,167</w:t>
            </w:r>
          </w:p>
        </w:tc>
        <w:tc>
          <w:tcPr>
            <w:tcW w:w="108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(438,066)</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1,401,344</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3,177,960</w:t>
            </w:r>
          </w:p>
        </w:tc>
        <w:tc>
          <w:tcPr>
            <w:tcW w:w="200" w:type="dxa"/>
            <w:vAlign w:val="bottom"/>
          </w:tcPr>
          <w:p>
            <w:pPr>
              <w:spacing w:after="0"/>
              <w:rPr>
                <w:sz w:val="12"/>
                <w:szCs w:val="12"/>
                <w:color w:val="auto"/>
              </w:rPr>
            </w:pP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(8,698)</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(5,927,227)</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97,692,480</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25,092,032</w:t>
            </w:r>
          </w:p>
        </w:tc>
        <w:tc>
          <w:tcPr>
            <w:tcW w:w="108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(22,365)</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8,126</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1,978,202</w:t>
            </w:r>
          </w:p>
        </w:tc>
        <w:tc>
          <w:tcPr>
            <w:tcW w:w="20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(868,411)</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26,187,584</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22,837,117</w:t>
            </w:r>
          </w:p>
        </w:tc>
        <w:tc>
          <w:tcPr>
            <w:tcW w:w="108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(1,265,317)</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(1,401,344)</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4,281,827</w:t>
            </w:r>
          </w:p>
        </w:tc>
        <w:tc>
          <w:tcPr>
            <w:tcW w:w="20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(393,673)</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24,058,610</w:t>
            </w: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19,570,434</w:t>
            </w:r>
          </w:p>
        </w:tc>
        <w:tc>
          <w:tcPr>
            <w:tcW w:w="1080" w:type="dxa"/>
            <w:vAlign w:val="bottom"/>
            <w:gridSpan w:val="3"/>
          </w:tcPr>
          <w:p>
            <w:pPr>
              <w:jc w:val="right"/>
              <w:ind w:right="142"/>
              <w:spacing w:after="0"/>
              <w:rPr>
                <w:sz w:val="20"/>
                <w:szCs w:val="20"/>
                <w:color w:val="auto"/>
              </w:rPr>
            </w:pPr>
            <w:r>
              <w:rPr>
                <w:rFonts w:ascii="Arial" w:cs="Arial" w:eastAsia="Arial" w:hAnsi="Arial"/>
                <w:sz w:val="13"/>
                <w:szCs w:val="13"/>
                <w:color w:val="auto"/>
              </w:rPr>
              <w:t>(1,061,440)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(8,126)</w:t>
            </w:r>
          </w:p>
        </w:tc>
        <w:tc>
          <w:tcPr>
            <w:tcW w:w="800" w:type="dxa"/>
            <w:vAlign w:val="bottom"/>
          </w:tcPr>
          <w:p>
            <w:pPr>
              <w:jc w:val="right"/>
              <w:spacing w:after="0"/>
              <w:rPr>
                <w:sz w:val="20"/>
                <w:szCs w:val="20"/>
                <w:color w:val="auto"/>
              </w:rPr>
            </w:pPr>
            <w:r>
              <w:rPr>
                <w:rFonts w:ascii="Arial" w:cs="Arial" w:eastAsia="Arial" w:hAnsi="Arial"/>
                <w:sz w:val="13"/>
                <w:szCs w:val="13"/>
                <w:color w:val="auto"/>
              </w:rPr>
              <w:t>4,186,653</w:t>
            </w:r>
          </w:p>
        </w:tc>
        <w:tc>
          <w:tcPr>
            <w:tcW w:w="200" w:type="dxa"/>
            <w:vAlign w:val="bottom"/>
          </w:tcPr>
          <w:p>
            <w:pPr>
              <w:spacing w:after="0"/>
              <w:rPr>
                <w:sz w:val="14"/>
                <w:szCs w:val="14"/>
                <w:color w:val="auto"/>
              </w:rPr>
            </w:pP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rPr>
                <w:sz w:val="20"/>
                <w:szCs w:val="20"/>
                <w:color w:val="auto"/>
              </w:rPr>
            </w:pPr>
            <w:r>
              <w:rPr>
                <w:rFonts w:ascii="Arial" w:cs="Arial" w:eastAsia="Arial" w:hAnsi="Arial"/>
                <w:sz w:val="13"/>
                <w:szCs w:val="13"/>
                <w:color w:val="auto"/>
              </w:rPr>
              <w:t>(384,034)</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22,303,487</w:t>
            </w: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166,986,750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(2,787,188</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13,624,642</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(8,698</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(7,573,345</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170,242,161</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40"/>
          </w:cols>
          <w:pgMar w:left="320" w:top="316" w:right="4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53"/>
        </w:trPr>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1</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New loans,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liquidation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December</w:t>
            </w:r>
          </w:p>
        </w:tc>
        <w:tc>
          <w:tcPr>
            <w:tcW w:w="10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 to</w:t>
            </w:r>
          </w:p>
        </w:tc>
        <w:tc>
          <w:tcPr>
            <w:tcW w:w="9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 to</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 Stage</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 loan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31, 2023</w:t>
            </w:r>
          </w:p>
        </w:tc>
        <w:tc>
          <w:tcPr>
            <w:tcW w:w="1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Stage 2</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Stage 3</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from Stage 2</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31, 2024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9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83,928,787</w:t>
            </w: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(6,375,422)</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(321,490)</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5,170,908</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557,795</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1,471,769</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4,212,548</w:t>
            </w:r>
          </w:p>
        </w:tc>
        <w:tc>
          <w:tcPr>
            <w:tcW w:w="20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460,706</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89,105,601</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9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19,150,069</w:t>
            </w: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(4,867,259)</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(78,840)</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2,949,592</w:t>
            </w:r>
          </w:p>
        </w:tc>
        <w:tc>
          <w:tcPr>
            <w:tcW w:w="108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22,355</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2,186</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1,727,613</w:t>
            </w:r>
          </w:p>
        </w:tc>
        <w:tc>
          <w:tcPr>
            <w:tcW w:w="20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50,813</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18,956,529</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9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16,065,846</w:t>
            </w: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(9,240,619)</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(115,321)</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3,329,738</w:t>
            </w:r>
          </w:p>
        </w:tc>
        <w:tc>
          <w:tcPr>
            <w:tcW w:w="108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44,315</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(1,471,769)</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8,378,279</w:t>
            </w:r>
          </w:p>
        </w:tc>
        <w:tc>
          <w:tcPr>
            <w:tcW w:w="20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(84,640)</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16,905,829</w:t>
            </w: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15,234,060</w:t>
            </w:r>
          </w:p>
        </w:tc>
        <w:tc>
          <w:tcPr>
            <w:tcW w:w="1060" w:type="dxa"/>
            <w:vAlign w:val="bottom"/>
            <w:gridSpan w:val="3"/>
          </w:tcPr>
          <w:p>
            <w:pPr>
              <w:jc w:val="right"/>
              <w:ind w:right="122"/>
              <w:spacing w:after="0"/>
              <w:rPr>
                <w:sz w:val="20"/>
                <w:szCs w:val="20"/>
                <w:color w:val="auto"/>
              </w:rPr>
            </w:pPr>
            <w:r>
              <w:rPr>
                <w:rFonts w:ascii="Arial" w:cs="Arial" w:eastAsia="Arial" w:hAnsi="Arial"/>
                <w:sz w:val="13"/>
                <w:szCs w:val="13"/>
                <w:color w:val="auto"/>
              </w:rPr>
              <w:t>(6,349,365)</w:t>
            </w:r>
          </w:p>
        </w:tc>
        <w:tc>
          <w:tcPr>
            <w:tcW w:w="960" w:type="dxa"/>
            <w:vAlign w:val="bottom"/>
            <w:gridSpan w:val="2"/>
          </w:tcPr>
          <w:p>
            <w:pPr>
              <w:jc w:val="right"/>
              <w:ind w:right="122"/>
              <w:spacing w:after="0"/>
              <w:rPr>
                <w:sz w:val="20"/>
                <w:szCs w:val="20"/>
                <w:color w:val="auto"/>
              </w:rPr>
            </w:pPr>
            <w:r>
              <w:rPr>
                <w:rFonts w:ascii="Arial" w:cs="Arial" w:eastAsia="Arial" w:hAnsi="Arial"/>
                <w:sz w:val="13"/>
                <w:szCs w:val="13"/>
                <w:color w:val="auto"/>
              </w:rPr>
              <w:t>(130,291)</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2,545,058</w:t>
            </w:r>
          </w:p>
        </w:tc>
        <w:tc>
          <w:tcPr>
            <w:tcW w:w="1080" w:type="dxa"/>
            <w:vAlign w:val="bottom"/>
            <w:gridSpan w:val="3"/>
          </w:tcPr>
          <w:p>
            <w:pPr>
              <w:jc w:val="right"/>
              <w:ind w:right="182"/>
              <w:spacing w:after="0"/>
              <w:rPr>
                <w:sz w:val="20"/>
                <w:szCs w:val="20"/>
                <w:color w:val="auto"/>
              </w:rPr>
            </w:pPr>
            <w:r>
              <w:rPr>
                <w:rFonts w:ascii="Arial" w:cs="Arial" w:eastAsia="Arial" w:hAnsi="Arial"/>
                <w:sz w:val="13"/>
                <w:szCs w:val="13"/>
                <w:color w:val="auto"/>
              </w:rPr>
              <w:t>85,014</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(2,186)</w:t>
            </w:r>
          </w:p>
        </w:tc>
        <w:tc>
          <w:tcPr>
            <w:tcW w:w="800" w:type="dxa"/>
            <w:vAlign w:val="bottom"/>
          </w:tcPr>
          <w:p>
            <w:pPr>
              <w:jc w:val="right"/>
              <w:spacing w:after="0"/>
              <w:rPr>
                <w:sz w:val="20"/>
                <w:szCs w:val="20"/>
                <w:color w:val="auto"/>
              </w:rPr>
            </w:pPr>
            <w:r>
              <w:rPr>
                <w:rFonts w:ascii="Arial" w:cs="Arial" w:eastAsia="Arial" w:hAnsi="Arial"/>
                <w:sz w:val="13"/>
                <w:szCs w:val="13"/>
                <w:color w:val="auto"/>
              </w:rPr>
              <w:t>2,982,062</w:t>
            </w:r>
          </w:p>
        </w:tc>
        <w:tc>
          <w:tcPr>
            <w:tcW w:w="200" w:type="dxa"/>
            <w:vAlign w:val="bottom"/>
          </w:tcPr>
          <w:p>
            <w:pPr>
              <w:spacing w:after="0"/>
              <w:rPr>
                <w:sz w:val="14"/>
                <w:szCs w:val="14"/>
                <w:color w:val="auto"/>
              </w:rPr>
            </w:pP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28,189</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14,392,541</w:t>
            </w: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134,378,762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(26,832,665</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(645,942</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13,995,296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709,479</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17,300,502</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455,068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139,360,500</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Stage 2</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New loans,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liquidation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December</w:t>
            </w:r>
          </w:p>
        </w:tc>
        <w:tc>
          <w:tcPr>
            <w:tcW w:w="10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 to</w:t>
            </w:r>
          </w:p>
        </w:tc>
        <w:tc>
          <w:tcPr>
            <w:tcW w:w="9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 to</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 Stage</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 loan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31, 2023</w:t>
            </w:r>
          </w:p>
        </w:tc>
        <w:tc>
          <w:tcPr>
            <w:tcW w:w="1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Stage 1</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Stage 3</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from Stage 1</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31, 2024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5,937,197</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(5,170,908)</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(1,523,412)</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6,375,422</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517,832</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134,410</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(1,763,989)</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1,594</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4,508,146</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3,558,102</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(2,949,592)</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(493,788)</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4,867,259</w:t>
            </w:r>
          </w:p>
        </w:tc>
        <w:tc>
          <w:tcPr>
            <w:tcW w:w="108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52,741</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(548,555)</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6,158</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4,492,325</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4,630,314</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(3,329,738)</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(1,907,961)</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9,240,619</w:t>
            </w:r>
          </w:p>
        </w:tc>
        <w:tc>
          <w:tcPr>
            <w:tcW w:w="108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118,948</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(134,410)</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(4,355,869)</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(18,318)</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4,243,585</w:t>
            </w: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3,317,454</w:t>
            </w:r>
          </w:p>
        </w:tc>
        <w:tc>
          <w:tcPr>
            <w:tcW w:w="100" w:type="dxa"/>
            <w:vAlign w:val="bottom"/>
          </w:tcPr>
          <w:p>
            <w:pPr>
              <w:spacing w:after="0"/>
              <w:rPr>
                <w:sz w:val="14"/>
                <w:szCs w:val="14"/>
                <w:color w:val="auto"/>
              </w:rPr>
            </w:pPr>
          </w:p>
        </w:tc>
        <w:tc>
          <w:tcPr>
            <w:tcW w:w="1060" w:type="dxa"/>
            <w:vAlign w:val="bottom"/>
            <w:gridSpan w:val="3"/>
          </w:tcPr>
          <w:p>
            <w:pPr>
              <w:jc w:val="right"/>
              <w:ind w:right="122"/>
              <w:spacing w:after="0"/>
              <w:rPr>
                <w:sz w:val="20"/>
                <w:szCs w:val="20"/>
                <w:color w:val="auto"/>
              </w:rPr>
            </w:pPr>
            <w:r>
              <w:rPr>
                <w:rFonts w:ascii="Arial" w:cs="Arial" w:eastAsia="Arial" w:hAnsi="Arial"/>
                <w:sz w:val="13"/>
                <w:szCs w:val="13"/>
                <w:color w:val="auto"/>
              </w:rPr>
              <w:t>(2,545,058)</w:t>
            </w:r>
          </w:p>
        </w:tc>
        <w:tc>
          <w:tcPr>
            <w:tcW w:w="960" w:type="dxa"/>
            <w:vAlign w:val="bottom"/>
            <w:gridSpan w:val="2"/>
          </w:tcPr>
          <w:p>
            <w:pPr>
              <w:jc w:val="right"/>
              <w:ind w:right="122"/>
              <w:spacing w:after="0"/>
              <w:rPr>
                <w:sz w:val="20"/>
                <w:szCs w:val="20"/>
                <w:color w:val="auto"/>
              </w:rPr>
            </w:pPr>
            <w:r>
              <w:rPr>
                <w:rFonts w:ascii="Arial" w:cs="Arial" w:eastAsia="Arial" w:hAnsi="Arial"/>
                <w:sz w:val="13"/>
                <w:szCs w:val="13"/>
                <w:color w:val="auto"/>
              </w:rPr>
              <w:t>(1,777,749)</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6,349,365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105,041</w:t>
            </w:r>
          </w:p>
        </w:tc>
        <w:tc>
          <w:tcPr>
            <w:tcW w:w="2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2"/>
              <w:spacing w:after="0"/>
              <w:rPr>
                <w:sz w:val="20"/>
                <w:szCs w:val="20"/>
                <w:color w:val="auto"/>
              </w:rPr>
            </w:pPr>
            <w:r>
              <w:rPr>
                <w:rFonts w:ascii="Arial" w:cs="Arial" w:eastAsia="Arial" w:hAnsi="Arial"/>
                <w:sz w:val="13"/>
                <w:szCs w:val="13"/>
                <w:color w:val="auto"/>
              </w:rPr>
              <w:t>(1,731,395)</w:t>
            </w: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1,197</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3,718,855</w:t>
            </w: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17,443,067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(13,995,296</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(5,702,910</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26,832,665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794,562</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(8,399,808</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(9,369</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16,962,911</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Stage 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New loans,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4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liquidation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December</w:t>
            </w:r>
          </w:p>
        </w:tc>
        <w:tc>
          <w:tcPr>
            <w:tcW w:w="10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 to</w:t>
            </w:r>
          </w:p>
        </w:tc>
        <w:tc>
          <w:tcPr>
            <w:tcW w:w="9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 to</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 Stage</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 loan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31, 2023</w:t>
            </w:r>
          </w:p>
        </w:tc>
        <w:tc>
          <w:tcPr>
            <w:tcW w:w="1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Stage 1</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Stage 2</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from Stage 1</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31, 2024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7,307,176</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(557,795)</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(517,832)</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321,490</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1,523,412</w:t>
            </w:r>
          </w:p>
        </w:tc>
        <w:tc>
          <w:tcPr>
            <w:tcW w:w="220" w:type="dxa"/>
            <w:vAlign w:val="bottom"/>
          </w:tcPr>
          <w:p>
            <w:pPr>
              <w:spacing w:after="0"/>
              <w:rPr>
                <w:sz w:val="12"/>
                <w:szCs w:val="12"/>
                <w:color w:val="auto"/>
              </w:rPr>
            </w:pP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(265,854)</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(1,843,891)</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(110,550)</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17,264</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5,873,420</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1,468,748</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(22,355)</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(52,741)</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78,840</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493,788</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871</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(284,913)</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(44,749)</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5,689</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1,643,178</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1,802,830</w:t>
            </w:r>
          </w:p>
        </w:tc>
        <w:tc>
          <w:tcPr>
            <w:tcW w:w="100" w:type="dxa"/>
            <w:vAlign w:val="bottom"/>
          </w:tcPr>
          <w:p>
            <w:pPr>
              <w:spacing w:after="0"/>
              <w:rPr>
                <w:sz w:val="12"/>
                <w:szCs w:val="12"/>
                <w:color w:val="auto"/>
              </w:rPr>
            </w:pPr>
          </w:p>
        </w:tc>
        <w:tc>
          <w:tcPr>
            <w:tcW w:w="1060" w:type="dxa"/>
            <w:vAlign w:val="bottom"/>
            <w:gridSpan w:val="3"/>
          </w:tcPr>
          <w:p>
            <w:pPr>
              <w:jc w:val="right"/>
              <w:ind w:right="122"/>
              <w:spacing w:after="0" w:line="145" w:lineRule="exact"/>
              <w:rPr>
                <w:sz w:val="20"/>
                <w:szCs w:val="20"/>
                <w:color w:val="auto"/>
              </w:rPr>
            </w:pPr>
            <w:r>
              <w:rPr>
                <w:rFonts w:ascii="Arial" w:cs="Arial" w:eastAsia="Arial" w:hAnsi="Arial"/>
                <w:sz w:val="13"/>
                <w:szCs w:val="13"/>
                <w:color w:val="auto"/>
              </w:rPr>
              <w:t>(44,315)</w:t>
            </w:r>
          </w:p>
        </w:tc>
        <w:tc>
          <w:tcPr>
            <w:tcW w:w="96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(118,948)</w:t>
            </w: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115,321</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1,907,961</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265,854</w:t>
            </w:r>
          </w:p>
        </w:tc>
        <w:tc>
          <w:tcPr>
            <w:tcW w:w="100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(2,237,017)</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(7,081)</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3,098</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1,687,703</w:t>
            </w: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1,546,687</w:t>
            </w:r>
          </w:p>
        </w:tc>
        <w:tc>
          <w:tcPr>
            <w:tcW w:w="100" w:type="dxa"/>
            <w:vAlign w:val="bottom"/>
          </w:tcPr>
          <w:p>
            <w:pPr>
              <w:spacing w:after="0"/>
              <w:rPr>
                <w:sz w:val="14"/>
                <w:szCs w:val="14"/>
                <w:color w:val="auto"/>
              </w:rPr>
            </w:pPr>
          </w:p>
        </w:tc>
        <w:tc>
          <w:tcPr>
            <w:tcW w:w="1060" w:type="dxa"/>
            <w:vAlign w:val="bottom"/>
            <w:gridSpan w:val="3"/>
          </w:tcPr>
          <w:p>
            <w:pPr>
              <w:jc w:val="right"/>
              <w:ind w:right="122"/>
              <w:spacing w:after="0"/>
              <w:rPr>
                <w:sz w:val="20"/>
                <w:szCs w:val="20"/>
                <w:color w:val="auto"/>
              </w:rPr>
            </w:pPr>
            <w:r>
              <w:rPr>
                <w:rFonts w:ascii="Arial" w:cs="Arial" w:eastAsia="Arial" w:hAnsi="Arial"/>
                <w:sz w:val="13"/>
                <w:szCs w:val="13"/>
                <w:color w:val="auto"/>
              </w:rPr>
              <w:t>(85,014)</w:t>
            </w:r>
          </w:p>
        </w:tc>
        <w:tc>
          <w:tcPr>
            <w:tcW w:w="960" w:type="dxa"/>
            <w:vAlign w:val="bottom"/>
            <w:gridSpan w:val="2"/>
          </w:tcPr>
          <w:p>
            <w:pPr>
              <w:jc w:val="right"/>
              <w:ind w:right="122"/>
              <w:spacing w:after="0"/>
              <w:rPr>
                <w:sz w:val="20"/>
                <w:szCs w:val="20"/>
                <w:color w:val="auto"/>
              </w:rPr>
            </w:pPr>
            <w:r>
              <w:rPr>
                <w:rFonts w:ascii="Arial" w:cs="Arial" w:eastAsia="Arial" w:hAnsi="Arial"/>
                <w:sz w:val="13"/>
                <w:szCs w:val="13"/>
                <w:color w:val="auto"/>
              </w:rPr>
              <w:t>(105,041)</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130,291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1,777,749</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(871)</w:t>
            </w:r>
          </w:p>
        </w:tc>
        <w:tc>
          <w:tcPr>
            <w:tcW w:w="1000" w:type="dxa"/>
            <w:vAlign w:val="bottom"/>
            <w:gridSpan w:val="2"/>
          </w:tcPr>
          <w:p>
            <w:pPr>
              <w:jc w:val="right"/>
              <w:ind w:right="122"/>
              <w:spacing w:after="0"/>
              <w:rPr>
                <w:sz w:val="20"/>
                <w:szCs w:val="20"/>
                <w:color w:val="auto"/>
              </w:rPr>
            </w:pPr>
            <w:r>
              <w:rPr>
                <w:rFonts w:ascii="Arial" w:cs="Arial" w:eastAsia="Arial" w:hAnsi="Arial"/>
                <w:sz w:val="13"/>
                <w:szCs w:val="13"/>
                <w:color w:val="auto"/>
              </w:rPr>
              <w:t>(1,799,077)</w:t>
            </w:r>
          </w:p>
        </w:tc>
        <w:tc>
          <w:tcPr>
            <w:tcW w:w="1000" w:type="dxa"/>
            <w:vAlign w:val="bottom"/>
            <w:gridSpan w:val="2"/>
          </w:tcPr>
          <w:p>
            <w:pPr>
              <w:jc w:val="right"/>
              <w:ind w:right="142"/>
              <w:spacing w:after="0"/>
              <w:rPr>
                <w:sz w:val="20"/>
                <w:szCs w:val="20"/>
                <w:color w:val="auto"/>
              </w:rPr>
            </w:pPr>
            <w:r>
              <w:rPr>
                <w:rFonts w:ascii="Arial" w:cs="Arial" w:eastAsia="Arial" w:hAnsi="Arial"/>
                <w:sz w:val="13"/>
                <w:szCs w:val="13"/>
                <w:color w:val="auto"/>
              </w:rPr>
              <w:t>(11,931)</w:t>
            </w: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6,245</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1,459,038</w:t>
            </w: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12,125,441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(709,479</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(794,562</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645,942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5,702,910</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(6,164,898</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(174,311</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32,296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10,663,339</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Consolidated 3 Stages</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New loans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Written off</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10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liquidation,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 loan</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80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b w:val="1"/>
                <w:bCs w:val="1"/>
                <w:color w:val="auto"/>
              </w:rPr>
              <w:t>31, 2023</w:t>
            </w:r>
          </w:p>
        </w:tc>
        <w:tc>
          <w:tcPr>
            <w:tcW w:w="120" w:type="dxa"/>
            <w:vAlign w:val="bottom"/>
          </w:tcPr>
          <w:p>
            <w:pPr>
              <w:spacing w:after="0"/>
              <w:rPr>
                <w:sz w:val="13"/>
                <w:szCs w:val="13"/>
                <w:color w:val="auto"/>
              </w:rPr>
            </w:pPr>
          </w:p>
        </w:tc>
        <w:tc>
          <w:tcPr>
            <w:tcW w:w="1080" w:type="dxa"/>
            <w:vAlign w:val="bottom"/>
            <w:gridSpan w:val="3"/>
          </w:tcPr>
          <w:p>
            <w:pPr>
              <w:ind w:left="100"/>
              <w:spacing w:after="0"/>
              <w:rPr>
                <w:sz w:val="20"/>
                <w:szCs w:val="20"/>
                <w:color w:val="auto"/>
              </w:rPr>
            </w:pPr>
            <w:r>
              <w:rPr>
                <w:rFonts w:ascii="Arial" w:cs="Arial" w:eastAsia="Arial" w:hAnsi="Arial"/>
                <w:sz w:val="13"/>
                <w:szCs w:val="13"/>
                <w:b w:val="1"/>
                <w:bCs w:val="1"/>
                <w:color w:val="auto"/>
              </w:rPr>
              <w:t>forgivens</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net</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31, 2024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97,173,160</w:t>
            </w:r>
          </w:p>
        </w:tc>
        <w:tc>
          <w:tcPr>
            <w:tcW w:w="108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(594,478)</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1,340,325</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1,199,146</w:t>
            </w:r>
          </w:p>
        </w:tc>
        <w:tc>
          <w:tcPr>
            <w:tcW w:w="200" w:type="dxa"/>
            <w:vAlign w:val="bottom"/>
          </w:tcPr>
          <w:p>
            <w:pPr>
              <w:spacing w:after="0"/>
              <w:rPr>
                <w:sz w:val="12"/>
                <w:szCs w:val="12"/>
                <w:color w:val="auto"/>
              </w:rPr>
            </w:pP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(110,550)</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479,564</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99,487,167</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24,176,919</w:t>
            </w:r>
          </w:p>
        </w:tc>
        <w:tc>
          <w:tcPr>
            <w:tcW w:w="108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(20,162)</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3,057</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914,307</w:t>
            </w:r>
          </w:p>
        </w:tc>
        <w:tc>
          <w:tcPr>
            <w:tcW w:w="200" w:type="dxa"/>
            <w:vAlign w:val="bottom"/>
          </w:tcPr>
          <w:p>
            <w:pPr>
              <w:spacing w:after="0"/>
              <w:rPr>
                <w:sz w:val="12"/>
                <w:szCs w:val="12"/>
                <w:color w:val="auto"/>
              </w:rPr>
            </w:pP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(44,749)</w:t>
            </w: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62,660</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25,092,032</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22,498,990</w:t>
            </w:r>
          </w:p>
        </w:tc>
        <w:tc>
          <w:tcPr>
            <w:tcW w:w="108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(1,746,105)</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(1,340,325)</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3,531,498</w:t>
            </w:r>
          </w:p>
        </w:tc>
        <w:tc>
          <w:tcPr>
            <w:tcW w:w="200" w:type="dxa"/>
            <w:vAlign w:val="bottom"/>
          </w:tcPr>
          <w:p>
            <w:pPr>
              <w:spacing w:after="0"/>
              <w:rPr>
                <w:sz w:val="12"/>
                <w:szCs w:val="12"/>
                <w:color w:val="auto"/>
              </w:rPr>
            </w:pP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(7,081)</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(99,860)</w:t>
            </w:r>
          </w:p>
        </w:tc>
        <w:tc>
          <w:tcPr>
            <w:tcW w:w="8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22,837,117</w:t>
            </w: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20,098,201</w:t>
            </w:r>
          </w:p>
        </w:tc>
        <w:tc>
          <w:tcPr>
            <w:tcW w:w="1080" w:type="dxa"/>
            <w:vAlign w:val="bottom"/>
            <w:gridSpan w:val="3"/>
          </w:tcPr>
          <w:p>
            <w:pPr>
              <w:jc w:val="right"/>
              <w:ind w:right="142"/>
              <w:spacing w:after="0"/>
              <w:rPr>
                <w:sz w:val="20"/>
                <w:szCs w:val="20"/>
                <w:color w:val="auto"/>
              </w:rPr>
            </w:pPr>
            <w:r>
              <w:rPr>
                <w:rFonts w:ascii="Arial" w:cs="Arial" w:eastAsia="Arial" w:hAnsi="Arial"/>
                <w:sz w:val="13"/>
                <w:szCs w:val="13"/>
                <w:color w:val="auto"/>
              </w:rPr>
              <w:t>(1,526,839)</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(3,057)</w:t>
            </w:r>
          </w:p>
        </w:tc>
        <w:tc>
          <w:tcPr>
            <w:tcW w:w="800" w:type="dxa"/>
            <w:vAlign w:val="bottom"/>
          </w:tcPr>
          <w:p>
            <w:pPr>
              <w:jc w:val="right"/>
              <w:spacing w:after="0"/>
              <w:rPr>
                <w:sz w:val="20"/>
                <w:szCs w:val="20"/>
                <w:color w:val="auto"/>
              </w:rPr>
            </w:pPr>
            <w:r>
              <w:rPr>
                <w:rFonts w:ascii="Arial" w:cs="Arial" w:eastAsia="Arial" w:hAnsi="Arial"/>
                <w:sz w:val="13"/>
                <w:szCs w:val="13"/>
                <w:color w:val="auto"/>
              </w:rPr>
              <w:t>978,429</w:t>
            </w:r>
          </w:p>
        </w:tc>
        <w:tc>
          <w:tcPr>
            <w:tcW w:w="200" w:type="dxa"/>
            <w:vAlign w:val="bottom"/>
          </w:tcPr>
          <w:p>
            <w:pPr>
              <w:spacing w:after="0"/>
              <w:rPr>
                <w:sz w:val="14"/>
                <w:szCs w:val="14"/>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3"/>
                <w:szCs w:val="13"/>
                <w:color w:val="auto"/>
              </w:rPr>
              <w:t>(11,931)</w:t>
            </w:r>
          </w:p>
        </w:tc>
        <w:tc>
          <w:tcPr>
            <w:tcW w:w="1000" w:type="dxa"/>
            <w:vAlign w:val="bottom"/>
            <w:gridSpan w:val="2"/>
          </w:tcPr>
          <w:p>
            <w:pPr>
              <w:jc w:val="right"/>
              <w:ind w:right="182"/>
              <w:spacing w:after="0"/>
              <w:rPr>
                <w:sz w:val="20"/>
                <w:szCs w:val="20"/>
                <w:color w:val="auto"/>
              </w:rPr>
            </w:pPr>
            <w:r>
              <w:rPr>
                <w:rFonts w:ascii="Arial" w:cs="Arial" w:eastAsia="Arial" w:hAnsi="Arial"/>
                <w:sz w:val="13"/>
                <w:szCs w:val="13"/>
                <w:color w:val="auto"/>
              </w:rPr>
              <w:t>35,631</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19,570,434</w:t>
            </w: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163,947,270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(3,887,584</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6,623,380</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(174,311</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477,995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166,986,750</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77" w:name="page78"/>
    <w:bookmarkEnd w:id="77"/>
    <w:p>
      <w:pPr>
        <w:ind w:left="580" w:right="40" w:hanging="294"/>
        <w:spacing w:after="0" w:line="255" w:lineRule="auto"/>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 of December 31, 2025, and 2024, the allowance for loan losses for direct loans, indirect loans and due from customers on banker’s acceptances, was determined under the expected credit loss model as established in IFRS 9. The movement in the allowance for loan losses is shown below for direct loans, indirect loans and due from customers on banker’s acceptances: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1</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Changes</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New loans</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 PD,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December</w:t>
            </w:r>
          </w:p>
        </w:tc>
        <w:tc>
          <w:tcPr>
            <w:tcW w:w="9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w:t>
            </w:r>
          </w:p>
        </w:tc>
        <w:tc>
          <w:tcPr>
            <w:tcW w:w="8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liquidation, and</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LGD, EAD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loan</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31, 2024</w:t>
            </w:r>
          </w:p>
        </w:tc>
        <w:tc>
          <w:tcPr>
            <w:tcW w:w="10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to Stage 2</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to Stage 3</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Stage 2</w:t>
            </w:r>
          </w:p>
        </w:tc>
        <w:tc>
          <w:tcPr>
            <w:tcW w:w="880" w:type="dxa"/>
            <w:vAlign w:val="bottom"/>
            <w:gridSpan w:val="3"/>
          </w:tcPr>
          <w:p>
            <w:pPr>
              <w:ind w:left="100"/>
              <w:spacing w:after="0"/>
              <w:rPr>
                <w:sz w:val="20"/>
                <w:szCs w:val="20"/>
                <w:color w:val="auto"/>
              </w:rPr>
            </w:pPr>
            <w:r>
              <w:rPr>
                <w:rFonts w:ascii="Arial" w:cs="Arial" w:eastAsia="Arial" w:hAnsi="Arial"/>
                <w:sz w:val="13"/>
                <w:szCs w:val="13"/>
                <w:b w:val="1"/>
                <w:bCs w:val="1"/>
                <w:color w:val="auto"/>
              </w:rPr>
              <w:t>Stage 3</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write-offs, net</w:t>
            </w:r>
          </w:p>
        </w:tc>
        <w:tc>
          <w:tcPr>
            <w:tcW w:w="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31, 2025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515,030</w:t>
            </w: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(132,277)</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(5,379)</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124,005</w:t>
            </w:r>
          </w:p>
        </w:tc>
        <w:tc>
          <w:tcPr>
            <w:tcW w:w="100" w:type="dxa"/>
            <w:vAlign w:val="bottom"/>
          </w:tcPr>
          <w:p>
            <w:pPr>
              <w:spacing w:after="0"/>
              <w:rPr>
                <w:sz w:val="12"/>
                <w:szCs w:val="12"/>
                <w:color w:val="auto"/>
              </w:rPr>
            </w:pP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38,724</w:t>
            </w:r>
          </w:p>
        </w:tc>
        <w:tc>
          <w:tcPr>
            <w:tcW w:w="130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13,019</w:t>
            </w:r>
          </w:p>
        </w:tc>
        <w:tc>
          <w:tcPr>
            <w:tcW w:w="860" w:type="dxa"/>
            <w:vAlign w:val="bottom"/>
            <w:gridSpan w:val="2"/>
          </w:tcPr>
          <w:p>
            <w:pPr>
              <w:jc w:val="right"/>
              <w:ind w:right="96"/>
              <w:spacing w:after="0" w:line="145" w:lineRule="exact"/>
              <w:rPr>
                <w:sz w:val="20"/>
                <w:szCs w:val="20"/>
                <w:color w:val="auto"/>
              </w:rPr>
            </w:pPr>
            <w:r>
              <w:rPr>
                <w:rFonts w:ascii="Arial" w:cs="Arial" w:eastAsia="Arial" w:hAnsi="Arial"/>
                <w:sz w:val="13"/>
                <w:szCs w:val="13"/>
                <w:color w:val="auto"/>
              </w:rPr>
              <w:t>(109,674)</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90,811</w:t>
            </w:r>
          </w:p>
        </w:tc>
        <w:tc>
          <w:tcPr>
            <w:tcW w:w="220" w:type="dxa"/>
            <w:vAlign w:val="bottom"/>
          </w:tcPr>
          <w:p>
            <w:pPr>
              <w:spacing w:after="0"/>
              <w:rPr>
                <w:sz w:val="12"/>
                <w:szCs w:val="12"/>
                <w:color w:val="auto"/>
              </w:rPr>
            </w:pP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(75,250)</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459,009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66,258</w:t>
            </w: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(10,917)</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(452)</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57,272</w:t>
            </w: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15,798</w:t>
            </w:r>
          </w:p>
        </w:tc>
        <w:tc>
          <w:tcPr>
            <w:tcW w:w="130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7,398</w:t>
            </w:r>
          </w:p>
        </w:tc>
        <w:tc>
          <w:tcPr>
            <w:tcW w:w="860" w:type="dxa"/>
            <w:vAlign w:val="bottom"/>
            <w:gridSpan w:val="2"/>
          </w:tcPr>
          <w:p>
            <w:pPr>
              <w:jc w:val="right"/>
              <w:ind w:right="96"/>
              <w:spacing w:after="0" w:line="145" w:lineRule="exact"/>
              <w:rPr>
                <w:sz w:val="20"/>
                <w:szCs w:val="20"/>
                <w:color w:val="auto"/>
              </w:rPr>
            </w:pPr>
            <w:r>
              <w:rPr>
                <w:rFonts w:ascii="Arial" w:cs="Arial" w:eastAsia="Arial" w:hAnsi="Arial"/>
                <w:sz w:val="13"/>
                <w:szCs w:val="13"/>
                <w:color w:val="auto"/>
              </w:rPr>
              <w:t>(83,929)</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335</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(1,910)</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49,853</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384,283</w:t>
            </w: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(360,657)</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(4,223)</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113,044</w:t>
            </w: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18,386</w:t>
            </w:r>
          </w:p>
        </w:tc>
        <w:tc>
          <w:tcPr>
            <w:tcW w:w="130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522,212</w:t>
            </w:r>
          </w:p>
        </w:tc>
        <w:tc>
          <w:tcPr>
            <w:tcW w:w="860" w:type="dxa"/>
            <w:vAlign w:val="bottom"/>
            <w:gridSpan w:val="2"/>
          </w:tcPr>
          <w:p>
            <w:pPr>
              <w:jc w:val="right"/>
              <w:ind w:right="96"/>
              <w:spacing w:after="0" w:line="145" w:lineRule="exact"/>
              <w:rPr>
                <w:sz w:val="20"/>
                <w:szCs w:val="20"/>
                <w:color w:val="auto"/>
              </w:rPr>
            </w:pPr>
            <w:r>
              <w:rPr>
                <w:rFonts w:ascii="Arial" w:cs="Arial" w:eastAsia="Arial" w:hAnsi="Arial"/>
                <w:sz w:val="13"/>
                <w:szCs w:val="13"/>
                <w:color w:val="auto"/>
              </w:rPr>
              <w:t>(103,175)</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(90,811)</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(6,379)</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472,680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331,010</w:t>
            </w:r>
          </w:p>
        </w:tc>
        <w:tc>
          <w:tcPr>
            <w:tcW w:w="920" w:type="dxa"/>
            <w:vAlign w:val="bottom"/>
            <w:gridSpan w:val="3"/>
          </w:tcPr>
          <w:p>
            <w:pPr>
              <w:jc w:val="right"/>
              <w:ind w:right="76"/>
              <w:spacing w:after="0"/>
              <w:rPr>
                <w:sz w:val="20"/>
                <w:szCs w:val="20"/>
                <w:color w:val="auto"/>
              </w:rPr>
            </w:pPr>
            <w:r>
              <w:rPr>
                <w:rFonts w:ascii="Arial" w:cs="Arial" w:eastAsia="Arial" w:hAnsi="Arial"/>
                <w:sz w:val="13"/>
                <w:szCs w:val="13"/>
                <w:color w:val="auto"/>
              </w:rPr>
              <w:t>(265,816)</w:t>
            </w:r>
          </w:p>
        </w:tc>
        <w:tc>
          <w:tcPr>
            <w:tcW w:w="840" w:type="dxa"/>
            <w:vAlign w:val="bottom"/>
            <w:gridSpan w:val="2"/>
          </w:tcPr>
          <w:p>
            <w:pPr>
              <w:jc w:val="right"/>
              <w:ind w:right="122"/>
              <w:spacing w:after="0"/>
              <w:rPr>
                <w:sz w:val="20"/>
                <w:szCs w:val="20"/>
                <w:color w:val="auto"/>
              </w:rPr>
            </w:pPr>
            <w:r>
              <w:rPr>
                <w:rFonts w:ascii="Arial" w:cs="Arial" w:eastAsia="Arial" w:hAnsi="Arial"/>
                <w:sz w:val="13"/>
                <w:szCs w:val="13"/>
                <w:color w:val="auto"/>
              </w:rPr>
              <w:t>(3,668)</w:t>
            </w:r>
          </w:p>
        </w:tc>
        <w:tc>
          <w:tcPr>
            <w:tcW w:w="660" w:type="dxa"/>
            <w:vAlign w:val="bottom"/>
          </w:tcPr>
          <w:p>
            <w:pPr>
              <w:jc w:val="right"/>
              <w:spacing w:after="0"/>
              <w:rPr>
                <w:sz w:val="20"/>
                <w:szCs w:val="20"/>
                <w:color w:val="auto"/>
              </w:rPr>
            </w:pPr>
            <w:r>
              <w:rPr>
                <w:rFonts w:ascii="Arial" w:cs="Arial" w:eastAsia="Arial" w:hAnsi="Arial"/>
                <w:sz w:val="13"/>
                <w:szCs w:val="13"/>
                <w:color w:val="auto"/>
              </w:rPr>
              <w:t>202,494</w:t>
            </w:r>
          </w:p>
        </w:tc>
        <w:tc>
          <w:tcPr>
            <w:tcW w:w="100" w:type="dxa"/>
            <w:vAlign w:val="bottom"/>
          </w:tcPr>
          <w:p>
            <w:pPr>
              <w:spacing w:after="0"/>
              <w:rPr>
                <w:sz w:val="14"/>
                <w:szCs w:val="14"/>
                <w:color w:val="auto"/>
              </w:rPr>
            </w:pPr>
          </w:p>
        </w:tc>
        <w:tc>
          <w:tcPr>
            <w:tcW w:w="880" w:type="dxa"/>
            <w:vAlign w:val="bottom"/>
            <w:gridSpan w:val="3"/>
          </w:tcPr>
          <w:p>
            <w:pPr>
              <w:jc w:val="right"/>
              <w:ind w:right="82"/>
              <w:spacing w:after="0"/>
              <w:rPr>
                <w:sz w:val="20"/>
                <w:szCs w:val="20"/>
                <w:color w:val="auto"/>
              </w:rPr>
            </w:pPr>
            <w:r>
              <w:rPr>
                <w:rFonts w:ascii="Arial" w:cs="Arial" w:eastAsia="Arial" w:hAnsi="Arial"/>
                <w:sz w:val="13"/>
                <w:szCs w:val="13"/>
                <w:color w:val="auto"/>
              </w:rPr>
              <w:t>99,770</w:t>
            </w:r>
          </w:p>
        </w:tc>
        <w:tc>
          <w:tcPr>
            <w:tcW w:w="1300" w:type="dxa"/>
            <w:vAlign w:val="bottom"/>
            <w:gridSpan w:val="3"/>
          </w:tcPr>
          <w:p>
            <w:pPr>
              <w:jc w:val="right"/>
              <w:ind w:right="182"/>
              <w:spacing w:after="0"/>
              <w:rPr>
                <w:sz w:val="20"/>
                <w:szCs w:val="20"/>
                <w:color w:val="auto"/>
              </w:rPr>
            </w:pPr>
            <w:r>
              <w:rPr>
                <w:rFonts w:ascii="Arial" w:cs="Arial" w:eastAsia="Arial" w:hAnsi="Arial"/>
                <w:sz w:val="13"/>
                <w:szCs w:val="13"/>
                <w:color w:val="auto"/>
              </w:rPr>
              <w:t>202,233</w:t>
            </w:r>
          </w:p>
        </w:tc>
        <w:tc>
          <w:tcPr>
            <w:tcW w:w="860" w:type="dxa"/>
            <w:vAlign w:val="bottom"/>
            <w:gridSpan w:val="2"/>
          </w:tcPr>
          <w:p>
            <w:pPr>
              <w:jc w:val="right"/>
              <w:ind w:right="96"/>
              <w:spacing w:after="0"/>
              <w:rPr>
                <w:sz w:val="20"/>
                <w:szCs w:val="20"/>
                <w:color w:val="auto"/>
              </w:rPr>
            </w:pPr>
            <w:r>
              <w:rPr>
                <w:rFonts w:ascii="Arial" w:cs="Arial" w:eastAsia="Arial" w:hAnsi="Arial"/>
                <w:sz w:val="13"/>
                <w:szCs w:val="13"/>
                <w:color w:val="auto"/>
              </w:rPr>
              <w:t>(91,743)</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(335)</w:t>
            </w:r>
          </w:p>
        </w:tc>
        <w:tc>
          <w:tcPr>
            <w:tcW w:w="8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3"/>
                <w:szCs w:val="13"/>
                <w:color w:val="auto"/>
              </w:rPr>
              <w:t>(13,965)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459,980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color w:val="auto"/>
                <w:w w:val="93"/>
              </w:rPr>
              <w:t>1,296,581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(769,667</w:t>
            </w:r>
          </w:p>
        </w:tc>
        <w:tc>
          <w:tcPr>
            <w:tcW w:w="200" w:type="dxa"/>
            <w:vAlign w:val="bottom"/>
          </w:tcPr>
          <w:p>
            <w:pPr>
              <w:jc w:val="right"/>
              <w:ind w:right="76"/>
              <w:spacing w:after="0" w:line="137" w:lineRule="exact"/>
              <w:rPr>
                <w:sz w:val="20"/>
                <w:szCs w:val="20"/>
                <w:color w:val="auto"/>
              </w:rPr>
            </w:pPr>
            <w:r>
              <w:rPr>
                <w:rFonts w:ascii="Arial" w:cs="Arial" w:eastAsia="Arial" w:hAnsi="Arial"/>
                <w:sz w:val="13"/>
                <w:szCs w:val="13"/>
                <w:color w:val="auto"/>
                <w:w w:val="91"/>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(13,722</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496,815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172,678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744,862</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(388,521</w:t>
            </w:r>
          </w:p>
        </w:tc>
        <w:tc>
          <w:tcPr>
            <w:tcW w:w="220" w:type="dxa"/>
            <w:vAlign w:val="bottom"/>
          </w:tcPr>
          <w:p>
            <w:pPr>
              <w:jc w:val="right"/>
              <w:ind w:right="96"/>
              <w:spacing w:after="0" w:line="137" w:lineRule="exact"/>
              <w:rPr>
                <w:sz w:val="20"/>
                <w:szCs w:val="20"/>
                <w:color w:val="auto"/>
              </w:rPr>
            </w:pPr>
            <w:r>
              <w:rPr>
                <w:rFonts w:ascii="Arial" w:cs="Arial" w:eastAsia="Arial" w:hAnsi="Arial"/>
                <w:sz w:val="13"/>
                <w:szCs w:val="13"/>
                <w:color w:val="auto"/>
                <w:w w:val="91"/>
              </w:rPr>
              <w:t>)</w:t>
            </w: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(97,504</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1,441,522</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Stage 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Changes</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New loans</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 PD,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December</w:t>
            </w:r>
          </w:p>
        </w:tc>
        <w:tc>
          <w:tcPr>
            <w:tcW w:w="9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w:t>
            </w:r>
          </w:p>
        </w:tc>
        <w:tc>
          <w:tcPr>
            <w:tcW w:w="8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liquidation, and</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LGD, EAD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loan</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31, 2024</w:t>
            </w:r>
          </w:p>
        </w:tc>
        <w:tc>
          <w:tcPr>
            <w:tcW w:w="10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to Stage 1</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to Stage 3</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3"/>
          </w:tcPr>
          <w:p>
            <w:pPr>
              <w:ind w:left="100"/>
              <w:spacing w:after="0"/>
              <w:rPr>
                <w:sz w:val="20"/>
                <w:szCs w:val="20"/>
                <w:color w:val="auto"/>
              </w:rPr>
            </w:pPr>
            <w:r>
              <w:rPr>
                <w:rFonts w:ascii="Arial" w:cs="Arial" w:eastAsia="Arial" w:hAnsi="Arial"/>
                <w:sz w:val="13"/>
                <w:szCs w:val="13"/>
                <w:b w:val="1"/>
                <w:bCs w:val="1"/>
                <w:color w:val="auto"/>
              </w:rPr>
              <w:t>Stage 3</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write-offs, net</w:t>
            </w:r>
          </w:p>
        </w:tc>
        <w:tc>
          <w:tcPr>
            <w:tcW w:w="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31, 2025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300,858</w:t>
            </w: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(124,005)</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(125,576)</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132,277</w:t>
            </w:r>
          </w:p>
        </w:tc>
        <w:tc>
          <w:tcPr>
            <w:tcW w:w="100" w:type="dxa"/>
            <w:vAlign w:val="bottom"/>
          </w:tcPr>
          <w:p>
            <w:pPr>
              <w:spacing w:after="0"/>
              <w:rPr>
                <w:sz w:val="12"/>
                <w:szCs w:val="12"/>
                <w:color w:val="auto"/>
              </w:rPr>
            </w:pP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44,967</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(64,594)</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130,491</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1,874</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(9,913)</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286,379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168,222</w:t>
            </w: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(57,272)</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(30,834)</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10,917</w:t>
            </w: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36,974</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(16,599)</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11,113</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17</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(6,249)</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116,289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396,679</w:t>
            </w: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(113,044)</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(207,616)</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360,657</w:t>
            </w:r>
          </w:p>
        </w:tc>
        <w:tc>
          <w:tcPr>
            <w:tcW w:w="100" w:type="dxa"/>
            <w:vAlign w:val="bottom"/>
          </w:tcPr>
          <w:p>
            <w:pPr>
              <w:spacing w:after="0"/>
              <w:rPr>
                <w:sz w:val="12"/>
                <w:szCs w:val="12"/>
                <w:color w:val="auto"/>
              </w:rPr>
            </w:pP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46,832</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(417,490)</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353,343</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(1,874)</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(5,294)</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412,193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514,247</w:t>
            </w:r>
          </w:p>
        </w:tc>
        <w:tc>
          <w:tcPr>
            <w:tcW w:w="920" w:type="dxa"/>
            <w:vAlign w:val="bottom"/>
            <w:gridSpan w:val="3"/>
          </w:tcPr>
          <w:p>
            <w:pPr>
              <w:jc w:val="right"/>
              <w:ind w:right="76"/>
              <w:spacing w:after="0"/>
              <w:rPr>
                <w:sz w:val="20"/>
                <w:szCs w:val="20"/>
                <w:color w:val="auto"/>
              </w:rPr>
            </w:pPr>
            <w:r>
              <w:rPr>
                <w:rFonts w:ascii="Arial" w:cs="Arial" w:eastAsia="Arial" w:hAnsi="Arial"/>
                <w:sz w:val="13"/>
                <w:szCs w:val="13"/>
                <w:color w:val="auto"/>
              </w:rPr>
              <w:t>(202,494)</w:t>
            </w:r>
          </w:p>
        </w:tc>
        <w:tc>
          <w:tcPr>
            <w:tcW w:w="840" w:type="dxa"/>
            <w:vAlign w:val="bottom"/>
            <w:gridSpan w:val="2"/>
          </w:tcPr>
          <w:p>
            <w:pPr>
              <w:jc w:val="right"/>
              <w:ind w:right="122"/>
              <w:spacing w:after="0"/>
              <w:rPr>
                <w:sz w:val="20"/>
                <w:szCs w:val="20"/>
                <w:color w:val="auto"/>
              </w:rPr>
            </w:pPr>
            <w:r>
              <w:rPr>
                <w:rFonts w:ascii="Arial" w:cs="Arial" w:eastAsia="Arial" w:hAnsi="Arial"/>
                <w:sz w:val="13"/>
                <w:szCs w:val="13"/>
                <w:color w:val="auto"/>
              </w:rPr>
              <w:t>(354,315)</w:t>
            </w:r>
          </w:p>
        </w:tc>
        <w:tc>
          <w:tcPr>
            <w:tcW w:w="660" w:type="dxa"/>
            <w:vAlign w:val="bottom"/>
          </w:tcPr>
          <w:p>
            <w:pPr>
              <w:jc w:val="right"/>
              <w:spacing w:after="0"/>
              <w:rPr>
                <w:sz w:val="20"/>
                <w:szCs w:val="20"/>
                <w:color w:val="auto"/>
              </w:rPr>
            </w:pPr>
            <w:r>
              <w:rPr>
                <w:rFonts w:ascii="Arial" w:cs="Arial" w:eastAsia="Arial" w:hAnsi="Arial"/>
                <w:sz w:val="13"/>
                <w:szCs w:val="13"/>
                <w:color w:val="auto"/>
              </w:rPr>
              <w:t>265,816</w:t>
            </w:r>
          </w:p>
        </w:tc>
        <w:tc>
          <w:tcPr>
            <w:tcW w:w="100" w:type="dxa"/>
            <w:vAlign w:val="bottom"/>
          </w:tcPr>
          <w:p>
            <w:pPr>
              <w:spacing w:after="0"/>
              <w:rPr>
                <w:sz w:val="14"/>
                <w:szCs w:val="14"/>
                <w:color w:val="auto"/>
              </w:rPr>
            </w:pPr>
          </w:p>
        </w:tc>
        <w:tc>
          <w:tcPr>
            <w:tcW w:w="880" w:type="dxa"/>
            <w:vAlign w:val="bottom"/>
            <w:gridSpan w:val="3"/>
          </w:tcPr>
          <w:p>
            <w:pPr>
              <w:jc w:val="right"/>
              <w:ind w:right="82"/>
              <w:spacing w:after="0"/>
              <w:rPr>
                <w:sz w:val="20"/>
                <w:szCs w:val="20"/>
                <w:color w:val="auto"/>
              </w:rPr>
            </w:pPr>
            <w:r>
              <w:rPr>
                <w:rFonts w:ascii="Arial" w:cs="Arial" w:eastAsia="Arial" w:hAnsi="Arial"/>
                <w:sz w:val="13"/>
                <w:szCs w:val="13"/>
                <w:color w:val="auto"/>
              </w:rPr>
              <w:t>82,508</w:t>
            </w:r>
          </w:p>
        </w:tc>
        <w:tc>
          <w:tcPr>
            <w:tcW w:w="1300" w:type="dxa"/>
            <w:vAlign w:val="bottom"/>
            <w:gridSpan w:val="3"/>
          </w:tcPr>
          <w:p>
            <w:pPr>
              <w:jc w:val="right"/>
              <w:ind w:right="142"/>
              <w:spacing w:after="0"/>
              <w:rPr>
                <w:sz w:val="20"/>
                <w:szCs w:val="20"/>
                <w:color w:val="auto"/>
              </w:rPr>
            </w:pPr>
            <w:r>
              <w:rPr>
                <w:rFonts w:ascii="Arial" w:cs="Arial" w:eastAsia="Arial" w:hAnsi="Arial"/>
                <w:sz w:val="13"/>
                <w:szCs w:val="13"/>
                <w:color w:val="auto"/>
              </w:rPr>
              <w:t>(149,272)</w:t>
            </w:r>
          </w:p>
        </w:tc>
        <w:tc>
          <w:tcPr>
            <w:tcW w:w="860" w:type="dxa"/>
            <w:vAlign w:val="bottom"/>
            <w:gridSpan w:val="2"/>
          </w:tcPr>
          <w:p>
            <w:pPr>
              <w:jc w:val="right"/>
              <w:ind w:right="156"/>
              <w:spacing w:after="0"/>
              <w:rPr>
                <w:sz w:val="20"/>
                <w:szCs w:val="20"/>
                <w:color w:val="auto"/>
              </w:rPr>
            </w:pPr>
            <w:r>
              <w:rPr>
                <w:rFonts w:ascii="Arial" w:cs="Arial" w:eastAsia="Arial" w:hAnsi="Arial"/>
                <w:sz w:val="13"/>
                <w:szCs w:val="13"/>
                <w:color w:val="auto"/>
              </w:rPr>
              <w:t>352,354</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(17)</w:t>
            </w:r>
          </w:p>
        </w:tc>
        <w:tc>
          <w:tcPr>
            <w:tcW w:w="8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3"/>
                <w:szCs w:val="13"/>
                <w:color w:val="auto"/>
              </w:rPr>
              <w:t>(9,389)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499,438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color w:val="auto"/>
                <w:w w:val="93"/>
              </w:rPr>
              <w:t>1,380,006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(496,815</w:t>
            </w:r>
          </w:p>
        </w:tc>
        <w:tc>
          <w:tcPr>
            <w:tcW w:w="200" w:type="dxa"/>
            <w:vAlign w:val="bottom"/>
          </w:tcPr>
          <w:p>
            <w:pPr>
              <w:jc w:val="right"/>
              <w:ind w:right="76"/>
              <w:spacing w:after="0" w:line="137" w:lineRule="exact"/>
              <w:rPr>
                <w:sz w:val="20"/>
                <w:szCs w:val="20"/>
                <w:color w:val="auto"/>
              </w:rPr>
            </w:pPr>
            <w:r>
              <w:rPr>
                <w:rFonts w:ascii="Arial" w:cs="Arial" w:eastAsia="Arial" w:hAnsi="Arial"/>
                <w:sz w:val="13"/>
                <w:szCs w:val="13"/>
                <w:color w:val="auto"/>
                <w:w w:val="91"/>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(718,341</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769,667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211,281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(647,955</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847,301</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(30,845</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1,314,299</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Stage 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Changes</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Transfer</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New loans</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 PD,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December</w:t>
            </w:r>
          </w:p>
        </w:tc>
        <w:tc>
          <w:tcPr>
            <w:tcW w:w="9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w:t>
            </w:r>
          </w:p>
        </w:tc>
        <w:tc>
          <w:tcPr>
            <w:tcW w:w="8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from</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liquidation, and</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LGD, EAD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loan</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31, 2024</w:t>
            </w:r>
          </w:p>
        </w:tc>
        <w:tc>
          <w:tcPr>
            <w:tcW w:w="10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to Stage 1</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to Stage 2</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3"/>
          </w:tcPr>
          <w:p>
            <w:pPr>
              <w:ind w:left="100"/>
              <w:spacing w:after="0"/>
              <w:rPr>
                <w:sz w:val="20"/>
                <w:szCs w:val="20"/>
                <w:color w:val="auto"/>
              </w:rPr>
            </w:pPr>
            <w:r>
              <w:rPr>
                <w:rFonts w:ascii="Arial" w:cs="Arial" w:eastAsia="Arial" w:hAnsi="Arial"/>
                <w:sz w:val="13"/>
                <w:szCs w:val="13"/>
                <w:b w:val="1"/>
                <w:bCs w:val="1"/>
                <w:color w:val="auto"/>
              </w:rPr>
              <w:t>Stage 2</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write-offs, net</w:t>
            </w:r>
          </w:p>
        </w:tc>
        <w:tc>
          <w:tcPr>
            <w:tcW w:w="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31, 2025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720" w:type="dxa"/>
            <w:vAlign w:val="bottom"/>
            <w:gridSpan w:val="2"/>
          </w:tcPr>
          <w:p>
            <w:pPr>
              <w:ind w:left="160"/>
              <w:spacing w:after="0" w:line="145" w:lineRule="exact"/>
              <w:rPr>
                <w:sz w:val="20"/>
                <w:szCs w:val="20"/>
                <w:color w:val="auto"/>
              </w:rPr>
            </w:pPr>
            <w:r>
              <w:rPr>
                <w:rFonts w:ascii="Arial" w:cs="Arial" w:eastAsia="Arial" w:hAnsi="Arial"/>
                <w:sz w:val="13"/>
                <w:szCs w:val="13"/>
                <w:color w:val="auto"/>
                <w:w w:val="93"/>
              </w:rPr>
              <w:t>2,512,121</w:t>
            </w:r>
          </w:p>
        </w:tc>
        <w:tc>
          <w:tcPr>
            <w:tcW w:w="100" w:type="dxa"/>
            <w:vAlign w:val="bottom"/>
          </w:tcPr>
          <w:p>
            <w:pPr>
              <w:spacing w:after="0"/>
              <w:rPr>
                <w:sz w:val="12"/>
                <w:szCs w:val="12"/>
                <w:color w:val="auto"/>
              </w:rPr>
            </w:pP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(38,724)</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(44,967)</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5,379</w:t>
            </w: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125,576</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(793,976)</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644,487</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60,624</w:t>
            </w:r>
          </w:p>
        </w:tc>
        <w:tc>
          <w:tcPr>
            <w:tcW w:w="8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(2,637)</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(82,650)</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2,385,233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819,647</w:t>
            </w: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(15,798)</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(36,974)</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452</w:t>
            </w: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30,834</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(148,499)</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179,685</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(55)</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(28,851)</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800,441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720" w:type="dxa"/>
            <w:vAlign w:val="bottom"/>
            <w:gridSpan w:val="2"/>
          </w:tcPr>
          <w:p>
            <w:pPr>
              <w:ind w:left="160"/>
              <w:spacing w:after="0" w:line="145" w:lineRule="exact"/>
              <w:rPr>
                <w:sz w:val="20"/>
                <w:szCs w:val="20"/>
                <w:color w:val="auto"/>
              </w:rPr>
            </w:pPr>
            <w:r>
              <w:rPr>
                <w:rFonts w:ascii="Arial" w:cs="Arial" w:eastAsia="Arial" w:hAnsi="Arial"/>
                <w:sz w:val="13"/>
                <w:szCs w:val="13"/>
                <w:color w:val="auto"/>
                <w:w w:val="93"/>
              </w:rPr>
              <w:t>1,167,319</w:t>
            </w:r>
          </w:p>
        </w:tc>
        <w:tc>
          <w:tcPr>
            <w:tcW w:w="100" w:type="dxa"/>
            <w:vAlign w:val="bottom"/>
          </w:tcPr>
          <w:p>
            <w:pPr>
              <w:spacing w:after="0"/>
              <w:rPr>
                <w:sz w:val="12"/>
                <w:szCs w:val="12"/>
                <w:color w:val="auto"/>
              </w:rPr>
            </w:pPr>
          </w:p>
        </w:tc>
        <w:tc>
          <w:tcPr>
            <w:tcW w:w="920" w:type="dxa"/>
            <w:vAlign w:val="bottom"/>
            <w:gridSpan w:val="3"/>
          </w:tcPr>
          <w:p>
            <w:pPr>
              <w:jc w:val="right"/>
              <w:ind w:right="76"/>
              <w:spacing w:after="0" w:line="145" w:lineRule="exact"/>
              <w:rPr>
                <w:sz w:val="20"/>
                <w:szCs w:val="20"/>
                <w:color w:val="auto"/>
              </w:rPr>
            </w:pPr>
            <w:r>
              <w:rPr>
                <w:rFonts w:ascii="Arial" w:cs="Arial" w:eastAsia="Arial" w:hAnsi="Arial"/>
                <w:sz w:val="13"/>
                <w:szCs w:val="13"/>
                <w:color w:val="auto"/>
              </w:rPr>
              <w:t>(18,386)</w:t>
            </w:r>
          </w:p>
        </w:tc>
        <w:tc>
          <w:tcPr>
            <w:tcW w:w="84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(46,832)</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4,223</w:t>
            </w:r>
          </w:p>
        </w:tc>
        <w:tc>
          <w:tcPr>
            <w:tcW w:w="880" w:type="dxa"/>
            <w:vAlign w:val="bottom"/>
            <w:gridSpan w:val="3"/>
          </w:tcPr>
          <w:p>
            <w:pPr>
              <w:jc w:val="right"/>
              <w:ind w:right="82"/>
              <w:spacing w:after="0" w:line="145" w:lineRule="exact"/>
              <w:rPr>
                <w:sz w:val="20"/>
                <w:szCs w:val="20"/>
                <w:color w:val="auto"/>
              </w:rPr>
            </w:pPr>
            <w:r>
              <w:rPr>
                <w:rFonts w:ascii="Arial" w:cs="Arial" w:eastAsia="Arial" w:hAnsi="Arial"/>
                <w:sz w:val="13"/>
                <w:szCs w:val="13"/>
                <w:color w:val="auto"/>
              </w:rPr>
              <w:t>207,616</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(1,377,039)</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1,099,546</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(60,624)</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(26,083)</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949,740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720" w:type="dxa"/>
            <w:vAlign w:val="bottom"/>
            <w:gridSpan w:val="2"/>
          </w:tcPr>
          <w:p>
            <w:pPr>
              <w:ind w:left="160"/>
              <w:spacing w:after="0"/>
              <w:rPr>
                <w:sz w:val="20"/>
                <w:szCs w:val="20"/>
                <w:color w:val="auto"/>
              </w:rPr>
            </w:pPr>
            <w:r>
              <w:rPr>
                <w:rFonts w:ascii="Arial" w:cs="Arial" w:eastAsia="Arial" w:hAnsi="Arial"/>
                <w:sz w:val="13"/>
                <w:szCs w:val="13"/>
                <w:color w:val="auto"/>
                <w:w w:val="93"/>
              </w:rPr>
              <w:t>1,203,221</w:t>
            </w:r>
          </w:p>
        </w:tc>
        <w:tc>
          <w:tcPr>
            <w:tcW w:w="100" w:type="dxa"/>
            <w:vAlign w:val="bottom"/>
          </w:tcPr>
          <w:p>
            <w:pPr>
              <w:spacing w:after="0"/>
              <w:rPr>
                <w:sz w:val="14"/>
                <w:szCs w:val="14"/>
                <w:color w:val="auto"/>
              </w:rPr>
            </w:pPr>
          </w:p>
        </w:tc>
        <w:tc>
          <w:tcPr>
            <w:tcW w:w="920" w:type="dxa"/>
            <w:vAlign w:val="bottom"/>
            <w:gridSpan w:val="3"/>
          </w:tcPr>
          <w:p>
            <w:pPr>
              <w:jc w:val="right"/>
              <w:ind w:right="76"/>
              <w:spacing w:after="0"/>
              <w:rPr>
                <w:sz w:val="20"/>
                <w:szCs w:val="20"/>
                <w:color w:val="auto"/>
              </w:rPr>
            </w:pPr>
            <w:r>
              <w:rPr>
                <w:rFonts w:ascii="Arial" w:cs="Arial" w:eastAsia="Arial" w:hAnsi="Arial"/>
                <w:sz w:val="13"/>
                <w:szCs w:val="13"/>
                <w:color w:val="auto"/>
              </w:rPr>
              <w:t>(99,770)</w:t>
            </w:r>
          </w:p>
        </w:tc>
        <w:tc>
          <w:tcPr>
            <w:tcW w:w="840" w:type="dxa"/>
            <w:vAlign w:val="bottom"/>
            <w:gridSpan w:val="2"/>
          </w:tcPr>
          <w:p>
            <w:pPr>
              <w:jc w:val="right"/>
              <w:ind w:right="122"/>
              <w:spacing w:after="0"/>
              <w:rPr>
                <w:sz w:val="20"/>
                <w:szCs w:val="20"/>
                <w:color w:val="auto"/>
              </w:rPr>
            </w:pPr>
            <w:r>
              <w:rPr>
                <w:rFonts w:ascii="Arial" w:cs="Arial" w:eastAsia="Arial" w:hAnsi="Arial"/>
                <w:sz w:val="13"/>
                <w:szCs w:val="13"/>
                <w:color w:val="auto"/>
              </w:rPr>
              <w:t>(82,508)</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3,668</w:t>
            </w:r>
          </w:p>
        </w:tc>
        <w:tc>
          <w:tcPr>
            <w:tcW w:w="880" w:type="dxa"/>
            <w:vAlign w:val="bottom"/>
            <w:gridSpan w:val="3"/>
          </w:tcPr>
          <w:p>
            <w:pPr>
              <w:jc w:val="right"/>
              <w:ind w:right="82"/>
              <w:spacing w:after="0"/>
              <w:rPr>
                <w:sz w:val="20"/>
                <w:szCs w:val="20"/>
                <w:color w:val="auto"/>
              </w:rPr>
            </w:pPr>
            <w:r>
              <w:rPr>
                <w:rFonts w:ascii="Arial" w:cs="Arial" w:eastAsia="Arial" w:hAnsi="Arial"/>
                <w:sz w:val="13"/>
                <w:szCs w:val="13"/>
                <w:color w:val="auto"/>
              </w:rPr>
              <w:t>354,315</w:t>
            </w:r>
          </w:p>
        </w:tc>
        <w:tc>
          <w:tcPr>
            <w:tcW w:w="1300" w:type="dxa"/>
            <w:vAlign w:val="bottom"/>
            <w:gridSpan w:val="3"/>
          </w:tcPr>
          <w:p>
            <w:pPr>
              <w:jc w:val="right"/>
              <w:ind w:right="142"/>
              <w:spacing w:after="0"/>
              <w:rPr>
                <w:sz w:val="20"/>
                <w:szCs w:val="20"/>
                <w:color w:val="auto"/>
              </w:rPr>
            </w:pPr>
            <w:r>
              <w:rPr>
                <w:rFonts w:ascii="Arial" w:cs="Arial" w:eastAsia="Arial" w:hAnsi="Arial"/>
                <w:sz w:val="13"/>
                <w:szCs w:val="13"/>
                <w:color w:val="auto"/>
              </w:rPr>
              <w:t>(1,184,622)</w:t>
            </w:r>
          </w:p>
        </w:tc>
        <w:tc>
          <w:tcPr>
            <w:tcW w:w="860" w:type="dxa"/>
            <w:vAlign w:val="bottom"/>
            <w:gridSpan w:val="2"/>
          </w:tcPr>
          <w:p>
            <w:pPr>
              <w:jc w:val="right"/>
              <w:ind w:right="156"/>
              <w:spacing w:after="0"/>
              <w:rPr>
                <w:sz w:val="20"/>
                <w:szCs w:val="20"/>
                <w:color w:val="auto"/>
              </w:rPr>
            </w:pPr>
            <w:r>
              <w:rPr>
                <w:rFonts w:ascii="Arial" w:cs="Arial" w:eastAsia="Arial" w:hAnsi="Arial"/>
                <w:sz w:val="13"/>
                <w:szCs w:val="13"/>
                <w:color w:val="auto"/>
              </w:rPr>
              <w:t>972,705</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55</w:t>
            </w:r>
          </w:p>
        </w:tc>
        <w:tc>
          <w:tcPr>
            <w:tcW w:w="8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3"/>
                <w:szCs w:val="13"/>
                <w:color w:val="auto"/>
              </w:rPr>
              <w:t>(16,773)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1,150,291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color w:val="auto"/>
                <w:w w:val="93"/>
              </w:rPr>
              <w:t>5,702,308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(172,678</w:t>
            </w:r>
          </w:p>
        </w:tc>
        <w:tc>
          <w:tcPr>
            <w:tcW w:w="200" w:type="dxa"/>
            <w:vAlign w:val="bottom"/>
          </w:tcPr>
          <w:p>
            <w:pPr>
              <w:jc w:val="right"/>
              <w:ind w:right="76"/>
              <w:spacing w:after="0" w:line="137" w:lineRule="exact"/>
              <w:rPr>
                <w:sz w:val="20"/>
                <w:szCs w:val="20"/>
                <w:color w:val="auto"/>
              </w:rPr>
            </w:pPr>
            <w:r>
              <w:rPr>
                <w:rFonts w:ascii="Arial" w:cs="Arial" w:eastAsia="Arial" w:hAnsi="Arial"/>
                <w:sz w:val="13"/>
                <w:szCs w:val="13"/>
                <w:color w:val="auto"/>
                <w:w w:val="91"/>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(211,281</w:t>
            </w:r>
          </w:p>
        </w:tc>
        <w:tc>
          <w:tcPr>
            <w:tcW w:w="200" w:type="dxa"/>
            <w:vAlign w:val="bottom"/>
          </w:tcPr>
          <w:p>
            <w:pPr>
              <w:jc w:val="right"/>
              <w:ind w:right="122"/>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13,722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718,341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(3,504,136</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2,896,423</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(2,637</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(154,357</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5,285,705</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w w:val="98"/>
              </w:rPr>
              <w:t>Consolidated 3 Stages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Loan</w:t>
            </w:r>
          </w:p>
        </w:tc>
        <w:tc>
          <w:tcPr>
            <w:tcW w:w="2160" w:type="dxa"/>
            <w:vAlign w:val="bottom"/>
            <w:gridSpan w:val="5"/>
          </w:tcPr>
          <w:p>
            <w:pPr>
              <w:ind w:left="100"/>
              <w:spacing w:after="0"/>
              <w:rPr>
                <w:sz w:val="20"/>
                <w:szCs w:val="20"/>
                <w:color w:val="auto"/>
              </w:rPr>
            </w:pPr>
            <w:r>
              <w:rPr>
                <w:rFonts w:ascii="Arial" w:cs="Arial" w:eastAsia="Arial" w:hAnsi="Arial"/>
                <w:sz w:val="13"/>
                <w:szCs w:val="13"/>
                <w:b w:val="1"/>
                <w:bCs w:val="1"/>
                <w:color w:val="auto"/>
              </w:rPr>
              <w:t>Credit loss of the period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portfolio</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Changes</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written off</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New loans</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 PD,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88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and</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and liquidation,</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LGD, EAD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loan</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6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31, 2025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b w:val="1"/>
                <w:bCs w:val="1"/>
                <w:color w:val="auto"/>
              </w:rPr>
              <w:t>31, 2024</w:t>
            </w:r>
          </w:p>
        </w:tc>
        <w:tc>
          <w:tcPr>
            <w:tcW w:w="100" w:type="dxa"/>
            <w:vAlign w:val="bottom"/>
          </w:tcPr>
          <w:p>
            <w:pPr>
              <w:spacing w:after="0"/>
              <w:rPr>
                <w:sz w:val="13"/>
                <w:szCs w:val="13"/>
                <w:color w:val="auto"/>
              </w:rPr>
            </w:pPr>
          </w:p>
        </w:tc>
        <w:tc>
          <w:tcPr>
            <w:tcW w:w="880" w:type="dxa"/>
            <w:vAlign w:val="bottom"/>
            <w:gridSpan w:val="3"/>
          </w:tcPr>
          <w:p>
            <w:pPr>
              <w:ind w:left="100"/>
              <w:spacing w:after="0"/>
              <w:rPr>
                <w:sz w:val="20"/>
                <w:szCs w:val="20"/>
                <w:color w:val="auto"/>
              </w:rPr>
            </w:pPr>
            <w:r>
              <w:rPr>
                <w:rFonts w:ascii="Arial" w:cs="Arial" w:eastAsia="Arial" w:hAnsi="Arial"/>
                <w:sz w:val="13"/>
                <w:szCs w:val="13"/>
                <w:b w:val="1"/>
                <w:bCs w:val="1"/>
                <w:color w:val="auto"/>
              </w:rPr>
              <w:t>forgivens</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net</w:t>
            </w:r>
          </w:p>
        </w:tc>
        <w:tc>
          <w:tcPr>
            <w:tcW w:w="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3,328,009</w:t>
            </w:r>
          </w:p>
        </w:tc>
        <w:tc>
          <w:tcPr>
            <w:tcW w:w="100" w:type="dxa"/>
            <w:vAlign w:val="bottom"/>
          </w:tcPr>
          <w:p>
            <w:pPr>
              <w:spacing w:after="0"/>
              <w:rPr>
                <w:sz w:val="12"/>
                <w:szCs w:val="12"/>
                <w:color w:val="auto"/>
              </w:rPr>
            </w:pPr>
          </w:p>
        </w:tc>
        <w:tc>
          <w:tcPr>
            <w:tcW w:w="880" w:type="dxa"/>
            <w:vAlign w:val="bottom"/>
            <w:gridSpan w:val="3"/>
          </w:tcPr>
          <w:p>
            <w:pPr>
              <w:jc w:val="right"/>
              <w:ind w:right="42"/>
              <w:spacing w:after="0" w:line="145" w:lineRule="exact"/>
              <w:rPr>
                <w:sz w:val="20"/>
                <w:szCs w:val="20"/>
                <w:color w:val="auto"/>
              </w:rPr>
            </w:pPr>
            <w:r>
              <w:rPr>
                <w:rFonts w:ascii="Arial" w:cs="Arial" w:eastAsia="Arial" w:hAnsi="Arial"/>
                <w:sz w:val="13"/>
                <w:szCs w:val="13"/>
                <w:color w:val="auto"/>
              </w:rPr>
              <w:t>(464,330)</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(381,221)</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665,304</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153,309</w:t>
            </w:r>
          </w:p>
        </w:tc>
        <w:tc>
          <w:tcPr>
            <w:tcW w:w="220" w:type="dxa"/>
            <w:vAlign w:val="bottom"/>
          </w:tcPr>
          <w:p>
            <w:pPr>
              <w:spacing w:after="0"/>
              <w:rPr>
                <w:sz w:val="12"/>
                <w:szCs w:val="12"/>
                <w:color w:val="auto"/>
              </w:rPr>
            </w:pPr>
          </w:p>
        </w:tc>
        <w:tc>
          <w:tcPr>
            <w:tcW w:w="8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(2,637)</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(167,813)</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3,130,621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1,054,127</w:t>
            </w:r>
          </w:p>
        </w:tc>
        <w:tc>
          <w:tcPr>
            <w:tcW w:w="100" w:type="dxa"/>
            <w:vAlign w:val="bottom"/>
          </w:tcPr>
          <w:p>
            <w:pPr>
              <w:spacing w:after="0"/>
              <w:rPr>
                <w:sz w:val="12"/>
                <w:szCs w:val="12"/>
                <w:color w:val="auto"/>
              </w:rPr>
            </w:pPr>
          </w:p>
        </w:tc>
        <w:tc>
          <w:tcPr>
            <w:tcW w:w="880" w:type="dxa"/>
            <w:vAlign w:val="bottom"/>
            <w:gridSpan w:val="3"/>
          </w:tcPr>
          <w:p>
            <w:pPr>
              <w:jc w:val="right"/>
              <w:ind w:right="42"/>
              <w:spacing w:after="0" w:line="145" w:lineRule="exact"/>
              <w:rPr>
                <w:sz w:val="20"/>
                <w:szCs w:val="20"/>
                <w:color w:val="auto"/>
              </w:rPr>
            </w:pPr>
            <w:r>
              <w:rPr>
                <w:rFonts w:ascii="Arial" w:cs="Arial" w:eastAsia="Arial" w:hAnsi="Arial"/>
                <w:sz w:val="13"/>
                <w:szCs w:val="13"/>
                <w:color w:val="auto"/>
              </w:rPr>
              <w:t>(23,807)</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(133,893)</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106,869</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297</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(37,010)</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966,583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1,948,281</w:t>
            </w:r>
          </w:p>
        </w:tc>
        <w:tc>
          <w:tcPr>
            <w:tcW w:w="100" w:type="dxa"/>
            <w:vAlign w:val="bottom"/>
          </w:tcPr>
          <w:p>
            <w:pPr>
              <w:spacing w:after="0"/>
              <w:rPr>
                <w:sz w:val="12"/>
                <w:szCs w:val="12"/>
                <w:color w:val="auto"/>
              </w:rPr>
            </w:pPr>
          </w:p>
        </w:tc>
        <w:tc>
          <w:tcPr>
            <w:tcW w:w="880" w:type="dxa"/>
            <w:vAlign w:val="bottom"/>
            <w:gridSpan w:val="3"/>
          </w:tcPr>
          <w:p>
            <w:pPr>
              <w:jc w:val="right"/>
              <w:ind w:right="42"/>
              <w:spacing w:after="0" w:line="145" w:lineRule="exact"/>
              <w:rPr>
                <w:sz w:val="20"/>
                <w:szCs w:val="20"/>
                <w:color w:val="auto"/>
              </w:rPr>
            </w:pPr>
            <w:r>
              <w:rPr>
                <w:rFonts w:ascii="Arial" w:cs="Arial" w:eastAsia="Arial" w:hAnsi="Arial"/>
                <w:sz w:val="13"/>
                <w:szCs w:val="13"/>
                <w:color w:val="auto"/>
              </w:rPr>
              <w:t>(1,306,436)</w:t>
            </w:r>
          </w:p>
        </w:tc>
        <w:tc>
          <w:tcPr>
            <w:tcW w:w="130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34,119</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1,349,714</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(153,309)</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(37,756)</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1,834,613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2,048,478</w:t>
            </w:r>
          </w:p>
        </w:tc>
        <w:tc>
          <w:tcPr>
            <w:tcW w:w="100" w:type="dxa"/>
            <w:vAlign w:val="bottom"/>
          </w:tcPr>
          <w:p>
            <w:pPr>
              <w:spacing w:after="0"/>
              <w:rPr>
                <w:sz w:val="14"/>
                <w:szCs w:val="14"/>
                <w:color w:val="auto"/>
              </w:rPr>
            </w:pPr>
          </w:p>
        </w:tc>
        <w:tc>
          <w:tcPr>
            <w:tcW w:w="880" w:type="dxa"/>
            <w:vAlign w:val="bottom"/>
            <w:gridSpan w:val="3"/>
          </w:tcPr>
          <w:p>
            <w:pPr>
              <w:jc w:val="right"/>
              <w:ind w:right="42"/>
              <w:spacing w:after="0"/>
              <w:rPr>
                <w:sz w:val="20"/>
                <w:szCs w:val="20"/>
                <w:color w:val="auto"/>
              </w:rPr>
            </w:pPr>
            <w:r>
              <w:rPr>
                <w:rFonts w:ascii="Arial" w:cs="Arial" w:eastAsia="Arial" w:hAnsi="Arial"/>
                <w:sz w:val="13"/>
                <w:szCs w:val="13"/>
                <w:color w:val="auto"/>
              </w:rPr>
              <w:t>(1,130,907)</w:t>
            </w:r>
          </w:p>
        </w:tc>
        <w:tc>
          <w:tcPr>
            <w:tcW w:w="1300" w:type="dxa"/>
            <w:vAlign w:val="bottom"/>
            <w:gridSpan w:val="3"/>
          </w:tcPr>
          <w:p>
            <w:pPr>
              <w:jc w:val="right"/>
              <w:ind w:right="142"/>
              <w:spacing w:after="0"/>
              <w:rPr>
                <w:sz w:val="20"/>
                <w:szCs w:val="20"/>
                <w:color w:val="auto"/>
              </w:rPr>
            </w:pPr>
            <w:r>
              <w:rPr>
                <w:rFonts w:ascii="Arial" w:cs="Arial" w:eastAsia="Arial" w:hAnsi="Arial"/>
                <w:sz w:val="13"/>
                <w:szCs w:val="13"/>
                <w:color w:val="auto"/>
              </w:rPr>
              <w:t>(754)</w:t>
            </w:r>
          </w:p>
        </w:tc>
        <w:tc>
          <w:tcPr>
            <w:tcW w:w="860" w:type="dxa"/>
            <w:vAlign w:val="bottom"/>
            <w:gridSpan w:val="2"/>
          </w:tcPr>
          <w:p>
            <w:pPr>
              <w:jc w:val="right"/>
              <w:ind w:right="156"/>
              <w:spacing w:after="0"/>
              <w:rPr>
                <w:sz w:val="20"/>
                <w:szCs w:val="20"/>
                <w:color w:val="auto"/>
              </w:rPr>
            </w:pPr>
            <w:r>
              <w:rPr>
                <w:rFonts w:ascii="Arial" w:cs="Arial" w:eastAsia="Arial" w:hAnsi="Arial"/>
                <w:sz w:val="13"/>
                <w:szCs w:val="13"/>
                <w:color w:val="auto"/>
              </w:rPr>
              <w:t>1,233,316</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(297)</w:t>
            </w:r>
          </w:p>
        </w:tc>
        <w:tc>
          <w:tcPr>
            <w:tcW w:w="8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3"/>
                <w:szCs w:val="13"/>
                <w:color w:val="auto"/>
              </w:rPr>
              <w:t>(40,127)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2,109,709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8,378,895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(2,925,480</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(481,749</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3,355,203</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(2,637</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(282,706</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8,041,526</w:t>
            </w: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40"/>
          </w:cols>
          <w:pgMar w:left="320" w:top="316" w:right="439" w:bottom="1440" w:gutter="0" w:footer="0" w:header="0"/>
        </w:sectPr>
      </w:pPr>
    </w:p>
    <w:bookmarkStart w:id="78" w:name="page79"/>
    <w:bookmarkEnd w:id="78"/>
    <w:tbl>
      <w:tblPr>
        <w:tblLayout w:type="fixed"/>
        <w:tblInd w:w="3" w:type="dxa"/>
        <w:tblCellMar>
          <w:top w:w="0" w:type="dxa"/>
          <w:left w:w="0" w:type="dxa"/>
          <w:bottom w:w="0" w:type="dxa"/>
          <w:right w:w="0" w:type="dxa"/>
        </w:tblCellMar>
      </w:tblPr>
      <w:tr>
        <w:trPr>
          <w:trHeight w:val="153"/>
        </w:trPr>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1</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Changes</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Transfer</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New loans</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 PD,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December</w:t>
            </w:r>
          </w:p>
        </w:tc>
        <w:tc>
          <w:tcPr>
            <w:tcW w:w="90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w:t>
            </w:r>
          </w:p>
        </w:tc>
        <w:tc>
          <w:tcPr>
            <w:tcW w:w="8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from</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from</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liquidation, and</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LGD, EAD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loan</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31, 2023</w:t>
            </w:r>
          </w:p>
        </w:tc>
        <w:tc>
          <w:tcPr>
            <w:tcW w:w="10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to Stage 2</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to Stage 3</w:t>
            </w: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2</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Stage 3</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write-offs, net</w:t>
            </w:r>
          </w:p>
        </w:tc>
        <w:tc>
          <w:tcPr>
            <w:tcW w:w="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31, 2024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552,132</w:t>
            </w: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(151,847)</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(7,753)</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153,552</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64,165</w:t>
            </w:r>
          </w:p>
        </w:tc>
        <w:tc>
          <w:tcPr>
            <w:tcW w:w="130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30,593</w:t>
            </w:r>
          </w:p>
        </w:tc>
        <w:tc>
          <w:tcPr>
            <w:tcW w:w="860" w:type="dxa"/>
            <w:vAlign w:val="bottom"/>
            <w:gridSpan w:val="2"/>
          </w:tcPr>
          <w:p>
            <w:pPr>
              <w:jc w:val="right"/>
              <w:ind w:right="96"/>
              <w:spacing w:after="0" w:line="145" w:lineRule="exact"/>
              <w:rPr>
                <w:sz w:val="20"/>
                <w:szCs w:val="20"/>
                <w:color w:val="auto"/>
              </w:rPr>
            </w:pPr>
            <w:r>
              <w:rPr>
                <w:rFonts w:ascii="Arial" w:cs="Arial" w:eastAsia="Arial" w:hAnsi="Arial"/>
                <w:sz w:val="13"/>
                <w:szCs w:val="13"/>
                <w:color w:val="auto"/>
              </w:rPr>
              <w:t>(147,692)</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34,272</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(12,392)</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515,030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54,102</w:t>
            </w: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(20,949)</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(430)</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34,474</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12,065</w:t>
            </w:r>
          </w:p>
        </w:tc>
        <w:tc>
          <w:tcPr>
            <w:tcW w:w="130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9,428</w:t>
            </w:r>
          </w:p>
        </w:tc>
        <w:tc>
          <w:tcPr>
            <w:tcW w:w="860" w:type="dxa"/>
            <w:vAlign w:val="bottom"/>
            <w:gridSpan w:val="2"/>
          </w:tcPr>
          <w:p>
            <w:pPr>
              <w:jc w:val="right"/>
              <w:ind w:right="96"/>
              <w:spacing w:after="0" w:line="145" w:lineRule="exact"/>
              <w:rPr>
                <w:sz w:val="20"/>
                <w:szCs w:val="20"/>
                <w:color w:val="auto"/>
              </w:rPr>
            </w:pPr>
            <w:r>
              <w:rPr>
                <w:rFonts w:ascii="Arial" w:cs="Arial" w:eastAsia="Arial" w:hAnsi="Arial"/>
                <w:sz w:val="13"/>
                <w:szCs w:val="13"/>
                <w:color w:val="auto"/>
              </w:rPr>
              <w:t>(22,871)</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197</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242</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66,258</w:t>
            </w: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348,124</w:t>
            </w: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(356,044)</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(6,772)</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107,403</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28,034</w:t>
            </w:r>
          </w:p>
        </w:tc>
        <w:tc>
          <w:tcPr>
            <w:tcW w:w="130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464,092</w:t>
            </w:r>
          </w:p>
        </w:tc>
        <w:tc>
          <w:tcPr>
            <w:tcW w:w="860" w:type="dxa"/>
            <w:vAlign w:val="bottom"/>
            <w:gridSpan w:val="2"/>
          </w:tcPr>
          <w:p>
            <w:pPr>
              <w:jc w:val="right"/>
              <w:ind w:right="96"/>
              <w:spacing w:after="0" w:line="145" w:lineRule="exact"/>
              <w:rPr>
                <w:sz w:val="20"/>
                <w:szCs w:val="20"/>
                <w:color w:val="auto"/>
              </w:rPr>
            </w:pPr>
            <w:r>
              <w:rPr>
                <w:rFonts w:ascii="Arial" w:cs="Arial" w:eastAsia="Arial" w:hAnsi="Arial"/>
                <w:sz w:val="13"/>
                <w:szCs w:val="13"/>
                <w:color w:val="auto"/>
              </w:rPr>
              <w:t>(165,734)</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(34,272)</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(548)</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384,283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285,091</w:t>
            </w:r>
          </w:p>
        </w:tc>
        <w:tc>
          <w:tcPr>
            <w:tcW w:w="900" w:type="dxa"/>
            <w:vAlign w:val="bottom"/>
            <w:gridSpan w:val="3"/>
          </w:tcPr>
          <w:p>
            <w:pPr>
              <w:jc w:val="right"/>
              <w:ind w:right="102"/>
              <w:spacing w:after="0"/>
              <w:rPr>
                <w:sz w:val="20"/>
                <w:szCs w:val="20"/>
                <w:color w:val="auto"/>
              </w:rPr>
            </w:pPr>
            <w:r>
              <w:rPr>
                <w:rFonts w:ascii="Arial" w:cs="Arial" w:eastAsia="Arial" w:hAnsi="Arial"/>
                <w:sz w:val="13"/>
                <w:szCs w:val="13"/>
                <w:color w:val="auto"/>
              </w:rPr>
              <w:t>(245,783)</w:t>
            </w:r>
          </w:p>
        </w:tc>
        <w:tc>
          <w:tcPr>
            <w:tcW w:w="800" w:type="dxa"/>
            <w:vAlign w:val="bottom"/>
            <w:gridSpan w:val="2"/>
          </w:tcPr>
          <w:p>
            <w:pPr>
              <w:jc w:val="right"/>
              <w:ind w:right="42"/>
              <w:spacing w:after="0"/>
              <w:rPr>
                <w:sz w:val="20"/>
                <w:szCs w:val="20"/>
                <w:color w:val="auto"/>
              </w:rPr>
            </w:pPr>
            <w:r>
              <w:rPr>
                <w:rFonts w:ascii="Arial" w:cs="Arial" w:eastAsia="Arial" w:hAnsi="Arial"/>
                <w:sz w:val="13"/>
                <w:szCs w:val="13"/>
                <w:color w:val="auto"/>
              </w:rPr>
              <w:t>(5,297)</w:t>
            </w: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142,011</w:t>
            </w:r>
          </w:p>
        </w:tc>
        <w:tc>
          <w:tcPr>
            <w:tcW w:w="780" w:type="dxa"/>
            <w:vAlign w:val="bottom"/>
            <w:gridSpan w:val="2"/>
          </w:tcPr>
          <w:p>
            <w:pPr>
              <w:jc w:val="right"/>
              <w:ind w:right="82"/>
              <w:spacing w:after="0"/>
              <w:rPr>
                <w:sz w:val="20"/>
                <w:szCs w:val="20"/>
                <w:color w:val="auto"/>
              </w:rPr>
            </w:pPr>
            <w:r>
              <w:rPr>
                <w:rFonts w:ascii="Arial" w:cs="Arial" w:eastAsia="Arial" w:hAnsi="Arial"/>
                <w:sz w:val="13"/>
                <w:szCs w:val="13"/>
                <w:color w:val="auto"/>
              </w:rPr>
              <w:t>74,041</w:t>
            </w:r>
          </w:p>
        </w:tc>
        <w:tc>
          <w:tcPr>
            <w:tcW w:w="1300" w:type="dxa"/>
            <w:vAlign w:val="bottom"/>
            <w:gridSpan w:val="3"/>
          </w:tcPr>
          <w:p>
            <w:pPr>
              <w:jc w:val="right"/>
              <w:ind w:right="182"/>
              <w:spacing w:after="0"/>
              <w:rPr>
                <w:sz w:val="20"/>
                <w:szCs w:val="20"/>
                <w:color w:val="auto"/>
              </w:rPr>
            </w:pPr>
            <w:r>
              <w:rPr>
                <w:rFonts w:ascii="Arial" w:cs="Arial" w:eastAsia="Arial" w:hAnsi="Arial"/>
                <w:sz w:val="13"/>
                <w:szCs w:val="13"/>
                <w:color w:val="auto"/>
              </w:rPr>
              <w:t>51,412</w:t>
            </w:r>
          </w:p>
        </w:tc>
        <w:tc>
          <w:tcPr>
            <w:tcW w:w="860" w:type="dxa"/>
            <w:vAlign w:val="bottom"/>
            <w:gridSpan w:val="2"/>
          </w:tcPr>
          <w:p>
            <w:pPr>
              <w:jc w:val="right"/>
              <w:ind w:right="156"/>
              <w:spacing w:after="0"/>
              <w:rPr>
                <w:sz w:val="20"/>
                <w:szCs w:val="20"/>
                <w:color w:val="auto"/>
              </w:rPr>
            </w:pPr>
            <w:r>
              <w:rPr>
                <w:rFonts w:ascii="Arial" w:cs="Arial" w:eastAsia="Arial" w:hAnsi="Arial"/>
                <w:sz w:val="13"/>
                <w:szCs w:val="13"/>
                <w:color w:val="auto"/>
              </w:rPr>
              <w:t>29,377</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(197)</w:t>
            </w:r>
          </w:p>
        </w:tc>
        <w:tc>
          <w:tcPr>
            <w:tcW w:w="8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2"/>
              <w:spacing w:after="0"/>
              <w:rPr>
                <w:sz w:val="20"/>
                <w:szCs w:val="20"/>
                <w:color w:val="auto"/>
              </w:rPr>
            </w:pPr>
            <w:r>
              <w:rPr>
                <w:rFonts w:ascii="Arial" w:cs="Arial" w:eastAsia="Arial" w:hAnsi="Arial"/>
                <w:sz w:val="13"/>
                <w:szCs w:val="13"/>
                <w:color w:val="auto"/>
              </w:rPr>
              <w:t>355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331,010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color w:val="auto"/>
                <w:w w:val="93"/>
              </w:rPr>
              <w:t>1,239,449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(774,623</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(20,252</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437,440</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178,305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555,525</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(306,920</w:t>
            </w:r>
          </w:p>
        </w:tc>
        <w:tc>
          <w:tcPr>
            <w:tcW w:w="220" w:type="dxa"/>
            <w:vAlign w:val="bottom"/>
          </w:tcPr>
          <w:p>
            <w:pPr>
              <w:jc w:val="right"/>
              <w:ind w:right="96"/>
              <w:spacing w:after="0" w:line="137" w:lineRule="exact"/>
              <w:rPr>
                <w:sz w:val="20"/>
                <w:szCs w:val="20"/>
                <w:color w:val="auto"/>
              </w:rPr>
            </w:pPr>
            <w:r>
              <w:rPr>
                <w:rFonts w:ascii="Arial" w:cs="Arial" w:eastAsia="Arial" w:hAnsi="Arial"/>
                <w:sz w:val="13"/>
                <w:szCs w:val="13"/>
                <w:color w:val="auto"/>
                <w:w w:val="91"/>
              </w:rPr>
              <w:t>)</w:t>
            </w:r>
          </w:p>
        </w:tc>
        <w:tc>
          <w:tcPr>
            <w:tcW w:w="6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(12,343</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1,296,581</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Stage 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Changes</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Transfer</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New loans</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 PD,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December</w:t>
            </w:r>
          </w:p>
        </w:tc>
        <w:tc>
          <w:tcPr>
            <w:tcW w:w="90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w:t>
            </w:r>
          </w:p>
        </w:tc>
        <w:tc>
          <w:tcPr>
            <w:tcW w:w="8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from</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from</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liquidation, and</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LGD, EAD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loan</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31, 2023</w:t>
            </w:r>
          </w:p>
        </w:tc>
        <w:tc>
          <w:tcPr>
            <w:tcW w:w="10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to Stage 1</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to Stage 3</w:t>
            </w: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1</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Stage 3</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write-offs, net</w:t>
            </w:r>
          </w:p>
        </w:tc>
        <w:tc>
          <w:tcPr>
            <w:tcW w:w="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31, 2024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399,536</w:t>
            </w: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(153,552)</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(205,233)</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151,847</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55,861</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(114,850)</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143,678</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24,408</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(837)</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300,858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121,258</w:t>
            </w: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(34,474)</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(41,104)</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20,949</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29,958</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(18,325)</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90,309</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(349)</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168,222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431,282</w:t>
            </w: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(107,403)</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(351,156)</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356,044</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69,433</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(292,119)</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318,559</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(24,408)</w:t>
            </w:r>
          </w:p>
        </w:tc>
        <w:tc>
          <w:tcPr>
            <w:tcW w:w="88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(3,553)</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396,679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435,150</w:t>
            </w:r>
          </w:p>
        </w:tc>
        <w:tc>
          <w:tcPr>
            <w:tcW w:w="900" w:type="dxa"/>
            <w:vAlign w:val="bottom"/>
            <w:gridSpan w:val="3"/>
          </w:tcPr>
          <w:p>
            <w:pPr>
              <w:jc w:val="right"/>
              <w:ind w:right="102"/>
              <w:spacing w:after="0"/>
              <w:rPr>
                <w:sz w:val="20"/>
                <w:szCs w:val="20"/>
                <w:color w:val="auto"/>
              </w:rPr>
            </w:pPr>
            <w:r>
              <w:rPr>
                <w:rFonts w:ascii="Arial" w:cs="Arial" w:eastAsia="Arial" w:hAnsi="Arial"/>
                <w:sz w:val="13"/>
                <w:szCs w:val="13"/>
                <w:color w:val="auto"/>
              </w:rPr>
              <w:t>(142,011)</w:t>
            </w:r>
          </w:p>
        </w:tc>
        <w:tc>
          <w:tcPr>
            <w:tcW w:w="800" w:type="dxa"/>
            <w:vAlign w:val="bottom"/>
            <w:gridSpan w:val="2"/>
          </w:tcPr>
          <w:p>
            <w:pPr>
              <w:jc w:val="right"/>
              <w:ind w:right="42"/>
              <w:spacing w:after="0"/>
              <w:rPr>
                <w:sz w:val="20"/>
                <w:szCs w:val="20"/>
                <w:color w:val="auto"/>
              </w:rPr>
            </w:pPr>
            <w:r>
              <w:rPr>
                <w:rFonts w:ascii="Arial" w:cs="Arial" w:eastAsia="Arial" w:hAnsi="Arial"/>
                <w:sz w:val="13"/>
                <w:szCs w:val="13"/>
                <w:color w:val="auto"/>
              </w:rPr>
              <w:t>(434,526)</w:t>
            </w: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245,783</w:t>
            </w:r>
          </w:p>
        </w:tc>
        <w:tc>
          <w:tcPr>
            <w:tcW w:w="780" w:type="dxa"/>
            <w:vAlign w:val="bottom"/>
            <w:gridSpan w:val="2"/>
          </w:tcPr>
          <w:p>
            <w:pPr>
              <w:jc w:val="right"/>
              <w:ind w:right="82"/>
              <w:spacing w:after="0"/>
              <w:rPr>
                <w:sz w:val="20"/>
                <w:szCs w:val="20"/>
                <w:color w:val="auto"/>
              </w:rPr>
            </w:pPr>
            <w:r>
              <w:rPr>
                <w:rFonts w:ascii="Arial" w:cs="Arial" w:eastAsia="Arial" w:hAnsi="Arial"/>
                <w:sz w:val="13"/>
                <w:szCs w:val="13"/>
                <w:color w:val="auto"/>
              </w:rPr>
              <w:t>85,974</w:t>
            </w:r>
          </w:p>
        </w:tc>
        <w:tc>
          <w:tcPr>
            <w:tcW w:w="1300" w:type="dxa"/>
            <w:vAlign w:val="bottom"/>
            <w:gridSpan w:val="3"/>
          </w:tcPr>
          <w:p>
            <w:pPr>
              <w:jc w:val="right"/>
              <w:ind w:right="142"/>
              <w:spacing w:after="0"/>
              <w:rPr>
                <w:sz w:val="20"/>
                <w:szCs w:val="20"/>
                <w:color w:val="auto"/>
              </w:rPr>
            </w:pPr>
            <w:r>
              <w:rPr>
                <w:rFonts w:ascii="Arial" w:cs="Arial" w:eastAsia="Arial" w:hAnsi="Arial"/>
                <w:sz w:val="13"/>
                <w:szCs w:val="13"/>
                <w:color w:val="auto"/>
              </w:rPr>
              <w:t>(146,722)</w:t>
            </w:r>
          </w:p>
        </w:tc>
        <w:tc>
          <w:tcPr>
            <w:tcW w:w="860" w:type="dxa"/>
            <w:vAlign w:val="bottom"/>
            <w:gridSpan w:val="2"/>
          </w:tcPr>
          <w:p>
            <w:pPr>
              <w:jc w:val="right"/>
              <w:ind w:right="156"/>
              <w:spacing w:after="0"/>
              <w:rPr>
                <w:sz w:val="20"/>
                <w:szCs w:val="20"/>
                <w:color w:val="auto"/>
              </w:rPr>
            </w:pPr>
            <w:r>
              <w:rPr>
                <w:rFonts w:ascii="Arial" w:cs="Arial" w:eastAsia="Arial" w:hAnsi="Arial"/>
                <w:sz w:val="13"/>
                <w:szCs w:val="13"/>
                <w:color w:val="auto"/>
              </w:rPr>
              <w:t>473,117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3"/>
                <w:szCs w:val="13"/>
                <w:color w:val="auto"/>
              </w:rPr>
              <w:t>(2,518)</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514,247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color w:val="auto"/>
                <w:w w:val="93"/>
              </w:rPr>
              <w:t>1,387,226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(437,440</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(1,032,019</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774,623</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241,226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(572,016</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1,025,663</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(7,257</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1,380,006</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Stage 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Changes</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Balance at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Transfer</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New loans</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 PD,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2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December</w:t>
            </w:r>
          </w:p>
        </w:tc>
        <w:tc>
          <w:tcPr>
            <w:tcW w:w="90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Transfer</w:t>
            </w:r>
          </w:p>
        </w:tc>
        <w:tc>
          <w:tcPr>
            <w:tcW w:w="8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from</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from</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liquidation, and</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LGD, EAD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loan</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31, 2023</w:t>
            </w:r>
          </w:p>
        </w:tc>
        <w:tc>
          <w:tcPr>
            <w:tcW w:w="10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to Stage 1</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to Stage 2</w:t>
            </w: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1</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Stage 2</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write-offs, net</w:t>
            </w:r>
          </w:p>
        </w:tc>
        <w:tc>
          <w:tcPr>
            <w:tcW w:w="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31, 2024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720" w:type="dxa"/>
            <w:vAlign w:val="bottom"/>
            <w:gridSpan w:val="2"/>
          </w:tcPr>
          <w:p>
            <w:pPr>
              <w:ind w:left="160"/>
              <w:spacing w:after="0" w:line="145" w:lineRule="exact"/>
              <w:rPr>
                <w:sz w:val="20"/>
                <w:szCs w:val="20"/>
                <w:color w:val="auto"/>
              </w:rPr>
            </w:pPr>
            <w:r>
              <w:rPr>
                <w:rFonts w:ascii="Arial" w:cs="Arial" w:eastAsia="Arial" w:hAnsi="Arial"/>
                <w:sz w:val="13"/>
                <w:szCs w:val="13"/>
                <w:color w:val="auto"/>
                <w:w w:val="93"/>
              </w:rPr>
              <w:t>2,631,554</w:t>
            </w:r>
          </w:p>
        </w:tc>
        <w:tc>
          <w:tcPr>
            <w:tcW w:w="100" w:type="dxa"/>
            <w:vAlign w:val="bottom"/>
          </w:tcPr>
          <w:p>
            <w:pPr>
              <w:spacing w:after="0"/>
              <w:rPr>
                <w:sz w:val="12"/>
                <w:szCs w:val="12"/>
                <w:color w:val="auto"/>
              </w:rPr>
            </w:pP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(64,165)</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(55,861)</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7,753</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205,233</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(881,988)</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837,925</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(89,886)</w:t>
            </w:r>
          </w:p>
        </w:tc>
        <w:tc>
          <w:tcPr>
            <w:tcW w:w="8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(83,143)</w:t>
            </w:r>
          </w:p>
        </w:tc>
        <w:tc>
          <w:tcPr>
            <w:tcW w:w="9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4,699</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2,512,121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785,261</w:t>
            </w: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(12,065)</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(29,958)</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430</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41,104</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(155,152)</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213,306</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227</w:t>
            </w:r>
          </w:p>
        </w:tc>
        <w:tc>
          <w:tcPr>
            <w:tcW w:w="8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(25,181)</w:t>
            </w:r>
          </w:p>
        </w:tc>
        <w:tc>
          <w:tcPr>
            <w:tcW w:w="9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1,675</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819,647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720" w:type="dxa"/>
            <w:vAlign w:val="bottom"/>
            <w:gridSpan w:val="2"/>
          </w:tcPr>
          <w:p>
            <w:pPr>
              <w:ind w:left="160"/>
              <w:spacing w:after="0" w:line="145" w:lineRule="exact"/>
              <w:rPr>
                <w:sz w:val="20"/>
                <w:szCs w:val="20"/>
                <w:color w:val="auto"/>
              </w:rPr>
            </w:pPr>
            <w:r>
              <w:rPr>
                <w:rFonts w:ascii="Arial" w:cs="Arial" w:eastAsia="Arial" w:hAnsi="Arial"/>
                <w:sz w:val="13"/>
                <w:szCs w:val="13"/>
                <w:color w:val="auto"/>
                <w:w w:val="93"/>
              </w:rPr>
              <w:t>1,288,082</w:t>
            </w:r>
          </w:p>
        </w:tc>
        <w:tc>
          <w:tcPr>
            <w:tcW w:w="100" w:type="dxa"/>
            <w:vAlign w:val="bottom"/>
          </w:tcPr>
          <w:p>
            <w:pPr>
              <w:spacing w:after="0"/>
              <w:rPr>
                <w:sz w:val="12"/>
                <w:szCs w:val="12"/>
                <w:color w:val="auto"/>
              </w:rPr>
            </w:pPr>
          </w:p>
        </w:tc>
        <w:tc>
          <w:tcPr>
            <w:tcW w:w="90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(28,034)</w:t>
            </w:r>
          </w:p>
        </w:tc>
        <w:tc>
          <w:tcPr>
            <w:tcW w:w="80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(69,433)</w:t>
            </w: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6,772</w:t>
            </w:r>
          </w:p>
        </w:tc>
        <w:tc>
          <w:tcPr>
            <w:tcW w:w="78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351,156</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(1,898,683)</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1,435,145</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89,886</w:t>
            </w:r>
          </w:p>
        </w:tc>
        <w:tc>
          <w:tcPr>
            <w:tcW w:w="8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(5,540)</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(2,032)</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1,167,319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720" w:type="dxa"/>
            <w:vAlign w:val="bottom"/>
            <w:gridSpan w:val="2"/>
          </w:tcPr>
          <w:p>
            <w:pPr>
              <w:ind w:left="160"/>
              <w:spacing w:after="0"/>
              <w:rPr>
                <w:sz w:val="20"/>
                <w:szCs w:val="20"/>
                <w:color w:val="auto"/>
              </w:rPr>
            </w:pPr>
            <w:r>
              <w:rPr>
                <w:rFonts w:ascii="Arial" w:cs="Arial" w:eastAsia="Arial" w:hAnsi="Arial"/>
                <w:sz w:val="13"/>
                <w:szCs w:val="13"/>
                <w:color w:val="auto"/>
                <w:w w:val="93"/>
              </w:rPr>
              <w:t>1,314,373</w:t>
            </w:r>
          </w:p>
        </w:tc>
        <w:tc>
          <w:tcPr>
            <w:tcW w:w="100" w:type="dxa"/>
            <w:vAlign w:val="bottom"/>
          </w:tcPr>
          <w:p>
            <w:pPr>
              <w:spacing w:after="0"/>
              <w:rPr>
                <w:sz w:val="14"/>
                <w:szCs w:val="14"/>
                <w:color w:val="auto"/>
              </w:rPr>
            </w:pPr>
          </w:p>
        </w:tc>
        <w:tc>
          <w:tcPr>
            <w:tcW w:w="900" w:type="dxa"/>
            <w:vAlign w:val="bottom"/>
            <w:gridSpan w:val="3"/>
          </w:tcPr>
          <w:p>
            <w:pPr>
              <w:jc w:val="right"/>
              <w:ind w:right="102"/>
              <w:spacing w:after="0"/>
              <w:rPr>
                <w:sz w:val="20"/>
                <w:szCs w:val="20"/>
                <w:color w:val="auto"/>
              </w:rPr>
            </w:pPr>
            <w:r>
              <w:rPr>
                <w:rFonts w:ascii="Arial" w:cs="Arial" w:eastAsia="Arial" w:hAnsi="Arial"/>
                <w:sz w:val="13"/>
                <w:szCs w:val="13"/>
                <w:color w:val="auto"/>
              </w:rPr>
              <w:t>(74,041)</w:t>
            </w:r>
          </w:p>
        </w:tc>
        <w:tc>
          <w:tcPr>
            <w:tcW w:w="800" w:type="dxa"/>
            <w:vAlign w:val="bottom"/>
            <w:gridSpan w:val="2"/>
          </w:tcPr>
          <w:p>
            <w:pPr>
              <w:jc w:val="right"/>
              <w:ind w:right="42"/>
              <w:spacing w:after="0"/>
              <w:rPr>
                <w:sz w:val="20"/>
                <w:szCs w:val="20"/>
                <w:color w:val="auto"/>
              </w:rPr>
            </w:pPr>
            <w:r>
              <w:rPr>
                <w:rFonts w:ascii="Arial" w:cs="Arial" w:eastAsia="Arial" w:hAnsi="Arial"/>
                <w:sz w:val="13"/>
                <w:szCs w:val="13"/>
                <w:color w:val="auto"/>
              </w:rPr>
              <w:t>(85,974)</w:t>
            </w: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5,297</w:t>
            </w:r>
          </w:p>
        </w:tc>
        <w:tc>
          <w:tcPr>
            <w:tcW w:w="780" w:type="dxa"/>
            <w:vAlign w:val="bottom"/>
            <w:gridSpan w:val="2"/>
          </w:tcPr>
          <w:p>
            <w:pPr>
              <w:jc w:val="right"/>
              <w:ind w:right="82"/>
              <w:spacing w:after="0"/>
              <w:rPr>
                <w:sz w:val="20"/>
                <w:szCs w:val="20"/>
                <w:color w:val="auto"/>
              </w:rPr>
            </w:pPr>
            <w:r>
              <w:rPr>
                <w:rFonts w:ascii="Arial" w:cs="Arial" w:eastAsia="Arial" w:hAnsi="Arial"/>
                <w:sz w:val="13"/>
                <w:szCs w:val="13"/>
                <w:color w:val="auto"/>
              </w:rPr>
              <w:t>434,526</w:t>
            </w:r>
          </w:p>
        </w:tc>
        <w:tc>
          <w:tcPr>
            <w:tcW w:w="1300" w:type="dxa"/>
            <w:vAlign w:val="bottom"/>
            <w:gridSpan w:val="3"/>
          </w:tcPr>
          <w:p>
            <w:pPr>
              <w:jc w:val="right"/>
              <w:ind w:right="142"/>
              <w:spacing w:after="0"/>
              <w:rPr>
                <w:sz w:val="20"/>
                <w:szCs w:val="20"/>
                <w:color w:val="auto"/>
              </w:rPr>
            </w:pPr>
            <w:r>
              <w:rPr>
                <w:rFonts w:ascii="Arial" w:cs="Arial" w:eastAsia="Arial" w:hAnsi="Arial"/>
                <w:sz w:val="13"/>
                <w:szCs w:val="13"/>
                <w:color w:val="auto"/>
              </w:rPr>
              <w:t>(1,656,047)</w:t>
            </w:r>
          </w:p>
        </w:tc>
        <w:tc>
          <w:tcPr>
            <w:tcW w:w="860" w:type="dxa"/>
            <w:vAlign w:val="bottom"/>
            <w:gridSpan w:val="2"/>
          </w:tcPr>
          <w:p>
            <w:pPr>
              <w:jc w:val="right"/>
              <w:ind w:right="156"/>
              <w:spacing w:after="0"/>
              <w:rPr>
                <w:sz w:val="20"/>
                <w:szCs w:val="20"/>
                <w:color w:val="auto"/>
              </w:rPr>
            </w:pPr>
            <w:r>
              <w:rPr>
                <w:rFonts w:ascii="Arial" w:cs="Arial" w:eastAsia="Arial" w:hAnsi="Arial"/>
                <w:sz w:val="13"/>
                <w:szCs w:val="13"/>
                <w:color w:val="auto"/>
              </w:rPr>
              <w:t>1,275,984</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(227)</w:t>
            </w:r>
          </w:p>
        </w:tc>
        <w:tc>
          <w:tcPr>
            <w:tcW w:w="880" w:type="dxa"/>
            <w:vAlign w:val="bottom"/>
            <w:gridSpan w:val="2"/>
          </w:tcPr>
          <w:p>
            <w:pPr>
              <w:jc w:val="right"/>
              <w:ind w:right="142"/>
              <w:spacing w:after="0"/>
              <w:rPr>
                <w:sz w:val="20"/>
                <w:szCs w:val="20"/>
                <w:color w:val="auto"/>
              </w:rPr>
            </w:pPr>
            <w:r>
              <w:rPr>
                <w:rFonts w:ascii="Arial" w:cs="Arial" w:eastAsia="Arial" w:hAnsi="Arial"/>
                <w:sz w:val="13"/>
                <w:szCs w:val="13"/>
                <w:color w:val="auto"/>
              </w:rPr>
              <w:t>(8,554)</w:t>
            </w:r>
          </w:p>
        </w:tc>
        <w:tc>
          <w:tcPr>
            <w:tcW w:w="900" w:type="dxa"/>
            <w:vAlign w:val="bottom"/>
            <w:gridSpan w:val="2"/>
          </w:tcPr>
          <w:p>
            <w:pPr>
              <w:jc w:val="right"/>
              <w:ind w:right="142"/>
              <w:spacing w:after="0"/>
              <w:rPr>
                <w:sz w:val="20"/>
                <w:szCs w:val="20"/>
                <w:color w:val="auto"/>
              </w:rPr>
            </w:pPr>
            <w:r>
              <w:rPr>
                <w:rFonts w:ascii="Arial" w:cs="Arial" w:eastAsia="Arial" w:hAnsi="Arial"/>
                <w:sz w:val="13"/>
                <w:szCs w:val="13"/>
                <w:color w:val="auto"/>
              </w:rPr>
              <w:t>(2,116)</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1,203,221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color w:val="auto"/>
                <w:w w:val="93"/>
              </w:rPr>
              <w:t>6,019,270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(178,305</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(241,226</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20,252</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1,032,019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(4,591,870</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3,762,360</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(122,418</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2,226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5,702,308</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w w:val="98"/>
              </w:rPr>
              <w:t>Consolidated 3 Stages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Loan</w:t>
            </w:r>
          </w:p>
        </w:tc>
        <w:tc>
          <w:tcPr>
            <w:tcW w:w="2160" w:type="dxa"/>
            <w:vAlign w:val="bottom"/>
            <w:gridSpan w:val="5"/>
          </w:tcPr>
          <w:p>
            <w:pPr>
              <w:ind w:left="100"/>
              <w:spacing w:after="0"/>
              <w:rPr>
                <w:sz w:val="20"/>
                <w:szCs w:val="20"/>
                <w:color w:val="auto"/>
              </w:rPr>
            </w:pPr>
            <w:r>
              <w:rPr>
                <w:rFonts w:ascii="Arial" w:cs="Arial" w:eastAsia="Arial" w:hAnsi="Arial"/>
                <w:sz w:val="13"/>
                <w:szCs w:val="13"/>
                <w:b w:val="1"/>
                <w:bCs w:val="1"/>
                <w:color w:val="auto"/>
              </w:rPr>
              <w:t>Credit loss of the period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portfolio</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Changes</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Transfers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Balance at</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written off</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New loans</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 PD,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Sale of</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December</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w:t>
            </w:r>
          </w:p>
        </w:tc>
        <w:tc>
          <w:tcPr>
            <w:tcW w:w="130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and liquidation,</w:t>
            </w: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LGD, EAD</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loan</w:t>
            </w:r>
          </w:p>
        </w:tc>
        <w:tc>
          <w:tcPr>
            <w:tcW w:w="9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differences</w:t>
            </w:r>
          </w:p>
        </w:tc>
        <w:tc>
          <w:tcPr>
            <w:tcW w:w="6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31, 2024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Loans by class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31, 2023</w:t>
            </w:r>
          </w:p>
        </w:tc>
        <w:tc>
          <w:tcPr>
            <w:tcW w:w="2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forgivens</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net</w:t>
            </w:r>
          </w:p>
        </w:tc>
        <w:tc>
          <w:tcPr>
            <w:tcW w:w="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portfolio</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Commercial loans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3,583,222</w:t>
            </w:r>
          </w:p>
        </w:tc>
        <w:tc>
          <w:tcPr>
            <w:tcW w:w="78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(614,686)</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(351,559)</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833,911</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(31,206)</w:t>
            </w:r>
          </w:p>
        </w:tc>
        <w:tc>
          <w:tcPr>
            <w:tcW w:w="8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(83,143)</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(8,530)</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3,328,009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loans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960,621</w:t>
            </w:r>
          </w:p>
        </w:tc>
        <w:tc>
          <w:tcPr>
            <w:tcW w:w="78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(23,023)</w:t>
            </w:r>
          </w:p>
        </w:tc>
        <w:tc>
          <w:tcPr>
            <w:tcW w:w="1300" w:type="dxa"/>
            <w:vAlign w:val="bottom"/>
            <w:gridSpan w:val="3"/>
          </w:tcPr>
          <w:p>
            <w:pPr>
              <w:jc w:val="right"/>
              <w:ind w:right="142"/>
              <w:spacing w:after="0" w:line="145" w:lineRule="exact"/>
              <w:rPr>
                <w:sz w:val="20"/>
                <w:szCs w:val="20"/>
                <w:color w:val="auto"/>
              </w:rPr>
            </w:pPr>
            <w:r>
              <w:rPr>
                <w:rFonts w:ascii="Arial" w:cs="Arial" w:eastAsia="Arial" w:hAnsi="Arial"/>
                <w:sz w:val="13"/>
                <w:szCs w:val="13"/>
                <w:color w:val="auto"/>
              </w:rPr>
              <w:t>(141,026)</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280,744</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424</w:t>
            </w:r>
          </w:p>
        </w:tc>
        <w:tc>
          <w:tcPr>
            <w:tcW w:w="8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(25,181)</w:t>
            </w:r>
          </w:p>
        </w:tc>
        <w:tc>
          <w:tcPr>
            <w:tcW w:w="9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1,568</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1,054,127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Small and Micro-</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40"/>
              <w:spacing w:after="0" w:line="145" w:lineRule="exact"/>
              <w:rPr>
                <w:sz w:val="20"/>
                <w:szCs w:val="20"/>
                <w:color w:val="auto"/>
              </w:rPr>
            </w:pPr>
            <w:r>
              <w:rPr>
                <w:rFonts w:ascii="Arial" w:cs="Arial" w:eastAsia="Arial" w:hAnsi="Arial"/>
                <w:sz w:val="13"/>
                <w:szCs w:val="13"/>
                <w:color w:val="auto"/>
              </w:rPr>
              <w:t>business loans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2,067,488</w:t>
            </w:r>
          </w:p>
        </w:tc>
        <w:tc>
          <w:tcPr>
            <w:tcW w:w="780" w:type="dxa"/>
            <w:vAlign w:val="bottom"/>
            <w:gridSpan w:val="2"/>
          </w:tcPr>
          <w:p>
            <w:pPr>
              <w:jc w:val="right"/>
              <w:ind w:right="42"/>
              <w:spacing w:after="0" w:line="145" w:lineRule="exact"/>
              <w:rPr>
                <w:sz w:val="20"/>
                <w:szCs w:val="20"/>
                <w:color w:val="auto"/>
              </w:rPr>
            </w:pPr>
            <w:r>
              <w:rPr>
                <w:rFonts w:ascii="Arial" w:cs="Arial" w:eastAsia="Arial" w:hAnsi="Arial"/>
                <w:sz w:val="13"/>
                <w:szCs w:val="13"/>
                <w:color w:val="auto"/>
              </w:rPr>
              <w:t>(1,813,283)</w:t>
            </w:r>
          </w:p>
        </w:tc>
        <w:tc>
          <w:tcPr>
            <w:tcW w:w="1300" w:type="dxa"/>
            <w:vAlign w:val="bottom"/>
            <w:gridSpan w:val="3"/>
          </w:tcPr>
          <w:p>
            <w:pPr>
              <w:jc w:val="right"/>
              <w:ind w:right="182"/>
              <w:spacing w:after="0" w:line="145" w:lineRule="exact"/>
              <w:rPr>
                <w:sz w:val="20"/>
                <w:szCs w:val="20"/>
                <w:color w:val="auto"/>
              </w:rPr>
            </w:pPr>
            <w:r>
              <w:rPr>
                <w:rFonts w:ascii="Arial" w:cs="Arial" w:eastAsia="Arial" w:hAnsi="Arial"/>
                <w:sz w:val="13"/>
                <w:szCs w:val="13"/>
                <w:color w:val="auto"/>
              </w:rPr>
              <w:t>86,573</w:t>
            </w:r>
          </w:p>
        </w:tc>
        <w:tc>
          <w:tcPr>
            <w:tcW w:w="86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1,587,970</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31,206</w:t>
            </w:r>
          </w:p>
        </w:tc>
        <w:tc>
          <w:tcPr>
            <w:tcW w:w="8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(5,540)</w:t>
            </w:r>
          </w:p>
        </w:tc>
        <w:tc>
          <w:tcPr>
            <w:tcW w:w="9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(6,133)</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1,948,281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40"/>
              <w:spacing w:after="0"/>
              <w:rPr>
                <w:sz w:val="20"/>
                <w:szCs w:val="20"/>
                <w:color w:val="auto"/>
              </w:rPr>
            </w:pPr>
            <w:r>
              <w:rPr>
                <w:rFonts w:ascii="Arial" w:cs="Arial" w:eastAsia="Arial" w:hAnsi="Arial"/>
                <w:sz w:val="13"/>
                <w:szCs w:val="13"/>
                <w:color w:val="auto"/>
              </w:rPr>
              <w:t>Consumer loans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2,034,614</w:t>
            </w:r>
          </w:p>
        </w:tc>
        <w:tc>
          <w:tcPr>
            <w:tcW w:w="780" w:type="dxa"/>
            <w:vAlign w:val="bottom"/>
            <w:gridSpan w:val="2"/>
          </w:tcPr>
          <w:p>
            <w:pPr>
              <w:jc w:val="right"/>
              <w:ind w:right="42"/>
              <w:spacing w:after="0"/>
              <w:rPr>
                <w:sz w:val="20"/>
                <w:szCs w:val="20"/>
                <w:color w:val="auto"/>
              </w:rPr>
            </w:pPr>
            <w:r>
              <w:rPr>
                <w:rFonts w:ascii="Arial" w:cs="Arial" w:eastAsia="Arial" w:hAnsi="Arial"/>
                <w:sz w:val="13"/>
                <w:szCs w:val="13"/>
                <w:color w:val="auto"/>
              </w:rPr>
              <w:t>(1,619,567)</w:t>
            </w:r>
          </w:p>
        </w:tc>
        <w:tc>
          <w:tcPr>
            <w:tcW w:w="1300" w:type="dxa"/>
            <w:vAlign w:val="bottom"/>
            <w:gridSpan w:val="3"/>
          </w:tcPr>
          <w:p>
            <w:pPr>
              <w:jc w:val="right"/>
              <w:ind w:right="142"/>
              <w:spacing w:after="0"/>
              <w:rPr>
                <w:sz w:val="20"/>
                <w:szCs w:val="20"/>
                <w:color w:val="auto"/>
              </w:rPr>
            </w:pPr>
            <w:r>
              <w:rPr>
                <w:rFonts w:ascii="Arial" w:cs="Arial" w:eastAsia="Arial" w:hAnsi="Arial"/>
                <w:sz w:val="13"/>
                <w:szCs w:val="13"/>
                <w:color w:val="auto"/>
              </w:rPr>
              <w:t>(131,790)</w:t>
            </w:r>
          </w:p>
        </w:tc>
        <w:tc>
          <w:tcPr>
            <w:tcW w:w="860" w:type="dxa"/>
            <w:vAlign w:val="bottom"/>
            <w:gridSpan w:val="2"/>
          </w:tcPr>
          <w:p>
            <w:pPr>
              <w:jc w:val="right"/>
              <w:ind w:right="156"/>
              <w:spacing w:after="0"/>
              <w:rPr>
                <w:sz w:val="20"/>
                <w:szCs w:val="20"/>
                <w:color w:val="auto"/>
              </w:rPr>
            </w:pPr>
            <w:r>
              <w:rPr>
                <w:rFonts w:ascii="Arial" w:cs="Arial" w:eastAsia="Arial" w:hAnsi="Arial"/>
                <w:sz w:val="13"/>
                <w:szCs w:val="13"/>
                <w:color w:val="auto"/>
              </w:rPr>
              <w:t>1,778,478</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(424)</w:t>
            </w:r>
          </w:p>
        </w:tc>
        <w:tc>
          <w:tcPr>
            <w:tcW w:w="880" w:type="dxa"/>
            <w:vAlign w:val="bottom"/>
            <w:gridSpan w:val="2"/>
          </w:tcPr>
          <w:p>
            <w:pPr>
              <w:jc w:val="right"/>
              <w:ind w:right="142"/>
              <w:spacing w:after="0"/>
              <w:rPr>
                <w:sz w:val="20"/>
                <w:szCs w:val="20"/>
                <w:color w:val="auto"/>
              </w:rPr>
            </w:pPr>
            <w:r>
              <w:rPr>
                <w:rFonts w:ascii="Arial" w:cs="Arial" w:eastAsia="Arial" w:hAnsi="Arial"/>
                <w:sz w:val="13"/>
                <w:szCs w:val="13"/>
                <w:color w:val="auto"/>
              </w:rPr>
              <w:t>(8,554)</w:t>
            </w:r>
          </w:p>
        </w:tc>
        <w:tc>
          <w:tcPr>
            <w:tcW w:w="900" w:type="dxa"/>
            <w:vAlign w:val="bottom"/>
            <w:gridSpan w:val="2"/>
          </w:tcPr>
          <w:p>
            <w:pPr>
              <w:jc w:val="right"/>
              <w:ind w:right="142"/>
              <w:spacing w:after="0"/>
              <w:rPr>
                <w:sz w:val="20"/>
                <w:szCs w:val="20"/>
                <w:color w:val="auto"/>
              </w:rPr>
            </w:pPr>
            <w:r>
              <w:rPr>
                <w:rFonts w:ascii="Arial" w:cs="Arial" w:eastAsia="Arial" w:hAnsi="Arial"/>
                <w:sz w:val="13"/>
                <w:szCs w:val="13"/>
                <w:color w:val="auto"/>
              </w:rPr>
              <w:t>(4,279)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2,048,478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8,645,945</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u w:val="single" w:color="auto"/>
                <w:color w:val="auto"/>
              </w:rPr>
              <w:t>(4,070,559</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(537,802</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u w:val="single" w:color="auto"/>
                <w:color w:val="auto"/>
              </w:rPr>
              <w:t>4,481,103</w:t>
            </w:r>
          </w:p>
        </w:tc>
        <w:tc>
          <w:tcPr>
            <w:tcW w:w="220" w:type="dxa"/>
            <w:vAlign w:val="bottom"/>
          </w:tcPr>
          <w:p>
            <w:pPr>
              <w:spacing w:after="0"/>
              <w:rPr>
                <w:sz w:val="13"/>
                <w:szCs w:val="13"/>
                <w:color w:val="auto"/>
              </w:rPr>
            </w:pPr>
          </w:p>
        </w:tc>
        <w:tc>
          <w:tcPr>
            <w:tcW w:w="660" w:type="dxa"/>
            <w:vAlign w:val="bottom"/>
            <w:tcBorders>
              <w:top w:val="single" w:sz="8" w:color="auto"/>
            </w:tcBorders>
          </w:tcPr>
          <w:p>
            <w:pPr>
              <w:ind w:left="6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(122,418</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(17,374</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8,378,895</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-13970</wp:posOffset>
            </wp:positionV>
            <wp:extent cx="45192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19295" cy="15240"/>
                    </a:xfrm>
                    <a:prstGeom prst="rect">
                      <a:avLst/>
                    </a:prstGeom>
                    <a:noFill/>
                  </pic:spPr>
                </pic:pic>
              </a:graphicData>
            </a:graphic>
          </wp:anchor>
        </w:drawing>
      </w:r>
    </w:p>
    <w:p>
      <w:pPr>
        <w:ind w:left="223" w:hanging="223"/>
        <w:spacing w:after="0"/>
        <w:tabs>
          <w:tab w:leader="none" w:pos="22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movement includes the following effects:</w:t>
      </w:r>
    </w:p>
    <w:p>
      <w:pPr>
        <w:spacing w:after="0" w:line="161" w:lineRule="exact"/>
        <w:rPr>
          <w:rFonts w:ascii="Arial" w:cs="Arial" w:eastAsia="Arial" w:hAnsi="Arial"/>
          <w:sz w:val="16"/>
          <w:szCs w:val="16"/>
          <w:color w:val="auto"/>
        </w:rPr>
      </w:pPr>
    </w:p>
    <w:p>
      <w:pPr>
        <w:ind w:left="583" w:hanging="294"/>
        <w:spacing w:after="0"/>
        <w:tabs>
          <w:tab w:leader="none" w:pos="583" w:val="left"/>
        </w:tabs>
        <w:numPr>
          <w:ilvl w:val="1"/>
          <w:numId w:val="86"/>
        </w:numPr>
        <w:rPr>
          <w:rFonts w:ascii="Arial" w:cs="Arial" w:eastAsia="Arial" w:hAnsi="Arial"/>
          <w:sz w:val="16"/>
          <w:szCs w:val="16"/>
          <w:color w:val="auto"/>
        </w:rPr>
      </w:pPr>
      <w:r>
        <w:rPr>
          <w:rFonts w:ascii="Arial" w:cs="Arial" w:eastAsia="Arial" w:hAnsi="Arial"/>
          <w:sz w:val="16"/>
          <w:szCs w:val="16"/>
          <w:color w:val="auto"/>
        </w:rPr>
        <w:t>calibrations to the PD, LGD and EAD models;</w:t>
      </w:r>
    </w:p>
    <w:p>
      <w:pPr>
        <w:spacing w:after="0" w:line="12" w:lineRule="exact"/>
        <w:rPr>
          <w:rFonts w:ascii="Arial" w:cs="Arial" w:eastAsia="Arial" w:hAnsi="Arial"/>
          <w:sz w:val="16"/>
          <w:szCs w:val="16"/>
          <w:color w:val="auto"/>
        </w:rPr>
      </w:pPr>
    </w:p>
    <w:p>
      <w:pPr>
        <w:ind w:left="583" w:hanging="294"/>
        <w:spacing w:after="0" w:line="236" w:lineRule="auto"/>
        <w:tabs>
          <w:tab w:leader="none" w:pos="583" w:val="left"/>
        </w:tabs>
        <w:numPr>
          <w:ilvl w:val="1"/>
          <w:numId w:val="86"/>
        </w:numPr>
        <w:rPr>
          <w:rFonts w:ascii="Arial" w:cs="Arial" w:eastAsia="Arial" w:hAnsi="Arial"/>
          <w:sz w:val="16"/>
          <w:szCs w:val="16"/>
          <w:color w:val="auto"/>
        </w:rPr>
      </w:pPr>
      <w:r>
        <w:rPr>
          <w:rFonts w:ascii="Arial" w:cs="Arial" w:eastAsia="Arial" w:hAnsi="Arial"/>
          <w:sz w:val="16"/>
          <w:szCs w:val="16"/>
          <w:color w:val="auto"/>
        </w:rPr>
        <w:t>updating of macroeconomic models and projections;</w:t>
      </w:r>
    </w:p>
    <w:p>
      <w:pPr>
        <w:ind w:left="583" w:hanging="294"/>
        <w:spacing w:after="0" w:line="236" w:lineRule="auto"/>
        <w:tabs>
          <w:tab w:leader="none" w:pos="583" w:val="left"/>
        </w:tabs>
        <w:numPr>
          <w:ilvl w:val="1"/>
          <w:numId w:val="86"/>
        </w:numPr>
        <w:rPr>
          <w:rFonts w:ascii="Arial" w:cs="Arial" w:eastAsia="Arial" w:hAnsi="Arial"/>
          <w:sz w:val="16"/>
          <w:szCs w:val="16"/>
          <w:color w:val="auto"/>
        </w:rPr>
      </w:pPr>
      <w:r>
        <w:rPr>
          <w:rFonts w:ascii="Arial" w:cs="Arial" w:eastAsia="Arial" w:hAnsi="Arial"/>
          <w:sz w:val="16"/>
          <w:szCs w:val="16"/>
          <w:color w:val="auto"/>
        </w:rPr>
        <w:t>increase or decrease in credit risk due to phase changes;</w:t>
      </w:r>
    </w:p>
    <w:p>
      <w:pPr>
        <w:ind w:left="583" w:hanging="294"/>
        <w:spacing w:after="0"/>
        <w:tabs>
          <w:tab w:leader="none" w:pos="583" w:val="left"/>
        </w:tabs>
        <w:numPr>
          <w:ilvl w:val="1"/>
          <w:numId w:val="86"/>
        </w:numPr>
        <w:rPr>
          <w:rFonts w:ascii="Arial" w:cs="Arial" w:eastAsia="Arial" w:hAnsi="Arial"/>
          <w:sz w:val="16"/>
          <w:szCs w:val="16"/>
          <w:color w:val="auto"/>
        </w:rPr>
      </w:pPr>
      <w:r>
        <w:rPr>
          <w:rFonts w:ascii="Arial" w:cs="Arial" w:eastAsia="Arial" w:hAnsi="Arial"/>
          <w:sz w:val="16"/>
          <w:szCs w:val="16"/>
          <w:color w:val="auto"/>
        </w:rPr>
        <w:t>increase or decrease in the risk inherent to credits that remain in the same phase.</w:t>
      </w:r>
    </w:p>
    <w:p>
      <w:pPr>
        <w:spacing w:after="0" w:line="330" w:lineRule="exact"/>
        <w:rPr>
          <w:rFonts w:ascii="Arial" w:cs="Arial" w:eastAsia="Arial" w:hAnsi="Arial"/>
          <w:sz w:val="16"/>
          <w:szCs w:val="16"/>
          <w:color w:val="auto"/>
        </w:rPr>
      </w:pPr>
    </w:p>
    <w:p>
      <w:pPr>
        <w:ind w:left="5523" w:hanging="104"/>
        <w:spacing w:after="0"/>
        <w:tabs>
          <w:tab w:leader="none" w:pos="5523" w:val="left"/>
        </w:tabs>
        <w:numPr>
          <w:ilvl w:val="2"/>
          <w:numId w:val="86"/>
        </w:numPr>
        <w:rPr>
          <w:rFonts w:ascii="Arial" w:cs="Arial" w:eastAsia="Arial" w:hAnsi="Arial"/>
          <w:sz w:val="16"/>
          <w:szCs w:val="16"/>
          <w:color w:val="auto"/>
        </w:rPr>
      </w:pPr>
      <w:r>
        <w:rPr>
          <w:rFonts w:ascii="Arial" w:cs="Arial" w:eastAsia="Arial" w:hAnsi="Arial"/>
          <w:sz w:val="16"/>
          <w:szCs w:val="16"/>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43"/>
          </w:cols>
          <w:pgMar w:left="317" w:top="337" w:right="439" w:bottom="1440" w:gutter="0" w:footer="0" w:header="0"/>
        </w:sectPr>
      </w:pPr>
    </w:p>
    <w:bookmarkStart w:id="79" w:name="page80"/>
    <w:bookmarkEnd w:id="79"/>
    <w:p>
      <w:pPr>
        <w:ind w:left="574" w:hanging="284"/>
        <w:spacing w:after="0" w:line="243" w:lineRule="auto"/>
        <w:tabs>
          <w:tab w:leader="none" w:pos="574"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movement in the expected credit loss allowance for the 2025 period includes provisions for direct loans of approximately S/7,670.0 million and provisions for indirect loans and due from customers on banker’s acceptances of S/371.6 million (S/7,994.9 million and S/383.9 million, respectively, as of December 31, 2024). The expected loss on indirect loans and due from customers on banker’s acceptances is included under “Other liabilities” in the consolidated statement of financial position (Note 12(a)). In management’s opinion, the expected credit loss allowance for loans recognized as of December 31, 2025, and 2024 has been determined in accordance with IFRS 9 and is sufficient to cover losses in the loan portfolio.</w:t>
      </w:r>
    </w:p>
    <w:p>
      <w:pPr>
        <w:spacing w:after="0" w:line="148" w:lineRule="exact"/>
        <w:rPr>
          <w:rFonts w:ascii="Arial" w:cs="Arial" w:eastAsia="Arial" w:hAnsi="Arial"/>
          <w:sz w:val="16"/>
          <w:szCs w:val="16"/>
          <w:color w:val="auto"/>
        </w:rPr>
      </w:pPr>
    </w:p>
    <w:p>
      <w:pPr>
        <w:ind w:left="294" w:hanging="294"/>
        <w:spacing w:after="0"/>
        <w:tabs>
          <w:tab w:leader="none" w:pos="294"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Interest rates on loans are set based on the prevailing rates in the markets in which the Group’s subsidiaries operate.</w:t>
      </w:r>
    </w:p>
    <w:p>
      <w:pPr>
        <w:spacing w:after="0" w:line="177" w:lineRule="exact"/>
        <w:rPr>
          <w:rFonts w:ascii="Arial" w:cs="Arial" w:eastAsia="Arial" w:hAnsi="Arial"/>
          <w:sz w:val="16"/>
          <w:szCs w:val="16"/>
          <w:color w:val="auto"/>
        </w:rPr>
      </w:pPr>
    </w:p>
    <w:p>
      <w:pPr>
        <w:ind w:left="294" w:right="520" w:hanging="294"/>
        <w:spacing w:after="0" w:line="274" w:lineRule="auto"/>
        <w:tabs>
          <w:tab w:leader="none" w:pos="294"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portion of the loan portfolio is collateralized with guarantees received from customers, which mainly consist of mortgages, trust assignments, securities and industrial and mercantile pledges.</w:t>
      </w:r>
    </w:p>
    <w:p>
      <w:pPr>
        <w:spacing w:after="0" w:line="122" w:lineRule="exact"/>
        <w:rPr>
          <w:rFonts w:ascii="Arial" w:cs="Arial" w:eastAsia="Arial" w:hAnsi="Arial"/>
          <w:sz w:val="16"/>
          <w:szCs w:val="16"/>
          <w:color w:val="auto"/>
        </w:rPr>
      </w:pPr>
    </w:p>
    <w:p>
      <w:pPr>
        <w:ind w:left="294" w:right="420" w:hanging="294"/>
        <w:spacing w:after="0" w:line="274" w:lineRule="auto"/>
        <w:tabs>
          <w:tab w:leader="none" w:pos="294"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following table presents the gross direct loan portfolio as of December 31, 2025, and 2024 by maturity based on the remaining period to the payment due date:</w:t>
      </w:r>
    </w:p>
    <w:p>
      <w:pPr>
        <w:spacing w:after="0" w:line="135" w:lineRule="exact"/>
        <w:rPr>
          <w:sz w:val="20"/>
          <w:szCs w:val="20"/>
          <w:color w:val="auto"/>
        </w:rPr>
      </w:pPr>
    </w:p>
    <w:tbl>
      <w:tblPr>
        <w:tblLayout w:type="fixed"/>
        <w:tblInd w:w="294" w:type="dxa"/>
        <w:tblCellMar>
          <w:top w:w="0" w:type="dxa"/>
          <w:left w:w="0" w:type="dxa"/>
          <w:bottom w:w="0" w:type="dxa"/>
          <w:right w:w="0" w:type="dxa"/>
        </w:tblCellMar>
      </w:tblPr>
      <w:tr>
        <w:trPr>
          <w:trHeight w:val="198"/>
        </w:trPr>
        <w:tc>
          <w:tcPr>
            <w:tcW w:w="8240" w:type="dxa"/>
            <w:vAlign w:val="bottom"/>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Outstanding loans -</w:t>
            </w:r>
          </w:p>
        </w:tc>
        <w:tc>
          <w:tcPr>
            <w:tcW w:w="10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82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40"/>
              <w:spacing w:after="0" w:line="181" w:lineRule="exact"/>
              <w:rPr>
                <w:sz w:val="20"/>
                <w:szCs w:val="20"/>
                <w:color w:val="auto"/>
              </w:rPr>
            </w:pPr>
            <w:r>
              <w:rPr>
                <w:rFonts w:ascii="Arial" w:cs="Arial" w:eastAsia="Arial" w:hAnsi="Arial"/>
                <w:sz w:val="16"/>
                <w:szCs w:val="16"/>
                <w:color w:val="auto"/>
              </w:rPr>
              <w:t>From 1 to 3 months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33,318,459</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31,363,434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40"/>
              <w:spacing w:after="0" w:line="181" w:lineRule="exact"/>
              <w:rPr>
                <w:sz w:val="20"/>
                <w:szCs w:val="20"/>
                <w:color w:val="auto"/>
              </w:rPr>
            </w:pPr>
            <w:r>
              <w:rPr>
                <w:rFonts w:ascii="Arial" w:cs="Arial" w:eastAsia="Arial" w:hAnsi="Arial"/>
                <w:sz w:val="16"/>
                <w:szCs w:val="16"/>
                <w:color w:val="auto"/>
              </w:rPr>
              <w:t>From 3 months to 1 year</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39,713,962</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37,349,571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40"/>
              <w:spacing w:after="0" w:line="181" w:lineRule="exact"/>
              <w:rPr>
                <w:sz w:val="20"/>
                <w:szCs w:val="20"/>
                <w:color w:val="auto"/>
              </w:rPr>
            </w:pPr>
            <w:r>
              <w:rPr>
                <w:rFonts w:ascii="Arial" w:cs="Arial" w:eastAsia="Arial" w:hAnsi="Arial"/>
                <w:sz w:val="16"/>
                <w:szCs w:val="16"/>
                <w:color w:val="auto"/>
              </w:rPr>
              <w:t>From 1 to 3 years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30,472,885</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29,185,013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40"/>
              <w:spacing w:after="0" w:line="181" w:lineRule="exact"/>
              <w:rPr>
                <w:sz w:val="20"/>
                <w:szCs w:val="20"/>
                <w:color w:val="auto"/>
              </w:rPr>
            </w:pPr>
            <w:r>
              <w:rPr>
                <w:rFonts w:ascii="Arial" w:cs="Arial" w:eastAsia="Arial" w:hAnsi="Arial"/>
                <w:sz w:val="16"/>
                <w:szCs w:val="16"/>
                <w:color w:val="auto"/>
              </w:rPr>
              <w:t>From 3 to 5 years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14,738,099</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13,319,494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40"/>
              <w:spacing w:after="0" w:line="181" w:lineRule="exact"/>
              <w:rPr>
                <w:sz w:val="20"/>
                <w:szCs w:val="20"/>
                <w:color w:val="auto"/>
              </w:rPr>
            </w:pPr>
            <w:r>
              <w:rPr>
                <w:rFonts w:ascii="Arial" w:cs="Arial" w:eastAsia="Arial" w:hAnsi="Arial"/>
                <w:sz w:val="16"/>
                <w:szCs w:val="16"/>
                <w:color w:val="auto"/>
              </w:rPr>
              <w:t>From 5 to 15 years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24,092,636</w:t>
            </w:r>
          </w:p>
        </w:tc>
        <w:tc>
          <w:tcPr>
            <w:tcW w:w="10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25,578,139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color w:val="auto"/>
              </w:rPr>
              <w:t>More than 15 years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1,471,931</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2,093,462</w:t>
            </w:r>
          </w:p>
        </w:tc>
        <w:tc>
          <w:tcPr>
            <w:tcW w:w="0" w:type="dxa"/>
            <w:vAlign w:val="bottom"/>
          </w:tcPr>
          <w:p>
            <w:pPr>
              <w:spacing w:after="0"/>
              <w:rPr>
                <w:sz w:val="1"/>
                <w:szCs w:val="1"/>
                <w:color w:val="auto"/>
              </w:rPr>
            </w:pPr>
          </w:p>
        </w:tc>
      </w:tr>
      <w:tr>
        <w:trPr>
          <w:trHeight w:val="206"/>
        </w:trPr>
        <w:tc>
          <w:tcPr>
            <w:tcW w:w="824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143,807,972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138,889,113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Internal overdue loans -</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40"/>
              <w:spacing w:after="0" w:line="181" w:lineRule="exact"/>
              <w:rPr>
                <w:sz w:val="20"/>
                <w:szCs w:val="20"/>
                <w:color w:val="auto"/>
              </w:rPr>
            </w:pPr>
            <w:r>
              <w:rPr>
                <w:rFonts w:ascii="Arial" w:cs="Arial" w:eastAsia="Arial" w:hAnsi="Arial"/>
                <w:sz w:val="16"/>
                <w:szCs w:val="16"/>
                <w:color w:val="auto"/>
              </w:rPr>
              <w:t>Overdue up to 90 days</w:t>
            </w: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747,943</w:t>
            </w:r>
          </w:p>
        </w:tc>
        <w:tc>
          <w:tcPr>
            <w:tcW w:w="10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1,046,337</w:t>
            </w:r>
          </w:p>
        </w:tc>
        <w:tc>
          <w:tcPr>
            <w:tcW w:w="0" w:type="dxa"/>
            <w:vAlign w:val="bottom"/>
          </w:tcPr>
          <w:p>
            <w:pPr>
              <w:spacing w:after="0"/>
              <w:rPr>
                <w:sz w:val="1"/>
                <w:szCs w:val="1"/>
                <w:color w:val="auto"/>
              </w:rPr>
            </w:pP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color w:val="auto"/>
              </w:rPr>
              <w:t>Over 90 days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4,073,183</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4,383,795</w:t>
            </w:r>
          </w:p>
        </w:tc>
        <w:tc>
          <w:tcPr>
            <w:tcW w:w="0" w:type="dxa"/>
            <w:vAlign w:val="bottom"/>
          </w:tcPr>
          <w:p>
            <w:pPr>
              <w:spacing w:after="0"/>
              <w:rPr>
                <w:sz w:val="1"/>
                <w:szCs w:val="1"/>
                <w:color w:val="auto"/>
              </w:rPr>
            </w:pPr>
          </w:p>
        </w:tc>
      </w:tr>
      <w:tr>
        <w:trPr>
          <w:trHeight w:val="206"/>
        </w:trPr>
        <w:tc>
          <w:tcPr>
            <w:tcW w:w="824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4,821,126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5,430,132</w:t>
            </w:r>
          </w:p>
        </w:tc>
        <w:tc>
          <w:tcPr>
            <w:tcW w:w="0" w:type="dxa"/>
            <w:vAlign w:val="bottom"/>
          </w:tcPr>
          <w:p>
            <w:pPr>
              <w:spacing w:after="0"/>
              <w:rPr>
                <w:sz w:val="1"/>
                <w:szCs w:val="1"/>
                <w:color w:val="auto"/>
              </w:rPr>
            </w:pPr>
          </w:p>
        </w:tc>
      </w:tr>
      <w:tr>
        <w:trPr>
          <w:trHeight w:val="160"/>
        </w:trPr>
        <w:tc>
          <w:tcPr>
            <w:tcW w:w="8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tcPr>
          <w:p>
            <w:pPr>
              <w:spacing w:after="0"/>
              <w:rPr>
                <w:sz w:val="13"/>
                <w:szCs w:val="13"/>
                <w:color w:val="auto"/>
              </w:rPr>
            </w:pPr>
          </w:p>
        </w:tc>
        <w:tc>
          <w:tcPr>
            <w:tcW w:w="2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Arial" w:cs="Arial" w:eastAsia="Arial" w:hAnsi="Arial"/>
                <w:sz w:val="16"/>
                <w:szCs w:val="16"/>
                <w:color w:val="auto"/>
              </w:rPr>
              <w:t>148,629,098</w:t>
            </w:r>
          </w:p>
        </w:tc>
        <w:tc>
          <w:tcPr>
            <w:tcW w:w="2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6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144,319,245</w:t>
            </w:r>
          </w:p>
        </w:tc>
        <w:tc>
          <w:tcPr>
            <w:tcW w:w="0" w:type="dxa"/>
            <w:vAlign w:val="bottom"/>
          </w:tcPr>
          <w:p>
            <w:pPr>
              <w:spacing w:after="0"/>
              <w:rPr>
                <w:sz w:val="1"/>
                <w:szCs w:val="1"/>
                <w:color w:val="auto"/>
              </w:rPr>
            </w:pPr>
          </w:p>
        </w:tc>
      </w:tr>
      <w:tr>
        <w:trPr>
          <w:trHeight w:val="378"/>
        </w:trPr>
        <w:tc>
          <w:tcPr>
            <w:tcW w:w="8240" w:type="dxa"/>
            <w:vAlign w:val="bottom"/>
          </w:tcPr>
          <w:p>
            <w:pPr>
              <w:spacing w:after="0"/>
              <w:rPr>
                <w:sz w:val="20"/>
                <w:szCs w:val="20"/>
                <w:color w:val="auto"/>
              </w:rPr>
            </w:pPr>
            <w:r>
              <w:rPr>
                <w:rFonts w:ascii="Arial" w:cs="Arial" w:eastAsia="Arial" w:hAnsi="Arial"/>
                <w:sz w:val="16"/>
                <w:szCs w:val="16"/>
                <w:color w:val="auto"/>
              </w:rPr>
              <w:t>See credit risk analysis in Note 30.1(c).</w:t>
            </w: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94" w:hanging="294"/>
        <w:spacing w:after="0" w:line="255" w:lineRule="auto"/>
        <w:tabs>
          <w:tab w:leader="none" w:pos="294"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of December 31, 2025, the Group holds foreign currency forwards, which have been designated as fair value hedges of certain U.S.Dollar loans, for a notional amount of US$13.3 million equivalent to S/44.9 million (US$36.3 million equivalent to S/136.6 million as of December 31, 2024), through which the loans were economically converted into soles. See Note 12(c).</w:t>
      </w:r>
    </w:p>
    <w:p>
      <w:pPr>
        <w:spacing w:after="0" w:line="306" w:lineRule="exact"/>
        <w:rPr>
          <w:rFonts w:ascii="Arial" w:cs="Arial" w:eastAsia="Arial" w:hAnsi="Arial"/>
          <w:sz w:val="16"/>
          <w:szCs w:val="16"/>
          <w:color w:val="auto"/>
        </w:rPr>
      </w:pPr>
    </w:p>
    <w:p>
      <w:pPr>
        <w:ind w:left="5234" w:hanging="104"/>
        <w:spacing w:after="0"/>
        <w:tabs>
          <w:tab w:leader="none" w:pos="5234" w:val="left"/>
        </w:tabs>
        <w:numPr>
          <w:ilvl w:val="1"/>
          <w:numId w:val="88"/>
        </w:numPr>
        <w:rPr>
          <w:rFonts w:ascii="Arial" w:cs="Arial" w:eastAsia="Arial" w:hAnsi="Arial"/>
          <w:sz w:val="16"/>
          <w:szCs w:val="16"/>
          <w:color w:val="auto"/>
        </w:rPr>
      </w:pPr>
      <w:r>
        <w:rPr>
          <w:rFonts w:ascii="Arial" w:cs="Arial" w:eastAsia="Arial" w:hAnsi="Arial"/>
          <w:sz w:val="16"/>
          <w:szCs w:val="16"/>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39370</wp:posOffset>
            </wp:positionV>
            <wp:extent cx="714692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34"/>
          </w:cols>
          <w:pgMar w:left="606" w:top="316" w:right="359" w:bottom="1440" w:gutter="0" w:footer="0" w:header="0"/>
        </w:sectPr>
      </w:pPr>
    </w:p>
    <w:bookmarkStart w:id="80" w:name="page81"/>
    <w:bookmarkEnd w:id="80"/>
    <w:p>
      <w:pPr>
        <w:ind w:left="583" w:hanging="583"/>
        <w:spacing w:after="0"/>
        <w:tabs>
          <w:tab w:leader="none" w:pos="583"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INSURANCE AND REINSURANCE CONTRACTS ASSETS AND LIABILITIES</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detail of the assets per reinsurance contract are:</w:t>
      </w:r>
    </w:p>
    <w:p>
      <w:pPr>
        <w:spacing w:after="0" w:line="190" w:lineRule="exact"/>
        <w:rPr>
          <w:sz w:val="20"/>
          <w:szCs w:val="20"/>
          <w:color w:val="auto"/>
        </w:rPr>
      </w:pPr>
    </w:p>
    <w:tbl>
      <w:tblPr>
        <w:tblLayout w:type="fixed"/>
        <w:tblInd w:w="923" w:type="dxa"/>
        <w:tblCellMar>
          <w:top w:w="0" w:type="dxa"/>
          <w:left w:w="0" w:type="dxa"/>
          <w:bottom w:w="0" w:type="dxa"/>
          <w:right w:w="0" w:type="dxa"/>
        </w:tblCellMar>
      </w:tblPr>
      <w:tr>
        <w:trPr>
          <w:trHeight w:val="198"/>
        </w:trPr>
        <w:tc>
          <w:tcPr>
            <w:tcW w:w="35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2025</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Assets for</w:t>
            </w: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Assets for</w:t>
            </w:r>
          </w:p>
        </w:tc>
        <w:tc>
          <w:tcPr>
            <w:tcW w:w="10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1"/>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incurred</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incurred</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claims for</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claims for</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contracts</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contracts</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measured</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measured</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8"/>
        </w:trPr>
        <w:tc>
          <w:tcPr>
            <w:tcW w:w="3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by PAA (**)</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by PAA (**)</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Present</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Present</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1"/>
        </w:trPr>
        <w:tc>
          <w:tcPr>
            <w:tcW w:w="3500" w:type="dxa"/>
            <w:vAlign w:val="bottom"/>
          </w:tcPr>
          <w:p>
            <w:pPr>
              <w:spacing w:after="0"/>
              <w:rPr>
                <w:sz w:val="15"/>
                <w:szCs w:val="15"/>
                <w:color w:val="auto"/>
              </w:rPr>
            </w:pPr>
          </w:p>
        </w:tc>
        <w:tc>
          <w:tcPr>
            <w:tcW w:w="1240" w:type="dxa"/>
            <w:vAlign w:val="bottom"/>
            <w:gridSpan w:val="2"/>
          </w:tcPr>
          <w:p>
            <w:pPr>
              <w:ind w:left="80"/>
              <w:spacing w:after="0" w:line="181" w:lineRule="exact"/>
              <w:rPr>
                <w:sz w:val="20"/>
                <w:szCs w:val="20"/>
                <w:color w:val="auto"/>
              </w:rPr>
            </w:pPr>
            <w:r>
              <w:rPr>
                <w:rFonts w:ascii="Arial" w:cs="Arial" w:eastAsia="Arial" w:hAnsi="Arial"/>
                <w:sz w:val="16"/>
                <w:szCs w:val="16"/>
                <w:b w:val="1"/>
                <w:bCs w:val="1"/>
                <w:color w:val="auto"/>
              </w:rPr>
              <w:t>Assets for</w:t>
            </w:r>
          </w:p>
        </w:tc>
        <w:tc>
          <w:tcPr>
            <w:tcW w:w="1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value of</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line="181" w:lineRule="exact"/>
              <w:rPr>
                <w:sz w:val="20"/>
                <w:szCs w:val="20"/>
                <w:color w:val="auto"/>
              </w:rPr>
            </w:pPr>
            <w:r>
              <w:rPr>
                <w:rFonts w:ascii="Arial" w:cs="Arial" w:eastAsia="Arial" w:hAnsi="Arial"/>
                <w:sz w:val="16"/>
                <w:szCs w:val="16"/>
                <w:b w:val="1"/>
                <w:bCs w:val="1"/>
                <w:color w:val="auto"/>
              </w:rPr>
              <w:t>Assets for</w:t>
            </w:r>
          </w:p>
        </w:tc>
        <w:tc>
          <w:tcPr>
            <w:tcW w:w="10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value of</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3500" w:type="dxa"/>
            <w:vAlign w:val="bottom"/>
          </w:tcPr>
          <w:p>
            <w:pPr>
              <w:spacing w:after="0"/>
              <w:rPr>
                <w:sz w:val="15"/>
                <w:szCs w:val="15"/>
                <w:color w:val="auto"/>
              </w:rPr>
            </w:pPr>
          </w:p>
        </w:tc>
        <w:tc>
          <w:tcPr>
            <w:tcW w:w="1240" w:type="dxa"/>
            <w:vAlign w:val="bottom"/>
            <w:gridSpan w:val="2"/>
          </w:tcPr>
          <w:p>
            <w:pPr>
              <w:ind w:left="80"/>
              <w:spacing w:after="0" w:line="181" w:lineRule="exact"/>
              <w:rPr>
                <w:sz w:val="20"/>
                <w:szCs w:val="20"/>
                <w:color w:val="auto"/>
              </w:rPr>
            </w:pPr>
            <w:r>
              <w:rPr>
                <w:rFonts w:ascii="Arial" w:cs="Arial" w:eastAsia="Arial" w:hAnsi="Arial"/>
                <w:sz w:val="16"/>
                <w:szCs w:val="16"/>
                <w:b w:val="1"/>
                <w:bCs w:val="1"/>
                <w:color w:val="auto"/>
              </w:rPr>
              <w:t>remaining</w:t>
            </w:r>
          </w:p>
        </w:tc>
        <w:tc>
          <w:tcPr>
            <w:tcW w:w="1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future cash</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line="181" w:lineRule="exact"/>
              <w:rPr>
                <w:sz w:val="20"/>
                <w:szCs w:val="20"/>
                <w:color w:val="auto"/>
              </w:rPr>
            </w:pPr>
            <w:r>
              <w:rPr>
                <w:rFonts w:ascii="Arial" w:cs="Arial" w:eastAsia="Arial" w:hAnsi="Arial"/>
                <w:sz w:val="16"/>
                <w:szCs w:val="16"/>
                <w:b w:val="1"/>
                <w:bCs w:val="1"/>
                <w:color w:val="auto"/>
              </w:rPr>
              <w:t>remaining</w:t>
            </w:r>
          </w:p>
        </w:tc>
        <w:tc>
          <w:tcPr>
            <w:tcW w:w="10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future cash</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8"/>
        </w:trPr>
        <w:tc>
          <w:tcPr>
            <w:tcW w:w="35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coverage (*)</w:t>
            </w: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flows</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20" w:type="dxa"/>
            <w:vAlign w:val="bottom"/>
          </w:tcPr>
          <w:p>
            <w:pPr>
              <w:spacing w:after="0"/>
              <w:rPr>
                <w:sz w:val="20"/>
                <w:szCs w:val="20"/>
                <w:color w:val="auto"/>
              </w:rPr>
            </w:pPr>
            <w:r>
              <w:rPr>
                <w:rFonts w:ascii="Arial" w:cs="Arial" w:eastAsia="Arial" w:hAnsi="Arial"/>
                <w:sz w:val="16"/>
                <w:szCs w:val="16"/>
                <w:b w:val="1"/>
                <w:bCs w:val="1"/>
                <w:color w:val="auto"/>
              </w:rPr>
              <w:t>coverage (*)</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flows</w:t>
            </w:r>
          </w:p>
        </w:tc>
        <w:tc>
          <w:tcPr>
            <w:tcW w:w="1060" w:type="dxa"/>
            <w:vAlign w:val="bottom"/>
            <w:gridSpan w:val="3"/>
          </w:tcPr>
          <w:p>
            <w:pPr>
              <w:ind w:left="80"/>
              <w:spacing w:after="0"/>
              <w:rPr>
                <w:sz w:val="20"/>
                <w:szCs w:val="20"/>
                <w:color w:val="auto"/>
              </w:rPr>
            </w:pPr>
            <w:r>
              <w:rPr>
                <w:rFonts w:ascii="Arial" w:cs="Arial" w:eastAsia="Arial" w:hAnsi="Arial"/>
                <w:sz w:val="16"/>
                <w:szCs w:val="16"/>
                <w:b w:val="1"/>
                <w:bCs w:val="1"/>
                <w:color w:val="auto"/>
              </w:rPr>
              <w:t>Total</w:t>
            </w:r>
          </w:p>
        </w:tc>
      </w:tr>
      <w:tr>
        <w:trPr>
          <w:trHeight w:val="156"/>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08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S/(000)</w:t>
            </w:r>
          </w:p>
        </w:tc>
        <w:tc>
          <w:tcPr>
            <w:tcW w:w="100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1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04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S/(000)</w:t>
            </w:r>
          </w:p>
        </w:tc>
        <w:tc>
          <w:tcPr>
            <w:tcW w:w="100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3"/>
                <w:szCs w:val="13"/>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b w:val="1"/>
                <w:bCs w:val="1"/>
                <w:color w:val="auto"/>
              </w:rPr>
              <w:t>Balances at the beginning of the period</w:t>
            </w:r>
          </w:p>
        </w:tc>
        <w:tc>
          <w:tcPr>
            <w:tcW w:w="12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(58,399)</w:t>
            </w:r>
          </w:p>
        </w:tc>
        <w:tc>
          <w:tcPr>
            <w:tcW w:w="10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899,569</w:t>
            </w:r>
          </w:p>
        </w:tc>
        <w:tc>
          <w:tcPr>
            <w:tcW w:w="12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841,170</w:t>
            </w:r>
          </w:p>
        </w:tc>
        <w:tc>
          <w:tcPr>
            <w:tcW w:w="1120" w:type="dxa"/>
            <w:vAlign w:val="bottom"/>
          </w:tcPr>
          <w:p>
            <w:pPr>
              <w:jc w:val="right"/>
              <w:ind w:right="60"/>
              <w:spacing w:after="0" w:line="181" w:lineRule="exact"/>
              <w:rPr>
                <w:sz w:val="20"/>
                <w:szCs w:val="20"/>
                <w:color w:val="auto"/>
              </w:rPr>
            </w:pPr>
            <w:r>
              <w:rPr>
                <w:rFonts w:ascii="Arial" w:cs="Arial" w:eastAsia="Arial" w:hAnsi="Arial"/>
                <w:sz w:val="16"/>
                <w:szCs w:val="16"/>
                <w:color w:val="auto"/>
              </w:rPr>
              <w:t>(133,054)</w:t>
            </w:r>
          </w:p>
        </w:tc>
        <w:tc>
          <w:tcPr>
            <w:tcW w:w="10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1,005,100</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872,046</w:t>
            </w:r>
          </w:p>
        </w:tc>
        <w:tc>
          <w:tcPr>
            <w:tcW w:w="40" w:type="dxa"/>
            <w:vAlign w:val="bottom"/>
          </w:tcPr>
          <w:p>
            <w:pPr>
              <w:spacing w:after="0"/>
              <w:rPr>
                <w:sz w:val="15"/>
                <w:szCs w:val="15"/>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Directly attributable expenses incurred</w:t>
            </w:r>
          </w:p>
        </w:tc>
        <w:tc>
          <w:tcPr>
            <w:tcW w:w="80" w:type="dxa"/>
            <w:vAlign w:val="bottom"/>
          </w:tcPr>
          <w:p>
            <w:pPr>
              <w:spacing w:after="0"/>
              <w:rPr>
                <w:sz w:val="15"/>
                <w:szCs w:val="15"/>
                <w:color w:val="auto"/>
              </w:rPr>
            </w:pPr>
          </w:p>
        </w:tc>
        <w:tc>
          <w:tcPr>
            <w:tcW w:w="1160" w:type="dxa"/>
            <w:vAlign w:val="bottom"/>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504,065</w:t>
            </w:r>
          </w:p>
        </w:tc>
        <w:tc>
          <w:tcPr>
            <w:tcW w:w="12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504,065</w:t>
            </w:r>
          </w:p>
        </w:tc>
        <w:tc>
          <w:tcPr>
            <w:tcW w:w="11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343,855</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343,855</w:t>
            </w:r>
          </w:p>
        </w:tc>
        <w:tc>
          <w:tcPr>
            <w:tcW w:w="40" w:type="dxa"/>
            <w:vAlign w:val="bottom"/>
          </w:tcPr>
          <w:p>
            <w:pPr>
              <w:spacing w:after="0"/>
              <w:rPr>
                <w:sz w:val="15"/>
                <w:szCs w:val="15"/>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Changes related to past services</w:t>
            </w:r>
          </w:p>
        </w:tc>
        <w:tc>
          <w:tcPr>
            <w:tcW w:w="80" w:type="dxa"/>
            <w:vAlign w:val="bottom"/>
          </w:tcPr>
          <w:p>
            <w:pPr>
              <w:spacing w:after="0"/>
              <w:rPr>
                <w:sz w:val="15"/>
                <w:szCs w:val="15"/>
                <w:color w:val="auto"/>
              </w:rPr>
            </w:pPr>
          </w:p>
        </w:tc>
        <w:tc>
          <w:tcPr>
            <w:tcW w:w="1160" w:type="dxa"/>
            <w:vAlign w:val="bottom"/>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(328,799)</w:t>
            </w:r>
          </w:p>
        </w:tc>
        <w:tc>
          <w:tcPr>
            <w:tcW w:w="12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(328,799)</w:t>
            </w:r>
          </w:p>
        </w:tc>
        <w:tc>
          <w:tcPr>
            <w:tcW w:w="11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(158,503)</w:t>
            </w:r>
          </w:p>
        </w:tc>
        <w:tc>
          <w:tcPr>
            <w:tcW w:w="10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(158,503)</w:t>
            </w:r>
          </w:p>
        </w:tc>
      </w:tr>
      <w:tr>
        <w:trPr>
          <w:trHeight w:val="210"/>
        </w:trPr>
        <w:tc>
          <w:tcPr>
            <w:tcW w:w="3500" w:type="dxa"/>
            <w:vAlign w:val="bottom"/>
          </w:tcPr>
          <w:p>
            <w:pPr>
              <w:spacing w:after="0"/>
              <w:rPr>
                <w:sz w:val="20"/>
                <w:szCs w:val="20"/>
                <w:color w:val="auto"/>
              </w:rPr>
            </w:pPr>
            <w:r>
              <w:rPr>
                <w:rFonts w:ascii="Arial" w:cs="Arial" w:eastAsia="Arial" w:hAnsi="Arial"/>
                <w:sz w:val="16"/>
                <w:szCs w:val="16"/>
                <w:color w:val="auto"/>
              </w:rPr>
              <w:t>Future service changes</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(2,028)</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(2,028)</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(5,735)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(5,735)</w:t>
            </w:r>
          </w:p>
        </w:tc>
      </w:tr>
      <w:tr>
        <w:trPr>
          <w:trHeight w:val="156"/>
        </w:trPr>
        <w:tc>
          <w:tcPr>
            <w:tcW w:w="3500" w:type="dxa"/>
            <w:vAlign w:val="bottom"/>
          </w:tcPr>
          <w:p>
            <w:pPr>
              <w:spacing w:after="0" w:line="156" w:lineRule="exact"/>
              <w:rPr>
                <w:sz w:val="20"/>
                <w:szCs w:val="20"/>
                <w:color w:val="auto"/>
              </w:rPr>
            </w:pPr>
            <w:r>
              <w:rPr>
                <w:rFonts w:ascii="Arial" w:cs="Arial" w:eastAsia="Arial" w:hAnsi="Arial"/>
                <w:sz w:val="16"/>
                <w:szCs w:val="16"/>
                <w:b w:val="1"/>
                <w:bCs w:val="1"/>
                <w:color w:val="auto"/>
              </w:rPr>
              <w:t>Reinsurance recoveries</w:t>
            </w:r>
          </w:p>
        </w:tc>
        <w:tc>
          <w:tcPr>
            <w:tcW w:w="80" w:type="dxa"/>
            <w:vAlign w:val="bottom"/>
          </w:tcPr>
          <w:p>
            <w:pPr>
              <w:spacing w:after="0"/>
              <w:rPr>
                <w:sz w:val="13"/>
                <w:szCs w:val="13"/>
                <w:color w:val="auto"/>
              </w:rPr>
            </w:pPr>
          </w:p>
        </w:tc>
        <w:tc>
          <w:tcPr>
            <w:tcW w:w="1160" w:type="dxa"/>
            <w:vAlign w:val="bottom"/>
            <w:tcBorders>
              <w:top w:val="single" w:sz="8" w:color="auto"/>
            </w:tcBorders>
          </w:tcPr>
          <w:p>
            <w:pPr>
              <w:jc w:val="right"/>
              <w:ind w:right="80"/>
              <w:spacing w:after="0" w:line="156" w:lineRule="exact"/>
              <w:rPr>
                <w:sz w:val="20"/>
                <w:szCs w:val="20"/>
                <w:color w:val="auto"/>
              </w:rPr>
            </w:pPr>
            <w:r>
              <w:rPr>
                <w:rFonts w:ascii="Arial" w:cs="Arial" w:eastAsia="Arial" w:hAnsi="Arial"/>
                <w:sz w:val="16"/>
                <w:szCs w:val="16"/>
                <w:color w:val="auto"/>
              </w:rPr>
              <w:t>(2,028)</w:t>
            </w:r>
          </w:p>
        </w:tc>
        <w:tc>
          <w:tcPr>
            <w:tcW w:w="1080" w:type="dxa"/>
            <w:vAlign w:val="bottom"/>
            <w:tcBorders>
              <w:top w:val="single" w:sz="8" w:color="auto"/>
            </w:tcBorders>
            <w:gridSpan w:val="2"/>
          </w:tcPr>
          <w:p>
            <w:pPr>
              <w:jc w:val="right"/>
              <w:ind w:right="140"/>
              <w:spacing w:after="0" w:line="156" w:lineRule="exact"/>
              <w:rPr>
                <w:sz w:val="20"/>
                <w:szCs w:val="20"/>
                <w:color w:val="auto"/>
              </w:rPr>
            </w:pPr>
            <w:r>
              <w:rPr>
                <w:rFonts w:ascii="Arial" w:cs="Arial" w:eastAsia="Arial" w:hAnsi="Arial"/>
                <w:sz w:val="16"/>
                <w:szCs w:val="16"/>
                <w:color w:val="auto"/>
              </w:rPr>
              <w:t>175,266</w:t>
            </w:r>
          </w:p>
        </w:tc>
        <w:tc>
          <w:tcPr>
            <w:tcW w:w="10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173,238</w:t>
            </w:r>
          </w:p>
        </w:tc>
        <w:tc>
          <w:tcPr>
            <w:tcW w:w="200" w:type="dxa"/>
            <w:vAlign w:val="bottom"/>
          </w:tcPr>
          <w:p>
            <w:pPr>
              <w:spacing w:after="0"/>
              <w:rPr>
                <w:sz w:val="13"/>
                <w:szCs w:val="13"/>
                <w:color w:val="auto"/>
              </w:rPr>
            </w:pPr>
          </w:p>
        </w:tc>
        <w:tc>
          <w:tcPr>
            <w:tcW w:w="1120" w:type="dxa"/>
            <w:vAlign w:val="bottom"/>
            <w:tcBorders>
              <w:top w:val="single" w:sz="8" w:color="auto"/>
            </w:tcBorders>
          </w:tcPr>
          <w:p>
            <w:pPr>
              <w:jc w:val="right"/>
              <w:ind w:right="60"/>
              <w:spacing w:after="0" w:line="156" w:lineRule="exact"/>
              <w:rPr>
                <w:sz w:val="20"/>
                <w:szCs w:val="20"/>
                <w:color w:val="auto"/>
              </w:rPr>
            </w:pPr>
            <w:r>
              <w:rPr>
                <w:rFonts w:ascii="Arial" w:cs="Arial" w:eastAsia="Arial" w:hAnsi="Arial"/>
                <w:sz w:val="16"/>
                <w:szCs w:val="16"/>
                <w:color w:val="auto"/>
              </w:rPr>
              <w:t>(5,735)</w:t>
            </w:r>
          </w:p>
        </w:tc>
        <w:tc>
          <w:tcPr>
            <w:tcW w:w="1040" w:type="dxa"/>
            <w:vAlign w:val="bottom"/>
            <w:tcBorders>
              <w:top w:val="single" w:sz="8" w:color="auto"/>
            </w:tcBorders>
            <w:gridSpan w:val="2"/>
          </w:tcPr>
          <w:p>
            <w:pPr>
              <w:jc w:val="right"/>
              <w:ind w:right="120"/>
              <w:spacing w:after="0" w:line="156" w:lineRule="exact"/>
              <w:rPr>
                <w:sz w:val="20"/>
                <w:szCs w:val="20"/>
                <w:color w:val="auto"/>
              </w:rPr>
            </w:pPr>
            <w:r>
              <w:rPr>
                <w:rFonts w:ascii="Arial" w:cs="Arial" w:eastAsia="Arial" w:hAnsi="Arial"/>
                <w:sz w:val="16"/>
                <w:szCs w:val="16"/>
                <w:color w:val="auto"/>
              </w:rPr>
              <w:t>185,352</w:t>
            </w:r>
          </w:p>
        </w:tc>
        <w:tc>
          <w:tcPr>
            <w:tcW w:w="102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179,617</w:t>
            </w:r>
          </w:p>
        </w:tc>
        <w:tc>
          <w:tcPr>
            <w:tcW w:w="40" w:type="dxa"/>
            <w:vAlign w:val="bottom"/>
          </w:tcPr>
          <w:p>
            <w:pPr>
              <w:spacing w:after="0"/>
              <w:rPr>
                <w:sz w:val="13"/>
                <w:szCs w:val="13"/>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Expenses for assigning the premiums paid to</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6"/>
                <w:szCs w:val="16"/>
                <w:color w:val="auto"/>
              </w:rPr>
              <w:t>the reinsurer</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(632,063)</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(632,063)</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(674,214)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(674,214)</w:t>
            </w:r>
          </w:p>
        </w:tc>
      </w:tr>
      <w:tr>
        <w:trPr>
          <w:trHeight w:val="156"/>
        </w:trPr>
        <w:tc>
          <w:tcPr>
            <w:tcW w:w="3500" w:type="dxa"/>
            <w:vAlign w:val="bottom"/>
          </w:tcPr>
          <w:p>
            <w:pPr>
              <w:spacing w:after="0" w:line="156" w:lineRule="exact"/>
              <w:rPr>
                <w:sz w:val="20"/>
                <w:szCs w:val="20"/>
                <w:color w:val="auto"/>
              </w:rPr>
            </w:pPr>
            <w:r>
              <w:rPr>
                <w:rFonts w:ascii="Arial" w:cs="Arial" w:eastAsia="Arial" w:hAnsi="Arial"/>
                <w:sz w:val="16"/>
                <w:szCs w:val="16"/>
                <w:b w:val="1"/>
                <w:bCs w:val="1"/>
                <w:color w:val="auto"/>
              </w:rPr>
              <w:t>Result of the reinsurance service</w:t>
            </w:r>
          </w:p>
        </w:tc>
        <w:tc>
          <w:tcPr>
            <w:tcW w:w="80" w:type="dxa"/>
            <w:vAlign w:val="bottom"/>
          </w:tcPr>
          <w:p>
            <w:pPr>
              <w:spacing w:after="0"/>
              <w:rPr>
                <w:sz w:val="13"/>
                <w:szCs w:val="13"/>
                <w:color w:val="auto"/>
              </w:rPr>
            </w:pPr>
          </w:p>
        </w:tc>
        <w:tc>
          <w:tcPr>
            <w:tcW w:w="1160" w:type="dxa"/>
            <w:vAlign w:val="bottom"/>
            <w:tcBorders>
              <w:top w:val="single" w:sz="8" w:color="auto"/>
            </w:tcBorders>
          </w:tcPr>
          <w:p>
            <w:pPr>
              <w:jc w:val="right"/>
              <w:ind w:right="80"/>
              <w:spacing w:after="0" w:line="156" w:lineRule="exact"/>
              <w:rPr>
                <w:sz w:val="20"/>
                <w:szCs w:val="20"/>
                <w:color w:val="auto"/>
              </w:rPr>
            </w:pPr>
            <w:r>
              <w:rPr>
                <w:rFonts w:ascii="Arial" w:cs="Arial" w:eastAsia="Arial" w:hAnsi="Arial"/>
                <w:sz w:val="16"/>
                <w:szCs w:val="16"/>
                <w:color w:val="auto"/>
              </w:rPr>
              <w:t>(634,091)</w:t>
            </w:r>
          </w:p>
        </w:tc>
        <w:tc>
          <w:tcPr>
            <w:tcW w:w="1080" w:type="dxa"/>
            <w:vAlign w:val="bottom"/>
            <w:tcBorders>
              <w:top w:val="single" w:sz="8" w:color="auto"/>
            </w:tcBorders>
            <w:gridSpan w:val="2"/>
          </w:tcPr>
          <w:p>
            <w:pPr>
              <w:jc w:val="right"/>
              <w:ind w:right="140"/>
              <w:spacing w:after="0" w:line="156" w:lineRule="exact"/>
              <w:rPr>
                <w:sz w:val="20"/>
                <w:szCs w:val="20"/>
                <w:color w:val="auto"/>
              </w:rPr>
            </w:pPr>
            <w:r>
              <w:rPr>
                <w:rFonts w:ascii="Arial" w:cs="Arial" w:eastAsia="Arial" w:hAnsi="Arial"/>
                <w:sz w:val="16"/>
                <w:szCs w:val="16"/>
                <w:color w:val="auto"/>
              </w:rPr>
              <w:t>175,266</w:t>
            </w:r>
          </w:p>
        </w:tc>
        <w:tc>
          <w:tcPr>
            <w:tcW w:w="10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(458,825)</w:t>
            </w:r>
          </w:p>
        </w:tc>
        <w:tc>
          <w:tcPr>
            <w:tcW w:w="200" w:type="dxa"/>
            <w:vAlign w:val="bottom"/>
          </w:tcPr>
          <w:p>
            <w:pPr>
              <w:spacing w:after="0"/>
              <w:rPr>
                <w:sz w:val="13"/>
                <w:szCs w:val="13"/>
                <w:color w:val="auto"/>
              </w:rPr>
            </w:pPr>
          </w:p>
        </w:tc>
        <w:tc>
          <w:tcPr>
            <w:tcW w:w="1120" w:type="dxa"/>
            <w:vAlign w:val="bottom"/>
            <w:tcBorders>
              <w:top w:val="single" w:sz="8" w:color="auto"/>
            </w:tcBorders>
          </w:tcPr>
          <w:p>
            <w:pPr>
              <w:jc w:val="right"/>
              <w:ind w:right="60"/>
              <w:spacing w:after="0" w:line="156" w:lineRule="exact"/>
              <w:rPr>
                <w:sz w:val="20"/>
                <w:szCs w:val="20"/>
                <w:color w:val="auto"/>
              </w:rPr>
            </w:pPr>
            <w:r>
              <w:rPr>
                <w:rFonts w:ascii="Arial" w:cs="Arial" w:eastAsia="Arial" w:hAnsi="Arial"/>
                <w:sz w:val="16"/>
                <w:szCs w:val="16"/>
                <w:color w:val="auto"/>
              </w:rPr>
              <w:t>(679,949)</w:t>
            </w:r>
          </w:p>
        </w:tc>
        <w:tc>
          <w:tcPr>
            <w:tcW w:w="1040" w:type="dxa"/>
            <w:vAlign w:val="bottom"/>
            <w:tcBorders>
              <w:top w:val="single" w:sz="8" w:color="auto"/>
            </w:tcBorders>
            <w:gridSpan w:val="2"/>
          </w:tcPr>
          <w:p>
            <w:pPr>
              <w:jc w:val="right"/>
              <w:ind w:right="120"/>
              <w:spacing w:after="0" w:line="156" w:lineRule="exact"/>
              <w:rPr>
                <w:sz w:val="20"/>
                <w:szCs w:val="20"/>
                <w:color w:val="auto"/>
              </w:rPr>
            </w:pPr>
            <w:r>
              <w:rPr>
                <w:rFonts w:ascii="Arial" w:cs="Arial" w:eastAsia="Arial" w:hAnsi="Arial"/>
                <w:sz w:val="16"/>
                <w:szCs w:val="16"/>
                <w:color w:val="auto"/>
              </w:rPr>
              <w:t>185,352</w:t>
            </w:r>
          </w:p>
        </w:tc>
        <w:tc>
          <w:tcPr>
            <w:tcW w:w="10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(494,597)</w:t>
            </w:r>
          </w:p>
        </w:tc>
        <w:tc>
          <w:tcPr>
            <w:tcW w:w="60" w:type="dxa"/>
            <w:vAlign w:val="bottom"/>
            <w:gridSpan w:val="2"/>
          </w:tcPr>
          <w:p>
            <w:pPr>
              <w:spacing w:after="0"/>
              <w:rPr>
                <w:sz w:val="13"/>
                <w:szCs w:val="13"/>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Net financial expenses for reinsurance contracts</w:t>
            </w:r>
          </w:p>
        </w:tc>
        <w:tc>
          <w:tcPr>
            <w:tcW w:w="80" w:type="dxa"/>
            <w:vAlign w:val="bottom"/>
          </w:tcPr>
          <w:p>
            <w:pPr>
              <w:spacing w:after="0"/>
              <w:rPr>
                <w:sz w:val="15"/>
                <w:szCs w:val="15"/>
                <w:color w:val="auto"/>
              </w:rPr>
            </w:pPr>
          </w:p>
        </w:tc>
        <w:tc>
          <w:tcPr>
            <w:tcW w:w="1160" w:type="dxa"/>
            <w:vAlign w:val="bottom"/>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40,528</w:t>
            </w:r>
          </w:p>
        </w:tc>
        <w:tc>
          <w:tcPr>
            <w:tcW w:w="12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40,528</w:t>
            </w:r>
          </w:p>
        </w:tc>
        <w:tc>
          <w:tcPr>
            <w:tcW w:w="11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30,377</w:t>
            </w:r>
          </w:p>
        </w:tc>
        <w:tc>
          <w:tcPr>
            <w:tcW w:w="10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30,377</w:t>
            </w: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Other changes</w:t>
            </w:r>
          </w:p>
        </w:tc>
        <w:tc>
          <w:tcPr>
            <w:tcW w:w="12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(48,573)</w:t>
            </w:r>
          </w:p>
        </w:tc>
        <w:tc>
          <w:tcPr>
            <w:tcW w:w="10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(46,201)</w:t>
            </w:r>
          </w:p>
        </w:tc>
        <w:tc>
          <w:tcPr>
            <w:tcW w:w="12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(94,774)</w:t>
            </w:r>
          </w:p>
        </w:tc>
        <w:tc>
          <w:tcPr>
            <w:tcW w:w="1120" w:type="dxa"/>
            <w:vAlign w:val="bottom"/>
          </w:tcPr>
          <w:p>
            <w:pPr>
              <w:jc w:val="right"/>
              <w:ind w:right="60"/>
              <w:spacing w:after="0" w:line="181" w:lineRule="exact"/>
              <w:rPr>
                <w:sz w:val="20"/>
                <w:szCs w:val="20"/>
                <w:color w:val="auto"/>
              </w:rPr>
            </w:pPr>
            <w:r>
              <w:rPr>
                <w:rFonts w:ascii="Arial" w:cs="Arial" w:eastAsia="Arial" w:hAnsi="Arial"/>
                <w:sz w:val="16"/>
                <w:szCs w:val="16"/>
                <w:color w:val="auto"/>
              </w:rPr>
              <w:t>(13,237)</w:t>
            </w:r>
          </w:p>
        </w:tc>
        <w:tc>
          <w:tcPr>
            <w:tcW w:w="10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(18,679)</w:t>
            </w:r>
          </w:p>
        </w:tc>
        <w:tc>
          <w:tcPr>
            <w:tcW w:w="10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(31,916)</w:t>
            </w: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Cash flow:</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Premiums paid net of commissions ceded and</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other directly attributable expenses paid</w:t>
            </w:r>
          </w:p>
        </w:tc>
        <w:tc>
          <w:tcPr>
            <w:tcW w:w="12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747,662</w:t>
            </w:r>
          </w:p>
        </w:tc>
        <w:tc>
          <w:tcPr>
            <w:tcW w:w="10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747,662</w:t>
            </w:r>
          </w:p>
        </w:tc>
        <w:tc>
          <w:tcPr>
            <w:tcW w:w="11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767,841</w:t>
            </w:r>
          </w:p>
        </w:tc>
        <w:tc>
          <w:tcPr>
            <w:tcW w:w="10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12</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767,853</w:t>
            </w:r>
          </w:p>
        </w:tc>
        <w:tc>
          <w:tcPr>
            <w:tcW w:w="40" w:type="dxa"/>
            <w:vAlign w:val="bottom"/>
          </w:tcPr>
          <w:p>
            <w:pPr>
              <w:spacing w:after="0"/>
              <w:rPr>
                <w:sz w:val="15"/>
                <w:szCs w:val="15"/>
                <w:color w:val="auto"/>
              </w:rPr>
            </w:pPr>
          </w:p>
        </w:tc>
      </w:tr>
      <w:tr>
        <w:trPr>
          <w:trHeight w:val="202"/>
        </w:trPr>
        <w:tc>
          <w:tcPr>
            <w:tcW w:w="3500" w:type="dxa"/>
            <w:vAlign w:val="bottom"/>
          </w:tcPr>
          <w:p>
            <w:pPr>
              <w:spacing w:after="0"/>
              <w:rPr>
                <w:sz w:val="20"/>
                <w:szCs w:val="20"/>
                <w:color w:val="auto"/>
              </w:rPr>
            </w:pPr>
            <w:r>
              <w:rPr>
                <w:rFonts w:ascii="Arial" w:cs="Arial" w:eastAsia="Arial" w:hAnsi="Arial"/>
                <w:sz w:val="16"/>
                <w:szCs w:val="16"/>
                <w:color w:val="auto"/>
              </w:rPr>
              <w:t>Reinsurance recoveries</w:t>
            </w:r>
          </w:p>
        </w:tc>
        <w:tc>
          <w:tcPr>
            <w:tcW w:w="80" w:type="dxa"/>
            <w:vAlign w:val="bottom"/>
          </w:tcPr>
          <w:p>
            <w:pPr>
              <w:spacing w:after="0"/>
              <w:rPr>
                <w:sz w:val="17"/>
                <w:szCs w:val="17"/>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(367,201)</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(367,201)</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(302,593)</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(302,593)</w:t>
            </w:r>
          </w:p>
        </w:tc>
      </w:tr>
      <w:tr>
        <w:trPr>
          <w:trHeight w:val="173"/>
        </w:trPr>
        <w:tc>
          <w:tcPr>
            <w:tcW w:w="3500" w:type="dxa"/>
            <w:vAlign w:val="bottom"/>
          </w:tcPr>
          <w:p>
            <w:pPr>
              <w:spacing w:after="0" w:line="165" w:lineRule="exact"/>
              <w:rPr>
                <w:sz w:val="20"/>
                <w:szCs w:val="20"/>
                <w:color w:val="auto"/>
              </w:rPr>
            </w:pPr>
            <w:r>
              <w:rPr>
                <w:rFonts w:ascii="Arial" w:cs="Arial" w:eastAsia="Arial" w:hAnsi="Arial"/>
                <w:sz w:val="16"/>
                <w:szCs w:val="16"/>
                <w:b w:val="1"/>
                <w:bCs w:val="1"/>
                <w:color w:val="auto"/>
              </w:rPr>
              <w:t>Net cash flow</w:t>
            </w:r>
          </w:p>
        </w:tc>
        <w:tc>
          <w:tcPr>
            <w:tcW w:w="8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140"/>
              <w:spacing w:after="0" w:line="165" w:lineRule="exact"/>
              <w:rPr>
                <w:sz w:val="20"/>
                <w:szCs w:val="20"/>
                <w:color w:val="auto"/>
              </w:rPr>
            </w:pPr>
            <w:r>
              <w:rPr>
                <w:rFonts w:ascii="Arial" w:cs="Arial" w:eastAsia="Arial" w:hAnsi="Arial"/>
                <w:sz w:val="16"/>
                <w:szCs w:val="16"/>
                <w:color w:val="auto"/>
              </w:rPr>
              <w:t>747,662</w:t>
            </w:r>
          </w:p>
        </w:tc>
        <w:tc>
          <w:tcPr>
            <w:tcW w:w="1080" w:type="dxa"/>
            <w:vAlign w:val="bottom"/>
            <w:tcBorders>
              <w:top w:val="single" w:sz="8" w:color="auto"/>
              <w:bottom w:val="single" w:sz="8" w:color="auto"/>
            </w:tcBorders>
            <w:gridSpan w:val="2"/>
          </w:tcPr>
          <w:p>
            <w:pPr>
              <w:jc w:val="right"/>
              <w:ind w:right="100"/>
              <w:spacing w:after="0" w:line="165" w:lineRule="exact"/>
              <w:rPr>
                <w:sz w:val="20"/>
                <w:szCs w:val="20"/>
                <w:color w:val="auto"/>
              </w:rPr>
            </w:pPr>
            <w:r>
              <w:rPr>
                <w:rFonts w:ascii="Arial" w:cs="Arial" w:eastAsia="Arial" w:hAnsi="Arial"/>
                <w:sz w:val="16"/>
                <w:szCs w:val="16"/>
                <w:color w:val="auto"/>
              </w:rPr>
              <w:t>(367,201)</w:t>
            </w: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380,461</w:t>
            </w:r>
          </w:p>
        </w:tc>
        <w:tc>
          <w:tcPr>
            <w:tcW w:w="2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20"/>
              <w:spacing w:after="0" w:line="165" w:lineRule="exact"/>
              <w:rPr>
                <w:sz w:val="20"/>
                <w:szCs w:val="20"/>
                <w:color w:val="auto"/>
              </w:rPr>
            </w:pPr>
            <w:r>
              <w:rPr>
                <w:rFonts w:ascii="Arial" w:cs="Arial" w:eastAsia="Arial" w:hAnsi="Arial"/>
                <w:sz w:val="16"/>
                <w:szCs w:val="16"/>
                <w:color w:val="auto"/>
              </w:rPr>
              <w:t>767,841</w:t>
            </w:r>
          </w:p>
        </w:tc>
        <w:tc>
          <w:tcPr>
            <w:tcW w:w="1040" w:type="dxa"/>
            <w:vAlign w:val="bottom"/>
            <w:tcBorders>
              <w:top w:val="single" w:sz="8" w:color="auto"/>
              <w:bottom w:val="single" w:sz="8" w:color="auto"/>
            </w:tcBorders>
            <w:gridSpan w:val="2"/>
          </w:tcPr>
          <w:p>
            <w:pPr>
              <w:jc w:val="right"/>
              <w:ind w:right="60"/>
              <w:spacing w:after="0" w:line="165" w:lineRule="exact"/>
              <w:rPr>
                <w:sz w:val="20"/>
                <w:szCs w:val="20"/>
                <w:color w:val="auto"/>
              </w:rPr>
            </w:pPr>
            <w:r>
              <w:rPr>
                <w:rFonts w:ascii="Arial" w:cs="Arial" w:eastAsia="Arial" w:hAnsi="Arial"/>
                <w:sz w:val="16"/>
                <w:szCs w:val="16"/>
                <w:color w:val="auto"/>
              </w:rPr>
              <w:t>(302,581)</w:t>
            </w:r>
          </w:p>
        </w:tc>
        <w:tc>
          <w:tcPr>
            <w:tcW w:w="1020" w:type="dxa"/>
            <w:vAlign w:val="bottom"/>
            <w:tcBorders>
              <w:top w:val="single" w:sz="8" w:color="auto"/>
              <w:bottom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color w:val="auto"/>
              </w:rPr>
              <w:t>465,260</w:t>
            </w:r>
          </w:p>
        </w:tc>
        <w:tc>
          <w:tcPr>
            <w:tcW w:w="40" w:type="dxa"/>
            <w:vAlign w:val="bottom"/>
          </w:tcPr>
          <w:p>
            <w:pPr>
              <w:spacing w:after="0"/>
              <w:rPr>
                <w:sz w:val="15"/>
                <w:szCs w:val="15"/>
                <w:color w:val="auto"/>
              </w:rPr>
            </w:pPr>
          </w:p>
        </w:tc>
      </w:tr>
      <w:tr>
        <w:trPr>
          <w:trHeight w:val="185"/>
        </w:trPr>
        <w:tc>
          <w:tcPr>
            <w:tcW w:w="3500" w:type="dxa"/>
            <w:vAlign w:val="bottom"/>
          </w:tcPr>
          <w:p>
            <w:pPr>
              <w:spacing w:after="0" w:line="181" w:lineRule="exact"/>
              <w:rPr>
                <w:sz w:val="20"/>
                <w:szCs w:val="20"/>
                <w:color w:val="auto"/>
              </w:rPr>
            </w:pPr>
            <w:r>
              <w:rPr>
                <w:rFonts w:ascii="Arial" w:cs="Arial" w:eastAsia="Arial" w:hAnsi="Arial"/>
                <w:sz w:val="16"/>
                <w:szCs w:val="16"/>
                <w:b w:val="1"/>
                <w:bCs w:val="1"/>
                <w:color w:val="auto"/>
              </w:rPr>
              <w:t>Balances at the end of the period</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right"/>
              <w:ind w:right="140"/>
              <w:spacing w:after="0" w:line="181" w:lineRule="exact"/>
              <w:rPr>
                <w:sz w:val="20"/>
                <w:szCs w:val="20"/>
                <w:color w:val="auto"/>
              </w:rPr>
            </w:pPr>
            <w:r>
              <w:rPr>
                <w:rFonts w:ascii="Arial" w:cs="Arial" w:eastAsia="Arial" w:hAnsi="Arial"/>
                <w:sz w:val="16"/>
                <w:szCs w:val="16"/>
                <w:color w:val="auto"/>
              </w:rPr>
              <w:t>6,599</w:t>
            </w:r>
          </w:p>
        </w:tc>
        <w:tc>
          <w:tcPr>
            <w:tcW w:w="1080" w:type="dxa"/>
            <w:vAlign w:val="bottom"/>
            <w:tcBorders>
              <w:bottom w:val="single" w:sz="8" w:color="auto"/>
            </w:tcBorders>
            <w:gridSpan w:val="2"/>
          </w:tcPr>
          <w:p>
            <w:pPr>
              <w:jc w:val="right"/>
              <w:ind w:right="140"/>
              <w:spacing w:after="0" w:line="181" w:lineRule="exact"/>
              <w:rPr>
                <w:sz w:val="20"/>
                <w:szCs w:val="20"/>
                <w:color w:val="auto"/>
              </w:rPr>
            </w:pPr>
            <w:r>
              <w:rPr>
                <w:rFonts w:ascii="Arial" w:cs="Arial" w:eastAsia="Arial" w:hAnsi="Arial"/>
                <w:sz w:val="16"/>
                <w:szCs w:val="16"/>
                <w:color w:val="auto"/>
              </w:rPr>
              <w:t>701,961</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708,560</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ind w:right="60"/>
              <w:spacing w:after="0" w:line="181" w:lineRule="exact"/>
              <w:rPr>
                <w:sz w:val="20"/>
                <w:szCs w:val="20"/>
                <w:color w:val="auto"/>
              </w:rPr>
            </w:pPr>
            <w:r>
              <w:rPr>
                <w:rFonts w:ascii="Arial" w:cs="Arial" w:eastAsia="Arial" w:hAnsi="Arial"/>
                <w:sz w:val="16"/>
                <w:szCs w:val="16"/>
                <w:color w:val="auto"/>
              </w:rPr>
              <w:t>(58,399)</w:t>
            </w:r>
          </w:p>
        </w:tc>
        <w:tc>
          <w:tcPr>
            <w:tcW w:w="1040" w:type="dxa"/>
            <w:vAlign w:val="bottom"/>
            <w:tcBorders>
              <w:bottom w:val="single" w:sz="8" w:color="auto"/>
            </w:tcBorders>
            <w:gridSpan w:val="2"/>
          </w:tcPr>
          <w:p>
            <w:pPr>
              <w:jc w:val="right"/>
              <w:ind w:right="120"/>
              <w:spacing w:after="0" w:line="181" w:lineRule="exact"/>
              <w:rPr>
                <w:sz w:val="20"/>
                <w:szCs w:val="20"/>
                <w:color w:val="auto"/>
              </w:rPr>
            </w:pPr>
            <w:r>
              <w:rPr>
                <w:rFonts w:ascii="Arial" w:cs="Arial" w:eastAsia="Arial" w:hAnsi="Arial"/>
                <w:sz w:val="16"/>
                <w:szCs w:val="16"/>
                <w:color w:val="auto"/>
              </w:rPr>
              <w:t>899,569</w:t>
            </w:r>
          </w:p>
        </w:tc>
        <w:tc>
          <w:tcPr>
            <w:tcW w:w="1020" w:type="dxa"/>
            <w:vAlign w:val="bottom"/>
            <w:tcBorders>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841,170</w:t>
            </w:r>
          </w:p>
        </w:tc>
        <w:tc>
          <w:tcPr>
            <w:tcW w:w="40" w:type="dxa"/>
            <w:vAlign w:val="bottom"/>
          </w:tcPr>
          <w:p>
            <w:pPr>
              <w:spacing w:after="0"/>
              <w:rPr>
                <w:sz w:val="16"/>
                <w:szCs w:val="16"/>
                <w:color w:val="auto"/>
              </w:rPr>
            </w:pPr>
          </w:p>
        </w:tc>
      </w:tr>
    </w:tbl>
    <w:p>
      <w:pPr>
        <w:spacing w:after="0" w:line="164" w:lineRule="exact"/>
        <w:rPr>
          <w:sz w:val="20"/>
          <w:szCs w:val="20"/>
          <w:color w:val="auto"/>
        </w:rPr>
      </w:pPr>
    </w:p>
    <w:p>
      <w:pPr>
        <w:ind w:left="863" w:right="3980" w:firstLine="5"/>
        <w:spacing w:after="0" w:line="274" w:lineRule="auto"/>
        <w:tabs>
          <w:tab w:leader="none" w:pos="1078"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accounts payable to reinsurers and co-insurers and excess of loss contracts. (**) Includes accounts receivable from reinsurers and co-insurers.</w:t>
      </w:r>
    </w:p>
    <w:p>
      <w:pPr>
        <w:spacing w:after="0" w:line="291" w:lineRule="exact"/>
        <w:rPr>
          <w:rFonts w:ascii="Arial" w:cs="Arial" w:eastAsia="Arial" w:hAnsi="Arial"/>
          <w:sz w:val="16"/>
          <w:szCs w:val="16"/>
          <w:color w:val="auto"/>
        </w:rPr>
      </w:pPr>
    </w:p>
    <w:p>
      <w:pPr>
        <w:ind w:left="5523" w:hanging="104"/>
        <w:spacing w:after="0"/>
        <w:tabs>
          <w:tab w:leader="none" w:pos="5523" w:val="left"/>
        </w:tabs>
        <w:numPr>
          <w:ilvl w:val="1"/>
          <w:numId w:val="90"/>
        </w:numPr>
        <w:rPr>
          <w:rFonts w:ascii="Arial" w:cs="Arial" w:eastAsia="Arial" w:hAnsi="Arial"/>
          <w:sz w:val="16"/>
          <w:szCs w:val="16"/>
          <w:color w:val="auto"/>
        </w:rPr>
      </w:pPr>
      <w:r>
        <w:rPr>
          <w:rFonts w:ascii="Arial" w:cs="Arial" w:eastAsia="Arial" w:hAnsi="Arial"/>
          <w:sz w:val="16"/>
          <w:szCs w:val="16"/>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3"/>
          </w:cols>
          <w:pgMar w:left="317" w:top="316" w:right="419" w:bottom="1440" w:gutter="0" w:footer="0" w:header="0"/>
        </w:sectPr>
      </w:pPr>
    </w:p>
    <w:bookmarkStart w:id="81" w:name="page82"/>
    <w:bookmarkEnd w:id="81"/>
    <w:p>
      <w:pPr>
        <w:spacing w:after="0"/>
        <w:tabs>
          <w:tab w:leader="none" w:pos="260" w:val="left"/>
        </w:tabs>
        <w:rPr>
          <w:sz w:val="20"/>
          <w:szCs w:val="20"/>
          <w:color w:val="auto"/>
        </w:rPr>
      </w:pPr>
      <w:r>
        <w:rPr>
          <w:rFonts w:ascii="Arial" w:cs="Arial" w:eastAsia="Arial" w:hAnsi="Arial"/>
          <w:sz w:val="16"/>
          <w:szCs w:val="16"/>
          <w:color w:val="auto"/>
        </w:rPr>
        <w:t>b)</w:t>
        <w:tab/>
        <w:t>The detail of the liability for insurance contracts are:</w:t>
      </w:r>
    </w:p>
    <w:p>
      <w:pPr>
        <w:sectPr>
          <w:pgSz w:w="11900" w:h="16838" w:orient="portrait"/>
          <w:cols w:equalWidth="0" w:num="1">
            <w:col w:w="10580"/>
          </w:cols>
          <w:pgMar w:left="900" w:top="31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right="300"/>
        <w:spacing w:after="0" w:line="246" w:lineRule="auto"/>
        <w:rPr>
          <w:sz w:val="20"/>
          <w:szCs w:val="20"/>
          <w:color w:val="auto"/>
        </w:rPr>
      </w:pPr>
      <w:r>
        <w:rPr>
          <w:rFonts w:ascii="Arial" w:cs="Arial" w:eastAsia="Arial" w:hAnsi="Arial"/>
          <w:sz w:val="16"/>
          <w:szCs w:val="16"/>
          <w:b w:val="1"/>
          <w:bCs w:val="1"/>
          <w:color w:val="auto"/>
        </w:rPr>
        <w:t xml:space="preserve">Balances at the beginning of the period </w:t>
      </w:r>
      <w:r>
        <w:rPr>
          <w:rFonts w:ascii="Arial" w:cs="Arial" w:eastAsia="Arial" w:hAnsi="Arial"/>
          <w:sz w:val="16"/>
          <w:szCs w:val="16"/>
          <w:color w:val="auto"/>
        </w:rPr>
        <w:t>Insurance income</w:t>
      </w:r>
    </w:p>
    <w:p>
      <w:pPr>
        <w:spacing w:after="0" w:line="1" w:lineRule="exact"/>
        <w:rPr>
          <w:sz w:val="20"/>
          <w:szCs w:val="20"/>
          <w:color w:val="auto"/>
        </w:rPr>
      </w:pPr>
    </w:p>
    <w:p>
      <w:pPr>
        <w:ind w:left="340" w:right="160"/>
        <w:spacing w:after="0" w:line="236" w:lineRule="auto"/>
        <w:rPr>
          <w:sz w:val="20"/>
          <w:szCs w:val="20"/>
          <w:color w:val="auto"/>
        </w:rPr>
      </w:pPr>
      <w:r>
        <w:rPr>
          <w:rFonts w:ascii="Arial" w:cs="Arial" w:eastAsia="Arial" w:hAnsi="Arial"/>
          <w:sz w:val="16"/>
          <w:szCs w:val="16"/>
          <w:color w:val="auto"/>
        </w:rPr>
        <w:t>Claims incurred and other insurance service expenses</w:t>
      </w:r>
    </w:p>
    <w:p>
      <w:pPr>
        <w:ind w:left="340"/>
        <w:spacing w:after="0" w:line="236" w:lineRule="auto"/>
        <w:rPr>
          <w:sz w:val="20"/>
          <w:szCs w:val="20"/>
          <w:color w:val="auto"/>
        </w:rPr>
      </w:pPr>
      <w:r>
        <w:rPr>
          <w:rFonts w:ascii="Arial" w:cs="Arial" w:eastAsia="Arial" w:hAnsi="Arial"/>
          <w:sz w:val="16"/>
          <w:szCs w:val="16"/>
          <w:color w:val="auto"/>
        </w:rPr>
        <w:t>Adjustments relating to the past to liabilities for incurred claims</w:t>
      </w:r>
    </w:p>
    <w:p>
      <w:pPr>
        <w:ind w:left="340" w:right="160"/>
        <w:spacing w:after="0" w:line="236" w:lineRule="auto"/>
        <w:rPr>
          <w:sz w:val="20"/>
          <w:szCs w:val="20"/>
          <w:color w:val="auto"/>
        </w:rPr>
      </w:pPr>
      <w:r>
        <w:rPr>
          <w:rFonts w:ascii="Arial" w:cs="Arial" w:eastAsia="Arial" w:hAnsi="Arial"/>
          <w:sz w:val="16"/>
          <w:szCs w:val="16"/>
          <w:color w:val="auto"/>
        </w:rPr>
        <w:t>Losses and recoveries for losses in onerous contracts</w:t>
      </w:r>
    </w:p>
    <w:p>
      <w:pPr>
        <w:ind w:left="340" w:right="300"/>
        <w:spacing w:after="0" w:line="243" w:lineRule="auto"/>
        <w:rPr>
          <w:sz w:val="20"/>
          <w:szCs w:val="20"/>
          <w:color w:val="auto"/>
        </w:rPr>
      </w:pPr>
      <w:r>
        <w:rPr>
          <w:rFonts w:ascii="Arial" w:cs="Arial" w:eastAsia="Arial" w:hAnsi="Arial"/>
          <w:sz w:val="16"/>
          <w:szCs w:val="16"/>
          <w:color w:val="auto"/>
        </w:rPr>
        <w:t>Amortization of insurance acquisition cash flows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Insurance service expenses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Result of the insurance service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financial expenses for insurance contracts</w:t>
      </w:r>
    </w:p>
    <w:p>
      <w:pPr>
        <w:spacing w:after="0" w:line="9" w:lineRule="exact"/>
        <w:rPr>
          <w:sz w:val="20"/>
          <w:szCs w:val="20"/>
          <w:color w:val="auto"/>
        </w:rPr>
      </w:pPr>
    </w:p>
    <w:p>
      <w:pPr>
        <w:ind w:left="340" w:right="120"/>
        <w:spacing w:after="0" w:line="236" w:lineRule="auto"/>
        <w:rPr>
          <w:sz w:val="20"/>
          <w:szCs w:val="20"/>
          <w:color w:val="auto"/>
        </w:rPr>
      </w:pPr>
      <w:r>
        <w:rPr>
          <w:rFonts w:ascii="Arial" w:cs="Arial" w:eastAsia="Arial" w:hAnsi="Arial"/>
          <w:sz w:val="16"/>
          <w:szCs w:val="16"/>
          <w:b w:val="1"/>
          <w:bCs w:val="1"/>
          <w:color w:val="auto"/>
        </w:rPr>
        <w:t>Total changes in the consolidated income statement</w:t>
      </w:r>
    </w:p>
    <w:p>
      <w:pPr>
        <w:ind w:left="340"/>
        <w:spacing w:after="0" w:line="236" w:lineRule="auto"/>
        <w:rPr>
          <w:sz w:val="20"/>
          <w:szCs w:val="20"/>
          <w:color w:val="auto"/>
        </w:rPr>
      </w:pPr>
      <w:r>
        <w:rPr>
          <w:rFonts w:ascii="Arial" w:cs="Arial" w:eastAsia="Arial" w:hAnsi="Arial"/>
          <w:sz w:val="16"/>
          <w:szCs w:val="16"/>
          <w:color w:val="auto"/>
        </w:rPr>
        <w:t>Investment components</w:t>
      </w:r>
    </w:p>
    <w:p>
      <w:pPr>
        <w:ind w:left="340"/>
        <w:spacing w:after="0" w:line="236" w:lineRule="auto"/>
        <w:rPr>
          <w:sz w:val="20"/>
          <w:szCs w:val="20"/>
          <w:color w:val="auto"/>
        </w:rPr>
      </w:pPr>
      <w:r>
        <w:rPr>
          <w:rFonts w:ascii="Arial" w:cs="Arial" w:eastAsia="Arial" w:hAnsi="Arial"/>
          <w:sz w:val="16"/>
          <w:szCs w:val="16"/>
          <w:color w:val="auto"/>
        </w:rPr>
        <w:t>Acquisition of Pacifico EPS shares</w:t>
      </w:r>
    </w:p>
    <w:p>
      <w:pPr>
        <w:ind w:left="340"/>
        <w:spacing w:after="0" w:line="236" w:lineRule="auto"/>
        <w:rPr>
          <w:sz w:val="20"/>
          <w:szCs w:val="20"/>
          <w:color w:val="auto"/>
        </w:rPr>
      </w:pPr>
      <w:r>
        <w:rPr>
          <w:rFonts w:ascii="Arial" w:cs="Arial" w:eastAsia="Arial" w:hAnsi="Arial"/>
          <w:sz w:val="16"/>
          <w:szCs w:val="16"/>
          <w:color w:val="auto"/>
        </w:rPr>
        <w:t>Other changes</w:t>
      </w:r>
    </w:p>
    <w:p>
      <w:pPr>
        <w:ind w:left="340"/>
        <w:spacing w:after="0" w:line="236" w:lineRule="auto"/>
        <w:rPr>
          <w:sz w:val="20"/>
          <w:szCs w:val="20"/>
          <w:color w:val="auto"/>
        </w:rPr>
      </w:pPr>
      <w:r>
        <w:rPr>
          <w:rFonts w:ascii="Arial" w:cs="Arial" w:eastAsia="Arial" w:hAnsi="Arial"/>
          <w:sz w:val="16"/>
          <w:szCs w:val="16"/>
          <w:color w:val="auto"/>
        </w:rPr>
        <w:t>Cash flow:</w:t>
      </w:r>
    </w:p>
    <w:p>
      <w:pPr>
        <w:ind w:left="340"/>
        <w:spacing w:after="0" w:line="236" w:lineRule="auto"/>
        <w:rPr>
          <w:sz w:val="20"/>
          <w:szCs w:val="20"/>
          <w:color w:val="auto"/>
        </w:rPr>
      </w:pPr>
      <w:r>
        <w:rPr>
          <w:rFonts w:ascii="Arial" w:cs="Arial" w:eastAsia="Arial" w:hAnsi="Arial"/>
          <w:sz w:val="16"/>
          <w:szCs w:val="16"/>
          <w:color w:val="auto"/>
        </w:rPr>
        <w:t>Premiums received.</w:t>
      </w:r>
    </w:p>
    <w:p>
      <w:pPr>
        <w:ind w:left="340" w:right="460"/>
        <w:spacing w:after="0" w:line="243" w:lineRule="auto"/>
        <w:rPr>
          <w:sz w:val="20"/>
          <w:szCs w:val="20"/>
          <w:color w:val="auto"/>
        </w:rPr>
      </w:pPr>
      <w:r>
        <w:rPr>
          <w:rFonts w:ascii="Arial" w:cs="Arial" w:eastAsia="Arial" w:hAnsi="Arial"/>
          <w:sz w:val="16"/>
          <w:szCs w:val="16"/>
          <w:color w:val="auto"/>
        </w:rPr>
        <w:t>Claims and other service expenses paid Insurance acquisition cash flows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Net cash flow</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Balances at the end of the period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Liabilities for incurred</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23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Liabilities for remaining</w:t>
            </w:r>
          </w:p>
        </w:tc>
        <w:tc>
          <w:tcPr>
            <w:tcW w:w="1220" w:type="dxa"/>
            <w:vAlign w:val="bottom"/>
          </w:tcPr>
          <w:p>
            <w:pPr>
              <w:spacing w:after="0"/>
              <w:rPr>
                <w:sz w:val="15"/>
                <w:szCs w:val="15"/>
                <w:color w:val="auto"/>
              </w:rPr>
            </w:pPr>
          </w:p>
        </w:tc>
        <w:tc>
          <w:tcPr>
            <w:tcW w:w="21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claims - contracts</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coverage</w:t>
            </w:r>
          </w:p>
        </w:tc>
        <w:tc>
          <w:tcPr>
            <w:tcW w:w="1100" w:type="dxa"/>
            <w:vAlign w:val="bottom"/>
            <w:tcBorders>
              <w:bottom w:val="single" w:sz="8" w:color="auto"/>
            </w:tcBorders>
          </w:tcPr>
          <w:p>
            <w:pPr>
              <w:spacing w:after="0"/>
              <w:rPr>
                <w:sz w:val="17"/>
                <w:szCs w:val="17"/>
                <w:color w:val="auto"/>
              </w:rPr>
            </w:pPr>
          </w:p>
        </w:tc>
        <w:tc>
          <w:tcPr>
            <w:tcW w:w="12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Liabilities</w:t>
            </w: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measured by PAA</w:t>
            </w:r>
          </w:p>
        </w:tc>
        <w:tc>
          <w:tcPr>
            <w:tcW w:w="8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for incurred</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claims -</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contracts</w:t>
            </w:r>
          </w:p>
        </w:tc>
        <w:tc>
          <w:tcPr>
            <w:tcW w:w="1040" w:type="dxa"/>
            <w:vAlign w:val="bottom"/>
          </w:tcPr>
          <w:p>
            <w:pPr>
              <w:spacing w:after="0" w:line="181" w:lineRule="exact"/>
              <w:rPr>
                <w:sz w:val="20"/>
                <w:szCs w:val="20"/>
                <w:color w:val="auto"/>
              </w:rPr>
            </w:pPr>
            <w:r>
              <w:rPr>
                <w:rFonts w:ascii="Arial" w:cs="Arial" w:eastAsia="Arial" w:hAnsi="Arial"/>
                <w:sz w:val="16"/>
                <w:szCs w:val="16"/>
                <w:b w:val="1"/>
                <w:bCs w:val="1"/>
                <w:color w:val="auto"/>
              </w:rPr>
              <w:t>Present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Arial" w:cs="Arial" w:eastAsia="Arial" w:hAnsi="Arial"/>
                <w:sz w:val="16"/>
                <w:szCs w:val="16"/>
                <w:b w:val="1"/>
                <w:bCs w:val="1"/>
                <w:color w:val="auto"/>
              </w:rPr>
              <w:t>Excluding</w:t>
            </w:r>
          </w:p>
        </w:tc>
        <w:tc>
          <w:tcPr>
            <w:tcW w:w="1100" w:type="dxa"/>
            <w:vAlign w:val="bottom"/>
          </w:tcPr>
          <w:p>
            <w:pPr>
              <w:spacing w:after="0"/>
              <w:rPr>
                <w:sz w:val="15"/>
                <w:szCs w:val="15"/>
                <w:color w:val="auto"/>
              </w:rPr>
            </w:pP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not</w:t>
            </w:r>
          </w:p>
        </w:tc>
        <w:tc>
          <w:tcPr>
            <w:tcW w:w="1040" w:type="dxa"/>
            <w:vAlign w:val="bottom"/>
          </w:tcPr>
          <w:p>
            <w:pPr>
              <w:spacing w:after="0" w:line="181" w:lineRule="exact"/>
              <w:rPr>
                <w:sz w:val="20"/>
                <w:szCs w:val="20"/>
                <w:color w:val="auto"/>
              </w:rPr>
            </w:pPr>
            <w:r>
              <w:rPr>
                <w:rFonts w:ascii="Arial" w:cs="Arial" w:eastAsia="Arial" w:hAnsi="Arial"/>
                <w:sz w:val="16"/>
                <w:szCs w:val="16"/>
                <w:b w:val="1"/>
                <w:bCs w:val="1"/>
                <w:color w:val="auto"/>
              </w:rPr>
              <w:t>Value of</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Arial" w:cs="Arial" w:eastAsia="Arial" w:hAnsi="Arial"/>
                <w:sz w:val="16"/>
                <w:szCs w:val="16"/>
                <w:b w:val="1"/>
                <w:bCs w:val="1"/>
                <w:color w:val="auto"/>
              </w:rPr>
              <w:t>loss</w:t>
            </w:r>
          </w:p>
        </w:tc>
        <w:tc>
          <w:tcPr>
            <w:tcW w:w="110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Loss</w:t>
            </w: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measured</w:t>
            </w:r>
          </w:p>
        </w:tc>
        <w:tc>
          <w:tcPr>
            <w:tcW w:w="1040" w:type="dxa"/>
            <w:vAlign w:val="bottom"/>
          </w:tcPr>
          <w:p>
            <w:pPr>
              <w:spacing w:after="0" w:line="181" w:lineRule="exact"/>
              <w:rPr>
                <w:sz w:val="20"/>
                <w:szCs w:val="20"/>
                <w:color w:val="auto"/>
              </w:rPr>
            </w:pPr>
            <w:r>
              <w:rPr>
                <w:rFonts w:ascii="Arial" w:cs="Arial" w:eastAsia="Arial" w:hAnsi="Arial"/>
                <w:sz w:val="16"/>
                <w:szCs w:val="16"/>
                <w:b w:val="1"/>
                <w:bCs w:val="1"/>
                <w:color w:val="auto"/>
              </w:rPr>
              <w:t>Fulfillment</w:t>
            </w:r>
          </w:p>
        </w:tc>
        <w:tc>
          <w:tcPr>
            <w:tcW w:w="112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Risk</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6"/>
                <w:szCs w:val="16"/>
                <w:b w:val="1"/>
                <w:bCs w:val="1"/>
                <w:color w:val="auto"/>
              </w:rPr>
              <w:t>component (*)</w:t>
            </w:r>
          </w:p>
        </w:tc>
        <w:tc>
          <w:tcPr>
            <w:tcW w:w="1100" w:type="dxa"/>
            <w:vAlign w:val="bottom"/>
          </w:tcPr>
          <w:p>
            <w:pPr>
              <w:ind w:left="80"/>
              <w:spacing w:after="0"/>
              <w:rPr>
                <w:sz w:val="20"/>
                <w:szCs w:val="20"/>
                <w:color w:val="auto"/>
              </w:rPr>
            </w:pPr>
            <w:r>
              <w:rPr>
                <w:rFonts w:ascii="Arial" w:cs="Arial" w:eastAsia="Arial" w:hAnsi="Arial"/>
                <w:sz w:val="16"/>
                <w:szCs w:val="16"/>
                <w:b w:val="1"/>
                <w:bCs w:val="1"/>
                <w:color w:val="auto"/>
              </w:rPr>
              <w:t>component</w:t>
            </w: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by PAA</w:t>
            </w:r>
          </w:p>
        </w:tc>
        <w:tc>
          <w:tcPr>
            <w:tcW w:w="10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adjustment</w:t>
            </w:r>
          </w:p>
        </w:tc>
        <w:tc>
          <w:tcPr>
            <w:tcW w:w="1060" w:type="dxa"/>
            <w:vAlign w:val="bottom"/>
            <w:gridSpan w:val="4"/>
          </w:tcPr>
          <w:p>
            <w:pPr>
              <w:ind w:left="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10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1220" w:type="dxa"/>
            <w:vAlign w:val="bottom"/>
            <w:tcBorders>
              <w:top w:val="single" w:sz="8" w:color="auto"/>
            </w:tcBorders>
          </w:tcPr>
          <w:p>
            <w:pPr>
              <w:ind w:left="100"/>
              <w:spacing w:after="0" w:line="156" w:lineRule="exact"/>
              <w:rPr>
                <w:sz w:val="20"/>
                <w:szCs w:val="20"/>
                <w:color w:val="auto"/>
              </w:rPr>
            </w:pPr>
            <w:r>
              <w:rPr>
                <w:rFonts w:ascii="Arial" w:cs="Arial" w:eastAsia="Arial" w:hAnsi="Arial"/>
                <w:sz w:val="16"/>
                <w:szCs w:val="16"/>
                <w:b w:val="1"/>
                <w:bCs w:val="1"/>
                <w:color w:val="auto"/>
              </w:rPr>
              <w:t>S/(000)</w:t>
            </w:r>
          </w:p>
        </w:tc>
        <w:tc>
          <w:tcPr>
            <w:tcW w:w="10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12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1000" w:type="dxa"/>
            <w:vAlign w:val="bottom"/>
            <w:tcBorders>
              <w:top w:val="single" w:sz="8" w:color="auto"/>
            </w:tcBorders>
            <w:gridSpan w:val="2"/>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jc w:val="right"/>
              <w:ind w:right="40"/>
              <w:spacing w:after="0" w:line="181" w:lineRule="exact"/>
              <w:rPr>
                <w:sz w:val="20"/>
                <w:szCs w:val="20"/>
                <w:color w:val="auto"/>
              </w:rPr>
            </w:pPr>
            <w:r>
              <w:rPr>
                <w:rFonts w:ascii="Arial" w:cs="Arial" w:eastAsia="Arial" w:hAnsi="Arial"/>
                <w:sz w:val="16"/>
                <w:szCs w:val="16"/>
                <w:color w:val="auto"/>
              </w:rPr>
              <w:t>9,317,066</w:t>
            </w:r>
          </w:p>
        </w:tc>
        <w:tc>
          <w:tcPr>
            <w:tcW w:w="1100" w:type="dxa"/>
            <w:vAlign w:val="bottom"/>
          </w:tcPr>
          <w:p>
            <w:pPr>
              <w:jc w:val="right"/>
              <w:ind w:right="20"/>
              <w:spacing w:after="0" w:line="181" w:lineRule="exact"/>
              <w:rPr>
                <w:sz w:val="20"/>
                <w:szCs w:val="20"/>
                <w:color w:val="auto"/>
              </w:rPr>
            </w:pPr>
            <w:r>
              <w:rPr>
                <w:rFonts w:ascii="Arial" w:cs="Arial" w:eastAsia="Arial" w:hAnsi="Arial"/>
                <w:sz w:val="16"/>
                <w:szCs w:val="16"/>
                <w:color w:val="auto"/>
              </w:rPr>
              <w:t>247,799</w:t>
            </w:r>
          </w:p>
        </w:tc>
        <w:tc>
          <w:tcPr>
            <w:tcW w:w="12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1,288,630</w:t>
            </w:r>
          </w:p>
        </w:tc>
        <w:tc>
          <w:tcPr>
            <w:tcW w:w="1040" w:type="dxa"/>
            <w:vAlign w:val="bottom"/>
          </w:tcPr>
          <w:p>
            <w:pPr>
              <w:jc w:val="right"/>
              <w:ind w:right="40"/>
              <w:spacing w:after="0" w:line="181" w:lineRule="exact"/>
              <w:rPr>
                <w:sz w:val="20"/>
                <w:szCs w:val="20"/>
                <w:color w:val="auto"/>
              </w:rPr>
            </w:pPr>
            <w:r>
              <w:rPr>
                <w:rFonts w:ascii="Arial" w:cs="Arial" w:eastAsia="Arial" w:hAnsi="Arial"/>
                <w:sz w:val="16"/>
                <w:szCs w:val="16"/>
                <w:color w:val="auto"/>
              </w:rPr>
              <w:t>2,544,942</w:t>
            </w:r>
          </w:p>
        </w:tc>
        <w:tc>
          <w:tcPr>
            <w:tcW w:w="1120" w:type="dxa"/>
            <w:vAlign w:val="bottom"/>
          </w:tcPr>
          <w:p>
            <w:pPr>
              <w:jc w:val="right"/>
              <w:ind w:right="40"/>
              <w:spacing w:after="0" w:line="181" w:lineRule="exact"/>
              <w:rPr>
                <w:sz w:val="20"/>
                <w:szCs w:val="20"/>
                <w:color w:val="auto"/>
              </w:rPr>
            </w:pPr>
            <w:r>
              <w:rPr>
                <w:rFonts w:ascii="Arial" w:cs="Arial" w:eastAsia="Arial" w:hAnsi="Arial"/>
                <w:sz w:val="16"/>
                <w:szCs w:val="16"/>
                <w:color w:val="auto"/>
              </w:rPr>
              <w:t>23,848</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13,422,285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(4,649,818)</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1,118</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(4,648,700)</w:t>
            </w:r>
          </w:p>
        </w:tc>
        <w:tc>
          <w:tcPr>
            <w:tcW w:w="0" w:type="dxa"/>
            <w:vAlign w:val="bottom"/>
          </w:tcPr>
          <w:p>
            <w:pPr>
              <w:spacing w:after="0"/>
              <w:rPr>
                <w:sz w:val="1"/>
                <w:szCs w:val="1"/>
                <w:color w:val="auto"/>
              </w:rPr>
            </w:pPr>
          </w:p>
        </w:tc>
      </w:tr>
      <w:tr>
        <w:trPr>
          <w:trHeight w:val="362"/>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56,133</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842,435</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2,778,176</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3,676,869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(713,756)</w:t>
            </w:r>
          </w:p>
        </w:tc>
        <w:tc>
          <w:tcPr>
            <w:tcW w:w="1040" w:type="dxa"/>
            <w:vAlign w:val="bottom"/>
          </w:tcPr>
          <w:p>
            <w:pPr>
              <w:jc w:val="right"/>
              <w:spacing w:after="0"/>
              <w:rPr>
                <w:sz w:val="20"/>
                <w:szCs w:val="20"/>
                <w:color w:val="auto"/>
              </w:rPr>
            </w:pPr>
            <w:r>
              <w:rPr>
                <w:rFonts w:ascii="Arial" w:cs="Arial" w:eastAsia="Arial" w:hAnsi="Arial"/>
                <w:sz w:val="16"/>
                <w:szCs w:val="16"/>
                <w:color w:val="auto"/>
              </w:rPr>
              <w:t>(190,799)</w:t>
            </w:r>
          </w:p>
        </w:tc>
        <w:tc>
          <w:tcPr>
            <w:tcW w:w="1120" w:type="dxa"/>
            <w:vAlign w:val="bottom"/>
          </w:tcPr>
          <w:p>
            <w:pPr>
              <w:jc w:val="right"/>
              <w:spacing w:after="0"/>
              <w:rPr>
                <w:sz w:val="20"/>
                <w:szCs w:val="20"/>
                <w:color w:val="auto"/>
              </w:rPr>
            </w:pPr>
            <w:r>
              <w:rPr>
                <w:rFonts w:ascii="Arial" w:cs="Arial" w:eastAsia="Arial" w:hAnsi="Arial"/>
                <w:sz w:val="16"/>
                <w:szCs w:val="16"/>
                <w:color w:val="auto"/>
              </w:rPr>
              <w:t>(3,584)</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(908,139)</w:t>
            </w:r>
          </w:p>
        </w:tc>
        <w:tc>
          <w:tcPr>
            <w:tcW w:w="0" w:type="dxa"/>
            <w:vAlign w:val="bottom"/>
          </w:tcPr>
          <w:p>
            <w:pPr>
              <w:spacing w:after="0"/>
              <w:rPr>
                <w:sz w:val="1"/>
                <w:szCs w:val="1"/>
                <w:color w:val="auto"/>
              </w:rPr>
            </w:pPr>
          </w:p>
        </w:tc>
      </w:tr>
      <w:tr>
        <w:trPr>
          <w:trHeight w:val="362"/>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10,686</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21,259</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21,259</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77,392</w:t>
            </w:r>
          </w:p>
        </w:tc>
        <w:tc>
          <w:tcPr>
            <w:tcW w:w="1100" w:type="dxa"/>
            <w:vAlign w:val="bottom"/>
            <w:tcBorders>
              <w:top w:val="single" w:sz="8" w:color="auto"/>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10,686</w:t>
            </w:r>
          </w:p>
        </w:tc>
        <w:tc>
          <w:tcPr>
            <w:tcW w:w="1220" w:type="dxa"/>
            <w:vAlign w:val="bottom"/>
            <w:tcBorders>
              <w:top w:val="single" w:sz="8" w:color="auto"/>
              <w:bottom w:val="single" w:sz="8" w:color="auto"/>
            </w:tcBorders>
          </w:tcPr>
          <w:p>
            <w:pPr>
              <w:jc w:val="right"/>
              <w:ind w:right="120"/>
              <w:spacing w:after="0" w:line="173" w:lineRule="exact"/>
              <w:rPr>
                <w:sz w:val="20"/>
                <w:szCs w:val="20"/>
                <w:color w:val="auto"/>
              </w:rPr>
            </w:pPr>
            <w:r>
              <w:rPr>
                <w:rFonts w:ascii="Arial" w:cs="Arial" w:eastAsia="Arial" w:hAnsi="Arial"/>
                <w:sz w:val="16"/>
                <w:szCs w:val="16"/>
                <w:color w:val="auto"/>
              </w:rPr>
              <w:t>128,679</w:t>
            </w:r>
          </w:p>
        </w:tc>
        <w:tc>
          <w:tcPr>
            <w:tcW w:w="104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2,587,377</w:t>
            </w:r>
          </w:p>
        </w:tc>
        <w:tc>
          <w:tcPr>
            <w:tcW w:w="11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(3,459)</w:t>
            </w:r>
          </w:p>
        </w:tc>
        <w:tc>
          <w:tcPr>
            <w:tcW w:w="1020" w:type="dxa"/>
            <w:vAlign w:val="bottom"/>
            <w:tcBorders>
              <w:top w:val="single" w:sz="8" w:color="auto"/>
              <w:bottom w:val="single" w:sz="8" w:color="auto"/>
            </w:tcBorders>
            <w:gridSpan w:val="3"/>
          </w:tcPr>
          <w:p>
            <w:pPr>
              <w:jc w:val="right"/>
              <w:ind w:right="20"/>
              <w:spacing w:after="0" w:line="173" w:lineRule="exact"/>
              <w:rPr>
                <w:sz w:val="20"/>
                <w:szCs w:val="20"/>
                <w:color w:val="auto"/>
              </w:rPr>
            </w:pPr>
            <w:r>
              <w:rPr>
                <w:rFonts w:ascii="Arial" w:cs="Arial" w:eastAsia="Arial" w:hAnsi="Arial"/>
                <w:sz w:val="16"/>
                <w:szCs w:val="16"/>
                <w:color w:val="auto"/>
              </w:rPr>
              <w:t>2,800,675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Arial" w:cs="Arial" w:eastAsia="Arial" w:hAnsi="Arial"/>
                <w:sz w:val="16"/>
                <w:szCs w:val="16"/>
                <w:color w:val="auto"/>
              </w:rPr>
              <w:t>(4,572,426)</w:t>
            </w:r>
          </w:p>
        </w:tc>
        <w:tc>
          <w:tcPr>
            <w:tcW w:w="1100" w:type="dxa"/>
            <w:vAlign w:val="bottom"/>
          </w:tcPr>
          <w:p>
            <w:pPr>
              <w:jc w:val="right"/>
              <w:ind w:right="20"/>
              <w:spacing w:after="0" w:line="168" w:lineRule="exact"/>
              <w:rPr>
                <w:sz w:val="20"/>
                <w:szCs w:val="20"/>
                <w:color w:val="auto"/>
              </w:rPr>
            </w:pPr>
            <w:r>
              <w:rPr>
                <w:rFonts w:ascii="Arial" w:cs="Arial" w:eastAsia="Arial" w:hAnsi="Arial"/>
                <w:sz w:val="16"/>
                <w:szCs w:val="16"/>
                <w:color w:val="auto"/>
              </w:rPr>
              <w:t>11,804</w:t>
            </w:r>
          </w:p>
        </w:tc>
        <w:tc>
          <w:tcPr>
            <w:tcW w:w="122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128,679</w:t>
            </w:r>
          </w:p>
        </w:tc>
        <w:tc>
          <w:tcPr>
            <w:tcW w:w="10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2,587,377</w:t>
            </w:r>
          </w:p>
        </w:tc>
        <w:tc>
          <w:tcPr>
            <w:tcW w:w="1120" w:type="dxa"/>
            <w:vAlign w:val="bottom"/>
          </w:tcPr>
          <w:p>
            <w:pPr>
              <w:jc w:val="right"/>
              <w:spacing w:after="0" w:line="168" w:lineRule="exact"/>
              <w:rPr>
                <w:sz w:val="20"/>
                <w:szCs w:val="20"/>
                <w:color w:val="auto"/>
              </w:rPr>
            </w:pPr>
            <w:r>
              <w:rPr>
                <w:rFonts w:ascii="Arial" w:cs="Arial" w:eastAsia="Arial" w:hAnsi="Arial"/>
                <w:sz w:val="16"/>
                <w:szCs w:val="16"/>
                <w:color w:val="auto"/>
              </w:rPr>
              <w:t>(3,459)</w:t>
            </w:r>
          </w:p>
        </w:tc>
        <w:tc>
          <w:tcPr>
            <w:tcW w:w="1020" w:type="dxa"/>
            <w:vAlign w:val="bottom"/>
            <w:gridSpan w:val="3"/>
          </w:tcPr>
          <w:p>
            <w:pPr>
              <w:jc w:val="right"/>
              <w:ind w:right="20"/>
              <w:spacing w:after="0" w:line="168" w:lineRule="exact"/>
              <w:rPr>
                <w:sz w:val="20"/>
                <w:szCs w:val="20"/>
                <w:color w:val="auto"/>
              </w:rPr>
            </w:pPr>
            <w:r>
              <w:rPr>
                <w:rFonts w:ascii="Arial" w:cs="Arial" w:eastAsia="Arial" w:hAnsi="Arial"/>
                <w:sz w:val="16"/>
                <w:szCs w:val="16"/>
                <w:color w:val="auto"/>
              </w:rPr>
              <w:t>(1,848,025)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1,012,259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(6,868)</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95,490</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119,361</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946</w:t>
            </w: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1,221,188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(3,560,167)</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4,936</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224,169</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2,706,738</w:t>
            </w:r>
          </w:p>
        </w:tc>
        <w:tc>
          <w:tcPr>
            <w:tcW w:w="1120" w:type="dxa"/>
            <w:vAlign w:val="bottom"/>
          </w:tcPr>
          <w:p>
            <w:pPr>
              <w:jc w:val="right"/>
              <w:spacing w:after="0"/>
              <w:rPr>
                <w:sz w:val="20"/>
                <w:szCs w:val="20"/>
                <w:color w:val="auto"/>
              </w:rPr>
            </w:pPr>
            <w:r>
              <w:rPr>
                <w:rFonts w:ascii="Arial" w:cs="Arial" w:eastAsia="Arial" w:hAnsi="Arial"/>
                <w:sz w:val="16"/>
                <w:szCs w:val="16"/>
                <w:color w:val="auto"/>
              </w:rPr>
              <w:t>(2,513)</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(626,837)</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Arial" w:cs="Arial" w:eastAsia="Arial" w:hAnsi="Arial"/>
                <w:sz w:val="16"/>
                <w:szCs w:val="16"/>
                <w:color w:val="auto"/>
              </w:rPr>
              <w:t>(1,045,427)</w:t>
            </w:r>
          </w:p>
        </w:tc>
        <w:tc>
          <w:tcPr>
            <w:tcW w:w="1100" w:type="dxa"/>
            <w:vAlign w:val="bottom"/>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1,045,427</w:t>
            </w:r>
          </w:p>
        </w:tc>
        <w:tc>
          <w:tcPr>
            <w:tcW w:w="1040" w:type="dxa"/>
            <w:vAlign w:val="bottom"/>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9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Arial" w:cs="Arial" w:eastAsia="Arial" w:hAnsi="Arial"/>
                <w:sz w:val="16"/>
                <w:szCs w:val="16"/>
                <w:color w:val="auto"/>
              </w:rPr>
              <w:t>(60,734)</w:t>
            </w:r>
          </w:p>
        </w:tc>
        <w:tc>
          <w:tcPr>
            <w:tcW w:w="1100" w:type="dxa"/>
            <w:vAlign w:val="bottom"/>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line="181" w:lineRule="exact"/>
              <w:rPr>
                <w:sz w:val="20"/>
                <w:szCs w:val="20"/>
                <w:color w:val="auto"/>
              </w:rPr>
            </w:pPr>
            <w:r>
              <w:rPr>
                <w:rFonts w:ascii="Arial" w:cs="Arial" w:eastAsia="Arial" w:hAnsi="Arial"/>
                <w:sz w:val="16"/>
                <w:szCs w:val="16"/>
                <w:color w:val="auto"/>
              </w:rPr>
              <w:t>175,615</w:t>
            </w:r>
          </w:p>
        </w:tc>
        <w:tc>
          <w:tcPr>
            <w:tcW w:w="1120" w:type="dxa"/>
            <w:vAlign w:val="bottom"/>
          </w:tcPr>
          <w:p>
            <w:pPr>
              <w:jc w:val="right"/>
              <w:ind w:right="40"/>
              <w:spacing w:after="0" w:line="181" w:lineRule="exact"/>
              <w:rPr>
                <w:sz w:val="20"/>
                <w:szCs w:val="20"/>
                <w:color w:val="auto"/>
              </w:rPr>
            </w:pPr>
            <w:r>
              <w:rPr>
                <w:rFonts w:ascii="Arial" w:cs="Arial" w:eastAsia="Arial" w:hAnsi="Arial"/>
                <w:sz w:val="16"/>
                <w:szCs w:val="16"/>
                <w:color w:val="auto"/>
              </w:rPr>
              <w:t>764</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115,645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(683,280)</w:t>
            </w:r>
          </w:p>
        </w:tc>
        <w:tc>
          <w:tcPr>
            <w:tcW w:w="1100" w:type="dxa"/>
            <w:vAlign w:val="bottom"/>
          </w:tcPr>
          <w:p>
            <w:pPr>
              <w:jc w:val="right"/>
              <w:spacing w:after="0"/>
              <w:rPr>
                <w:sz w:val="20"/>
                <w:szCs w:val="20"/>
                <w:color w:val="auto"/>
              </w:rPr>
            </w:pPr>
            <w:r>
              <w:rPr>
                <w:rFonts w:ascii="Arial" w:cs="Arial" w:eastAsia="Arial" w:hAnsi="Arial"/>
                <w:sz w:val="16"/>
                <w:szCs w:val="16"/>
                <w:color w:val="auto"/>
              </w:rPr>
              <w:t>(7,212)</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(11,223)</w:t>
            </w:r>
          </w:p>
        </w:tc>
        <w:tc>
          <w:tcPr>
            <w:tcW w:w="1040" w:type="dxa"/>
            <w:vAlign w:val="bottom"/>
          </w:tcPr>
          <w:p>
            <w:pPr>
              <w:jc w:val="right"/>
              <w:spacing w:after="0"/>
              <w:rPr>
                <w:sz w:val="20"/>
                <w:szCs w:val="20"/>
                <w:color w:val="auto"/>
              </w:rPr>
            </w:pPr>
            <w:r>
              <w:rPr>
                <w:rFonts w:ascii="Arial" w:cs="Arial" w:eastAsia="Arial" w:hAnsi="Arial"/>
                <w:sz w:val="16"/>
                <w:szCs w:val="16"/>
                <w:color w:val="auto"/>
              </w:rPr>
              <w:t>(80,224)</w:t>
            </w:r>
          </w:p>
        </w:tc>
        <w:tc>
          <w:tcPr>
            <w:tcW w:w="1120" w:type="dxa"/>
            <w:vAlign w:val="bottom"/>
          </w:tcPr>
          <w:p>
            <w:pPr>
              <w:jc w:val="right"/>
              <w:spacing w:after="0"/>
              <w:rPr>
                <w:sz w:val="20"/>
                <w:szCs w:val="20"/>
                <w:color w:val="auto"/>
              </w:rPr>
            </w:pPr>
            <w:r>
              <w:rPr>
                <w:rFonts w:ascii="Arial" w:cs="Arial" w:eastAsia="Arial" w:hAnsi="Arial"/>
                <w:sz w:val="16"/>
                <w:szCs w:val="16"/>
                <w:color w:val="auto"/>
              </w:rPr>
              <w:t>(600)</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(782,539)</w:t>
            </w:r>
          </w:p>
        </w:tc>
        <w:tc>
          <w:tcPr>
            <w:tcW w:w="0" w:type="dxa"/>
            <w:vAlign w:val="bottom"/>
          </w:tcPr>
          <w:p>
            <w:pPr>
              <w:spacing w:after="0"/>
              <w:rPr>
                <w:sz w:val="1"/>
                <w:szCs w:val="1"/>
                <w:color w:val="auto"/>
              </w:rPr>
            </w:pPr>
          </w:p>
        </w:tc>
      </w:tr>
      <w:tr>
        <w:trPr>
          <w:trHeight w:val="329"/>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7,358,881</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7,358,881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(1,190,631)</w:t>
            </w:r>
          </w:p>
        </w:tc>
        <w:tc>
          <w:tcPr>
            <w:tcW w:w="1040" w:type="dxa"/>
            <w:vAlign w:val="bottom"/>
          </w:tcPr>
          <w:p>
            <w:pPr>
              <w:jc w:val="right"/>
              <w:spacing w:after="0"/>
              <w:rPr>
                <w:sz w:val="20"/>
                <w:szCs w:val="20"/>
                <w:color w:val="auto"/>
              </w:rPr>
            </w:pPr>
            <w:r>
              <w:rPr>
                <w:rFonts w:ascii="Arial" w:cs="Arial" w:eastAsia="Arial" w:hAnsi="Arial"/>
                <w:sz w:val="16"/>
                <w:szCs w:val="16"/>
                <w:color w:val="auto"/>
              </w:rPr>
              <w:t>(3,038,334)</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(4,228,965)</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(994,315)</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(994,315)</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6,364,566</w:t>
            </w:r>
          </w:p>
        </w:tc>
        <w:tc>
          <w:tcPr>
            <w:tcW w:w="1100" w:type="dxa"/>
            <w:vAlign w:val="bottom"/>
            <w:tcBorders>
              <w:top w:val="single" w:sz="8" w:color="auto"/>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60"/>
              <w:spacing w:after="0" w:line="173" w:lineRule="exact"/>
              <w:rPr>
                <w:sz w:val="20"/>
                <w:szCs w:val="20"/>
                <w:color w:val="auto"/>
              </w:rPr>
            </w:pPr>
            <w:r>
              <w:rPr>
                <w:rFonts w:ascii="Arial" w:cs="Arial" w:eastAsia="Arial" w:hAnsi="Arial"/>
                <w:sz w:val="16"/>
                <w:szCs w:val="16"/>
                <w:color w:val="auto"/>
              </w:rPr>
              <w:t>(1,190,631)</w:t>
            </w: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(3,038,334)</w:t>
            </w:r>
          </w:p>
        </w:tc>
        <w:tc>
          <w:tcPr>
            <w:tcW w:w="112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gridSpan w:val="3"/>
          </w:tcPr>
          <w:p>
            <w:pPr>
              <w:jc w:val="right"/>
              <w:ind w:right="20"/>
              <w:spacing w:after="0" w:line="173" w:lineRule="exact"/>
              <w:rPr>
                <w:sz w:val="20"/>
                <w:szCs w:val="20"/>
                <w:color w:val="auto"/>
              </w:rPr>
            </w:pPr>
            <w:r>
              <w:rPr>
                <w:rFonts w:ascii="Arial" w:cs="Arial" w:eastAsia="Arial" w:hAnsi="Arial"/>
                <w:sz w:val="16"/>
                <w:szCs w:val="16"/>
                <w:color w:val="auto"/>
              </w:rPr>
              <w:t>2,135,601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10,332,024</w:t>
            </w:r>
          </w:p>
        </w:tc>
        <w:tc>
          <w:tcPr>
            <w:tcW w:w="110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245,523</w:t>
            </w:r>
          </w:p>
        </w:tc>
        <w:tc>
          <w:tcPr>
            <w:tcW w:w="1220" w:type="dxa"/>
            <w:vAlign w:val="bottom"/>
            <w:tcBorders>
              <w:bottom w:val="single" w:sz="8" w:color="auto"/>
            </w:tcBorders>
          </w:tcPr>
          <w:p>
            <w:pPr>
              <w:jc w:val="right"/>
              <w:ind w:right="120"/>
              <w:spacing w:after="0" w:line="173" w:lineRule="exact"/>
              <w:rPr>
                <w:sz w:val="20"/>
                <w:szCs w:val="20"/>
                <w:color w:val="auto"/>
              </w:rPr>
            </w:pPr>
            <w:r>
              <w:rPr>
                <w:rFonts w:ascii="Arial" w:cs="Arial" w:eastAsia="Arial" w:hAnsi="Arial"/>
                <w:sz w:val="16"/>
                <w:szCs w:val="16"/>
                <w:color w:val="auto"/>
              </w:rPr>
              <w:t>1,356,372</w:t>
            </w:r>
          </w:p>
        </w:tc>
        <w:tc>
          <w:tcPr>
            <w:tcW w:w="1040" w:type="dxa"/>
            <w:vAlign w:val="bottom"/>
            <w:tcBorders>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2,308,737</w:t>
            </w:r>
          </w:p>
        </w:tc>
        <w:tc>
          <w:tcPr>
            <w:tcW w:w="1120" w:type="dxa"/>
            <w:vAlign w:val="bottom"/>
            <w:tcBorders>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21,499</w:t>
            </w:r>
          </w:p>
        </w:tc>
        <w:tc>
          <w:tcPr>
            <w:tcW w:w="1020" w:type="dxa"/>
            <w:vAlign w:val="bottom"/>
            <w:tcBorders>
              <w:bottom w:val="single" w:sz="8" w:color="auto"/>
            </w:tcBorders>
            <w:gridSpan w:val="3"/>
          </w:tcPr>
          <w:p>
            <w:pPr>
              <w:jc w:val="right"/>
              <w:ind w:right="20"/>
              <w:spacing w:after="0" w:line="173" w:lineRule="exact"/>
              <w:rPr>
                <w:sz w:val="20"/>
                <w:szCs w:val="20"/>
                <w:color w:val="auto"/>
              </w:rPr>
            </w:pPr>
            <w:r>
              <w:rPr>
                <w:rFonts w:ascii="Arial" w:cs="Arial" w:eastAsia="Arial" w:hAnsi="Arial"/>
                <w:sz w:val="16"/>
                <w:szCs w:val="16"/>
                <w:color w:val="auto"/>
              </w:rPr>
              <w:t>14,264,155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2">
            <w:col w:w="3640" w:space="40"/>
            <w:col w:w="6900"/>
          </w:cols>
          <w:pgMar w:left="900" w:top="316" w:right="419" w:bottom="1440" w:gutter="0" w:footer="0" w:header="0"/>
          <w:type w:val="continuous"/>
        </w:sectPr>
      </w:pPr>
    </w:p>
    <w:p>
      <w:pPr>
        <w:ind w:left="500" w:hanging="215"/>
        <w:spacing w:after="0"/>
        <w:tabs>
          <w:tab w:leader="none" w:pos="5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accounts receivable of contracts measured under the PAA and debts to intermediaries, marketers and auxiliaries.</w:t>
      </w:r>
    </w:p>
    <w:p>
      <w:pPr>
        <w:spacing w:after="0" w:line="346" w:lineRule="exact"/>
        <w:rPr>
          <w:rFonts w:ascii="Arial" w:cs="Arial" w:eastAsia="Arial" w:hAnsi="Arial"/>
          <w:sz w:val="16"/>
          <w:szCs w:val="16"/>
          <w:color w:val="auto"/>
        </w:rPr>
      </w:pPr>
    </w:p>
    <w:p>
      <w:pPr>
        <w:ind w:left="4940" w:hanging="104"/>
        <w:spacing w:after="0"/>
        <w:tabs>
          <w:tab w:leader="none" w:pos="49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580"/>
          </w:cols>
          <w:pgMar w:left="900" w:top="316" w:right="419" w:bottom="144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 w:right="300"/>
        <w:spacing w:after="0" w:line="246" w:lineRule="auto"/>
        <w:rPr>
          <w:sz w:val="20"/>
          <w:szCs w:val="20"/>
          <w:color w:val="auto"/>
        </w:rPr>
      </w:pPr>
      <w:r>
        <w:rPr>
          <w:rFonts w:ascii="Arial" w:cs="Arial" w:eastAsia="Arial" w:hAnsi="Arial"/>
          <w:sz w:val="16"/>
          <w:szCs w:val="16"/>
          <w:b w:val="1"/>
          <w:bCs w:val="1"/>
          <w:color w:val="auto"/>
        </w:rPr>
        <w:t xml:space="preserve">Balances at the beginning of the period </w:t>
      </w:r>
      <w:r>
        <w:rPr>
          <w:rFonts w:ascii="Arial" w:cs="Arial" w:eastAsia="Arial" w:hAnsi="Arial"/>
          <w:sz w:val="16"/>
          <w:szCs w:val="16"/>
          <w:color w:val="auto"/>
        </w:rPr>
        <w:t>Insurance income</w:t>
      </w:r>
    </w:p>
    <w:p>
      <w:pPr>
        <w:spacing w:after="0" w:line="1" w:lineRule="exact"/>
        <w:rPr>
          <w:sz w:val="20"/>
          <w:szCs w:val="20"/>
          <w:color w:val="auto"/>
        </w:rPr>
      </w:pPr>
    </w:p>
    <w:p>
      <w:pPr>
        <w:ind w:left="55" w:right="160"/>
        <w:spacing w:after="0" w:line="236" w:lineRule="auto"/>
        <w:rPr>
          <w:sz w:val="20"/>
          <w:szCs w:val="20"/>
          <w:color w:val="auto"/>
        </w:rPr>
      </w:pPr>
      <w:r>
        <w:rPr>
          <w:rFonts w:ascii="Arial" w:cs="Arial" w:eastAsia="Arial" w:hAnsi="Arial"/>
          <w:sz w:val="16"/>
          <w:szCs w:val="16"/>
          <w:color w:val="auto"/>
        </w:rPr>
        <w:t>Claims incurred and other insurance service expenses</w:t>
      </w:r>
    </w:p>
    <w:p>
      <w:pPr>
        <w:ind w:left="55"/>
        <w:spacing w:after="0" w:line="236" w:lineRule="auto"/>
        <w:rPr>
          <w:sz w:val="20"/>
          <w:szCs w:val="20"/>
          <w:color w:val="auto"/>
        </w:rPr>
      </w:pPr>
      <w:r>
        <w:rPr>
          <w:rFonts w:ascii="Arial" w:cs="Arial" w:eastAsia="Arial" w:hAnsi="Arial"/>
          <w:sz w:val="16"/>
          <w:szCs w:val="16"/>
          <w:color w:val="auto"/>
        </w:rPr>
        <w:t>Adjustments relating to the past to liabilities for incurred claims</w:t>
      </w:r>
    </w:p>
    <w:p>
      <w:pPr>
        <w:ind w:left="55" w:right="160"/>
        <w:spacing w:after="0" w:line="236" w:lineRule="auto"/>
        <w:rPr>
          <w:sz w:val="20"/>
          <w:szCs w:val="20"/>
          <w:color w:val="auto"/>
        </w:rPr>
      </w:pPr>
      <w:r>
        <w:rPr>
          <w:rFonts w:ascii="Arial" w:cs="Arial" w:eastAsia="Arial" w:hAnsi="Arial"/>
          <w:sz w:val="16"/>
          <w:szCs w:val="16"/>
          <w:color w:val="auto"/>
        </w:rPr>
        <w:t>Losses and recoveries for losses in onerous contracts</w:t>
      </w:r>
    </w:p>
    <w:p>
      <w:pPr>
        <w:ind w:left="55" w:right="300"/>
        <w:spacing w:after="0" w:line="243" w:lineRule="auto"/>
        <w:rPr>
          <w:sz w:val="20"/>
          <w:szCs w:val="20"/>
          <w:color w:val="auto"/>
        </w:rPr>
      </w:pPr>
      <w:r>
        <w:rPr>
          <w:rFonts w:ascii="Arial" w:cs="Arial" w:eastAsia="Arial" w:hAnsi="Arial"/>
          <w:sz w:val="16"/>
          <w:szCs w:val="16"/>
          <w:color w:val="auto"/>
        </w:rPr>
        <w:t>Amortization of insurance acquisition cash flows</w:t>
      </w:r>
    </w:p>
    <w:p>
      <w:pPr>
        <w:spacing w:after="0" w:line="1" w:lineRule="exact"/>
        <w:rPr>
          <w:sz w:val="20"/>
          <w:szCs w:val="20"/>
          <w:color w:val="auto"/>
        </w:rPr>
      </w:pPr>
    </w:p>
    <w:p>
      <w:pPr>
        <w:ind w:left="55"/>
        <w:spacing w:after="0"/>
        <w:rPr>
          <w:sz w:val="20"/>
          <w:szCs w:val="20"/>
          <w:color w:val="auto"/>
        </w:rPr>
      </w:pPr>
      <w:r>
        <w:rPr>
          <w:rFonts w:ascii="Arial" w:cs="Arial" w:eastAsia="Arial" w:hAnsi="Arial"/>
          <w:sz w:val="16"/>
          <w:szCs w:val="16"/>
          <w:color w:val="auto"/>
        </w:rPr>
        <w:t>Insurance service expenses</w:t>
      </w:r>
    </w:p>
    <w:p>
      <w:pPr>
        <w:spacing w:after="0" w:line="14" w:lineRule="exact"/>
        <w:rPr>
          <w:sz w:val="20"/>
          <w:szCs w:val="20"/>
          <w:color w:val="auto"/>
        </w:rPr>
      </w:pPr>
    </w:p>
    <w:p>
      <w:pPr>
        <w:ind w:left="55"/>
        <w:spacing w:after="0"/>
        <w:rPr>
          <w:sz w:val="20"/>
          <w:szCs w:val="20"/>
          <w:color w:val="auto"/>
        </w:rPr>
      </w:pPr>
      <w:r>
        <w:rPr>
          <w:rFonts w:ascii="Arial" w:cs="Arial" w:eastAsia="Arial" w:hAnsi="Arial"/>
          <w:sz w:val="16"/>
          <w:szCs w:val="16"/>
          <w:b w:val="1"/>
          <w:bCs w:val="1"/>
          <w:color w:val="auto"/>
        </w:rPr>
        <w:t>Result of the insurance service</w:t>
      </w:r>
    </w:p>
    <w:p>
      <w:pPr>
        <w:spacing w:after="0" w:line="5" w:lineRule="exact"/>
        <w:rPr>
          <w:sz w:val="20"/>
          <w:szCs w:val="20"/>
          <w:color w:val="auto"/>
        </w:rPr>
      </w:pPr>
    </w:p>
    <w:p>
      <w:pPr>
        <w:ind w:left="55"/>
        <w:spacing w:after="0"/>
        <w:rPr>
          <w:sz w:val="20"/>
          <w:szCs w:val="20"/>
          <w:color w:val="auto"/>
        </w:rPr>
      </w:pPr>
      <w:r>
        <w:rPr>
          <w:rFonts w:ascii="Arial" w:cs="Arial" w:eastAsia="Arial" w:hAnsi="Arial"/>
          <w:sz w:val="16"/>
          <w:szCs w:val="16"/>
          <w:color w:val="auto"/>
        </w:rPr>
        <w:t>Net financial expenses for insurance contracts</w:t>
      </w:r>
    </w:p>
    <w:p>
      <w:pPr>
        <w:spacing w:after="0" w:line="9" w:lineRule="exact"/>
        <w:rPr>
          <w:sz w:val="20"/>
          <w:szCs w:val="20"/>
          <w:color w:val="auto"/>
        </w:rPr>
      </w:pPr>
    </w:p>
    <w:p>
      <w:pPr>
        <w:ind w:left="55" w:right="120"/>
        <w:spacing w:after="0" w:line="236" w:lineRule="auto"/>
        <w:rPr>
          <w:sz w:val="20"/>
          <w:szCs w:val="20"/>
          <w:color w:val="auto"/>
        </w:rPr>
      </w:pPr>
      <w:r>
        <w:rPr>
          <w:rFonts w:ascii="Arial" w:cs="Arial" w:eastAsia="Arial" w:hAnsi="Arial"/>
          <w:sz w:val="16"/>
          <w:szCs w:val="16"/>
          <w:b w:val="1"/>
          <w:bCs w:val="1"/>
          <w:color w:val="auto"/>
        </w:rPr>
        <w:t>Total changes in the consolidated income statement</w:t>
      </w:r>
    </w:p>
    <w:p>
      <w:pPr>
        <w:ind w:left="55"/>
        <w:spacing w:after="0" w:line="236" w:lineRule="auto"/>
        <w:rPr>
          <w:sz w:val="20"/>
          <w:szCs w:val="20"/>
          <w:color w:val="auto"/>
        </w:rPr>
      </w:pPr>
      <w:r>
        <w:rPr>
          <w:rFonts w:ascii="Arial" w:cs="Arial" w:eastAsia="Arial" w:hAnsi="Arial"/>
          <w:sz w:val="16"/>
          <w:szCs w:val="16"/>
          <w:color w:val="auto"/>
        </w:rPr>
        <w:t>Investment components</w:t>
      </w:r>
    </w:p>
    <w:p>
      <w:pPr>
        <w:ind w:left="55"/>
        <w:spacing w:after="0" w:line="236" w:lineRule="auto"/>
        <w:rPr>
          <w:sz w:val="20"/>
          <w:szCs w:val="20"/>
          <w:color w:val="auto"/>
        </w:rPr>
      </w:pPr>
      <w:r>
        <w:rPr>
          <w:rFonts w:ascii="Arial" w:cs="Arial" w:eastAsia="Arial" w:hAnsi="Arial"/>
          <w:sz w:val="16"/>
          <w:szCs w:val="16"/>
          <w:color w:val="auto"/>
        </w:rPr>
        <w:t>Other changes</w:t>
      </w:r>
    </w:p>
    <w:p>
      <w:pPr>
        <w:ind w:left="55"/>
        <w:spacing w:after="0" w:line="236" w:lineRule="auto"/>
        <w:rPr>
          <w:sz w:val="20"/>
          <w:szCs w:val="20"/>
          <w:color w:val="auto"/>
        </w:rPr>
      </w:pPr>
      <w:r>
        <w:rPr>
          <w:rFonts w:ascii="Arial" w:cs="Arial" w:eastAsia="Arial" w:hAnsi="Arial"/>
          <w:sz w:val="16"/>
          <w:szCs w:val="16"/>
          <w:color w:val="auto"/>
        </w:rPr>
        <w:t>Cash flow:</w:t>
      </w:r>
    </w:p>
    <w:p>
      <w:pPr>
        <w:ind w:left="55"/>
        <w:spacing w:after="0" w:line="236" w:lineRule="auto"/>
        <w:rPr>
          <w:sz w:val="20"/>
          <w:szCs w:val="20"/>
          <w:color w:val="auto"/>
        </w:rPr>
      </w:pPr>
      <w:r>
        <w:rPr>
          <w:rFonts w:ascii="Arial" w:cs="Arial" w:eastAsia="Arial" w:hAnsi="Arial"/>
          <w:sz w:val="16"/>
          <w:szCs w:val="16"/>
          <w:color w:val="auto"/>
        </w:rPr>
        <w:t>Premiums received</w:t>
      </w:r>
    </w:p>
    <w:p>
      <w:pPr>
        <w:ind w:left="55" w:right="460"/>
        <w:spacing w:after="0" w:line="243" w:lineRule="auto"/>
        <w:rPr>
          <w:sz w:val="20"/>
          <w:szCs w:val="20"/>
          <w:color w:val="auto"/>
        </w:rPr>
      </w:pPr>
      <w:r>
        <w:rPr>
          <w:rFonts w:ascii="Arial" w:cs="Arial" w:eastAsia="Arial" w:hAnsi="Arial"/>
          <w:sz w:val="16"/>
          <w:szCs w:val="16"/>
          <w:color w:val="auto"/>
        </w:rPr>
        <w:t>Claims and other service expenses paid Insurance acquisition cash flows</w:t>
      </w:r>
    </w:p>
    <w:p>
      <w:pPr>
        <w:spacing w:after="0" w:line="1" w:lineRule="exact"/>
        <w:rPr>
          <w:sz w:val="20"/>
          <w:szCs w:val="20"/>
          <w:color w:val="auto"/>
        </w:rPr>
      </w:pPr>
    </w:p>
    <w:p>
      <w:pPr>
        <w:ind w:left="55"/>
        <w:spacing w:after="0"/>
        <w:rPr>
          <w:sz w:val="20"/>
          <w:szCs w:val="20"/>
          <w:color w:val="auto"/>
        </w:rPr>
      </w:pPr>
      <w:r>
        <w:rPr>
          <w:rFonts w:ascii="Arial" w:cs="Arial" w:eastAsia="Arial" w:hAnsi="Arial"/>
          <w:sz w:val="16"/>
          <w:szCs w:val="16"/>
          <w:b w:val="1"/>
          <w:bCs w:val="1"/>
          <w:color w:val="auto"/>
        </w:rPr>
        <w:t>Net cash flow</w:t>
      </w:r>
    </w:p>
    <w:p>
      <w:pPr>
        <w:spacing w:after="0" w:line="9" w:lineRule="exact"/>
        <w:rPr>
          <w:sz w:val="20"/>
          <w:szCs w:val="20"/>
          <w:color w:val="auto"/>
        </w:rPr>
      </w:pPr>
    </w:p>
    <w:p>
      <w:pPr>
        <w:ind w:left="55"/>
        <w:spacing w:after="0"/>
        <w:rPr>
          <w:sz w:val="20"/>
          <w:szCs w:val="20"/>
          <w:color w:val="auto"/>
        </w:rPr>
      </w:pPr>
      <w:r>
        <w:rPr>
          <w:rFonts w:ascii="Arial" w:cs="Arial" w:eastAsia="Arial" w:hAnsi="Arial"/>
          <w:sz w:val="16"/>
          <w:szCs w:val="16"/>
          <w:b w:val="1"/>
          <w:bCs w:val="1"/>
          <w:color w:val="auto"/>
        </w:rPr>
        <w:t>Balances at the end of the period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6"/>
          <w:szCs w:val="16"/>
          <w:b w:val="1"/>
          <w:bCs w:val="1"/>
          <w:color w:val="auto"/>
        </w:rPr>
        <w:t>2024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Liabilities for incurred</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23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Liabilities for remaining</w:t>
            </w:r>
          </w:p>
        </w:tc>
        <w:tc>
          <w:tcPr>
            <w:tcW w:w="1220" w:type="dxa"/>
            <w:vAlign w:val="bottom"/>
          </w:tcPr>
          <w:p>
            <w:pPr>
              <w:spacing w:after="0"/>
              <w:rPr>
                <w:sz w:val="15"/>
                <w:szCs w:val="15"/>
                <w:color w:val="auto"/>
              </w:rPr>
            </w:pPr>
          </w:p>
        </w:tc>
        <w:tc>
          <w:tcPr>
            <w:tcW w:w="21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claims - contracts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coverage</w:t>
            </w:r>
          </w:p>
        </w:tc>
        <w:tc>
          <w:tcPr>
            <w:tcW w:w="1100" w:type="dxa"/>
            <w:vAlign w:val="bottom"/>
            <w:tcBorders>
              <w:bottom w:val="single" w:sz="8" w:color="auto"/>
            </w:tcBorders>
          </w:tcPr>
          <w:p>
            <w:pPr>
              <w:spacing w:after="0"/>
              <w:rPr>
                <w:sz w:val="17"/>
                <w:szCs w:val="17"/>
                <w:color w:val="auto"/>
              </w:rPr>
            </w:pPr>
          </w:p>
        </w:tc>
        <w:tc>
          <w:tcPr>
            <w:tcW w:w="12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Liabilities</w:t>
            </w: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measured by PAA</w:t>
            </w:r>
          </w:p>
        </w:tc>
        <w:tc>
          <w:tcPr>
            <w:tcW w:w="10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for incurred</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claims -</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contracts</w:t>
            </w:r>
          </w:p>
        </w:tc>
        <w:tc>
          <w:tcPr>
            <w:tcW w:w="1040" w:type="dxa"/>
            <w:vAlign w:val="bottom"/>
          </w:tcPr>
          <w:p>
            <w:pPr>
              <w:spacing w:after="0" w:line="181" w:lineRule="exact"/>
              <w:rPr>
                <w:sz w:val="20"/>
                <w:szCs w:val="20"/>
                <w:color w:val="auto"/>
              </w:rPr>
            </w:pPr>
            <w:r>
              <w:rPr>
                <w:rFonts w:ascii="Arial" w:cs="Arial" w:eastAsia="Arial" w:hAnsi="Arial"/>
                <w:sz w:val="16"/>
                <w:szCs w:val="16"/>
                <w:b w:val="1"/>
                <w:bCs w:val="1"/>
                <w:color w:val="auto"/>
              </w:rPr>
              <w:t>Present</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Arial" w:cs="Arial" w:eastAsia="Arial" w:hAnsi="Arial"/>
                <w:sz w:val="16"/>
                <w:szCs w:val="16"/>
                <w:b w:val="1"/>
                <w:bCs w:val="1"/>
                <w:color w:val="auto"/>
              </w:rPr>
              <w:t>Excluding</w:t>
            </w:r>
          </w:p>
        </w:tc>
        <w:tc>
          <w:tcPr>
            <w:tcW w:w="1100" w:type="dxa"/>
            <w:vAlign w:val="bottom"/>
          </w:tcPr>
          <w:p>
            <w:pPr>
              <w:spacing w:after="0"/>
              <w:rPr>
                <w:sz w:val="15"/>
                <w:szCs w:val="15"/>
                <w:color w:val="auto"/>
              </w:rPr>
            </w:pP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not</w:t>
            </w:r>
          </w:p>
        </w:tc>
        <w:tc>
          <w:tcPr>
            <w:tcW w:w="1040" w:type="dxa"/>
            <w:vAlign w:val="bottom"/>
          </w:tcPr>
          <w:p>
            <w:pPr>
              <w:spacing w:after="0" w:line="181" w:lineRule="exact"/>
              <w:rPr>
                <w:sz w:val="20"/>
                <w:szCs w:val="20"/>
                <w:color w:val="auto"/>
              </w:rPr>
            </w:pPr>
            <w:r>
              <w:rPr>
                <w:rFonts w:ascii="Arial" w:cs="Arial" w:eastAsia="Arial" w:hAnsi="Arial"/>
                <w:sz w:val="16"/>
                <w:szCs w:val="16"/>
                <w:b w:val="1"/>
                <w:bCs w:val="1"/>
                <w:color w:val="auto"/>
              </w:rPr>
              <w:t>Value of</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Arial" w:cs="Arial" w:eastAsia="Arial" w:hAnsi="Arial"/>
                <w:sz w:val="16"/>
                <w:szCs w:val="16"/>
                <w:b w:val="1"/>
                <w:bCs w:val="1"/>
                <w:color w:val="auto"/>
              </w:rPr>
              <w:t>loss</w:t>
            </w:r>
          </w:p>
        </w:tc>
        <w:tc>
          <w:tcPr>
            <w:tcW w:w="110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Loss</w:t>
            </w:r>
          </w:p>
        </w:tc>
        <w:tc>
          <w:tcPr>
            <w:tcW w:w="122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measured</w:t>
            </w:r>
          </w:p>
        </w:tc>
        <w:tc>
          <w:tcPr>
            <w:tcW w:w="1040" w:type="dxa"/>
            <w:vAlign w:val="bottom"/>
          </w:tcPr>
          <w:p>
            <w:pPr>
              <w:spacing w:after="0" w:line="181" w:lineRule="exact"/>
              <w:rPr>
                <w:sz w:val="20"/>
                <w:szCs w:val="20"/>
                <w:color w:val="auto"/>
              </w:rPr>
            </w:pPr>
            <w:r>
              <w:rPr>
                <w:rFonts w:ascii="Arial" w:cs="Arial" w:eastAsia="Arial" w:hAnsi="Arial"/>
                <w:sz w:val="16"/>
                <w:szCs w:val="16"/>
                <w:b w:val="1"/>
                <w:bCs w:val="1"/>
                <w:color w:val="auto"/>
              </w:rPr>
              <w:t>Fulfillment</w:t>
            </w:r>
          </w:p>
        </w:tc>
        <w:tc>
          <w:tcPr>
            <w:tcW w:w="110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Risk</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6"/>
                <w:szCs w:val="16"/>
                <w:b w:val="1"/>
                <w:bCs w:val="1"/>
                <w:color w:val="auto"/>
              </w:rPr>
              <w:t>component (*)</w:t>
            </w:r>
          </w:p>
        </w:tc>
        <w:tc>
          <w:tcPr>
            <w:tcW w:w="1100" w:type="dxa"/>
            <w:vAlign w:val="bottom"/>
          </w:tcPr>
          <w:p>
            <w:pPr>
              <w:ind w:left="80"/>
              <w:spacing w:after="0"/>
              <w:rPr>
                <w:sz w:val="20"/>
                <w:szCs w:val="20"/>
                <w:color w:val="auto"/>
              </w:rPr>
            </w:pPr>
            <w:r>
              <w:rPr>
                <w:rFonts w:ascii="Arial" w:cs="Arial" w:eastAsia="Arial" w:hAnsi="Arial"/>
                <w:sz w:val="16"/>
                <w:szCs w:val="16"/>
                <w:b w:val="1"/>
                <w:bCs w:val="1"/>
                <w:color w:val="auto"/>
              </w:rPr>
              <w:t>component</w:t>
            </w: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by PAA</w:t>
            </w:r>
          </w:p>
        </w:tc>
        <w:tc>
          <w:tcPr>
            <w:tcW w:w="10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100" w:type="dxa"/>
            <w:vAlign w:val="bottom"/>
          </w:tcPr>
          <w:p>
            <w:pPr>
              <w:ind w:left="80"/>
              <w:spacing w:after="0"/>
              <w:rPr>
                <w:sz w:val="20"/>
                <w:szCs w:val="20"/>
                <w:color w:val="auto"/>
              </w:rPr>
            </w:pPr>
            <w:r>
              <w:rPr>
                <w:rFonts w:ascii="Arial" w:cs="Arial" w:eastAsia="Arial" w:hAnsi="Arial"/>
                <w:sz w:val="16"/>
                <w:szCs w:val="16"/>
                <w:b w:val="1"/>
                <w:bCs w:val="1"/>
                <w:color w:val="auto"/>
              </w:rPr>
              <w:t>adjustment</w:t>
            </w:r>
          </w:p>
        </w:tc>
        <w:tc>
          <w:tcPr>
            <w:tcW w:w="1080" w:type="dxa"/>
            <w:vAlign w:val="bottom"/>
            <w:gridSpan w:val="4"/>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10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1220" w:type="dxa"/>
            <w:vAlign w:val="bottom"/>
            <w:tcBorders>
              <w:top w:val="single" w:sz="8" w:color="auto"/>
            </w:tcBorders>
          </w:tcPr>
          <w:p>
            <w:pPr>
              <w:ind w:left="100"/>
              <w:spacing w:after="0" w:line="156" w:lineRule="exact"/>
              <w:rPr>
                <w:sz w:val="20"/>
                <w:szCs w:val="20"/>
                <w:color w:val="auto"/>
              </w:rPr>
            </w:pPr>
            <w:r>
              <w:rPr>
                <w:rFonts w:ascii="Arial" w:cs="Arial" w:eastAsia="Arial" w:hAnsi="Arial"/>
                <w:sz w:val="16"/>
                <w:szCs w:val="16"/>
                <w:b w:val="1"/>
                <w:bCs w:val="1"/>
                <w:color w:val="auto"/>
              </w:rPr>
              <w:t>S/(000)</w:t>
            </w:r>
          </w:p>
        </w:tc>
        <w:tc>
          <w:tcPr>
            <w:tcW w:w="10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10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1020" w:type="dxa"/>
            <w:vAlign w:val="bottom"/>
            <w:tcBorders>
              <w:top w:val="single" w:sz="8" w:color="auto"/>
            </w:tcBorders>
            <w:gridSpan w:val="2"/>
          </w:tcPr>
          <w:p>
            <w:pPr>
              <w:ind w:left="100"/>
              <w:spacing w:after="0" w:line="156" w:lineRule="exact"/>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jc w:val="right"/>
              <w:ind w:right="40"/>
              <w:spacing w:after="0" w:line="181" w:lineRule="exact"/>
              <w:rPr>
                <w:sz w:val="20"/>
                <w:szCs w:val="20"/>
                <w:color w:val="auto"/>
              </w:rPr>
            </w:pPr>
            <w:r>
              <w:rPr>
                <w:rFonts w:ascii="Arial" w:cs="Arial" w:eastAsia="Arial" w:hAnsi="Arial"/>
                <w:sz w:val="16"/>
                <w:szCs w:val="16"/>
                <w:color w:val="auto"/>
              </w:rPr>
              <w:t>8,379,672</w:t>
            </w:r>
          </w:p>
        </w:tc>
        <w:tc>
          <w:tcPr>
            <w:tcW w:w="1100" w:type="dxa"/>
            <w:vAlign w:val="bottom"/>
          </w:tcPr>
          <w:p>
            <w:pPr>
              <w:jc w:val="right"/>
              <w:ind w:right="20"/>
              <w:spacing w:after="0" w:line="181" w:lineRule="exact"/>
              <w:rPr>
                <w:sz w:val="20"/>
                <w:szCs w:val="20"/>
                <w:color w:val="auto"/>
              </w:rPr>
            </w:pPr>
            <w:r>
              <w:rPr>
                <w:rFonts w:ascii="Arial" w:cs="Arial" w:eastAsia="Arial" w:hAnsi="Arial"/>
                <w:sz w:val="16"/>
                <w:szCs w:val="16"/>
                <w:color w:val="auto"/>
              </w:rPr>
              <w:t>207,695</w:t>
            </w:r>
          </w:p>
        </w:tc>
        <w:tc>
          <w:tcPr>
            <w:tcW w:w="12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1,212,856</w:t>
            </w:r>
          </w:p>
        </w:tc>
        <w:tc>
          <w:tcPr>
            <w:tcW w:w="1040" w:type="dxa"/>
            <w:vAlign w:val="bottom"/>
          </w:tcPr>
          <w:p>
            <w:pPr>
              <w:jc w:val="right"/>
              <w:ind w:right="40"/>
              <w:spacing w:after="0" w:line="181" w:lineRule="exact"/>
              <w:rPr>
                <w:sz w:val="20"/>
                <w:szCs w:val="20"/>
                <w:color w:val="auto"/>
              </w:rPr>
            </w:pPr>
            <w:r>
              <w:rPr>
                <w:rFonts w:ascii="Arial" w:cs="Arial" w:eastAsia="Arial" w:hAnsi="Arial"/>
                <w:sz w:val="16"/>
                <w:szCs w:val="16"/>
                <w:color w:val="auto"/>
              </w:rPr>
              <w:t>2,497,439</w:t>
            </w:r>
          </w:p>
        </w:tc>
        <w:tc>
          <w:tcPr>
            <w:tcW w:w="1100" w:type="dxa"/>
            <w:vAlign w:val="bottom"/>
          </w:tcPr>
          <w:p>
            <w:pPr>
              <w:jc w:val="right"/>
              <w:ind w:right="20"/>
              <w:spacing w:after="0" w:line="181" w:lineRule="exact"/>
              <w:rPr>
                <w:sz w:val="20"/>
                <w:szCs w:val="20"/>
                <w:color w:val="auto"/>
              </w:rPr>
            </w:pPr>
            <w:r>
              <w:rPr>
                <w:rFonts w:ascii="Arial" w:cs="Arial" w:eastAsia="Arial" w:hAnsi="Arial"/>
                <w:sz w:val="16"/>
                <w:szCs w:val="16"/>
                <w:color w:val="auto"/>
              </w:rPr>
              <w:t>20,471</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12,318,133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(3,779,710)</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316</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(3,779,394)</w:t>
            </w:r>
          </w:p>
        </w:tc>
        <w:tc>
          <w:tcPr>
            <w:tcW w:w="0" w:type="dxa"/>
            <w:vAlign w:val="bottom"/>
          </w:tcPr>
          <w:p>
            <w:pPr>
              <w:spacing w:after="0"/>
              <w:rPr>
                <w:sz w:val="1"/>
                <w:szCs w:val="1"/>
                <w:color w:val="auto"/>
              </w:rPr>
            </w:pPr>
          </w:p>
        </w:tc>
      </w:tr>
      <w:tr>
        <w:trPr>
          <w:trHeight w:val="362"/>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8,172</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722,763</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1,535,912</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2,266,847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(4,365)</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(550,740)</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348,829</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2,277</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(203,999)</w:t>
            </w:r>
          </w:p>
        </w:tc>
        <w:tc>
          <w:tcPr>
            <w:tcW w:w="0" w:type="dxa"/>
            <w:vAlign w:val="bottom"/>
          </w:tcPr>
          <w:p>
            <w:pPr>
              <w:spacing w:after="0"/>
              <w:rPr>
                <w:sz w:val="1"/>
                <w:szCs w:val="1"/>
                <w:color w:val="auto"/>
              </w:rPr>
            </w:pPr>
          </w:p>
        </w:tc>
      </w:tr>
      <w:tr>
        <w:trPr>
          <w:trHeight w:val="362"/>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15,801</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ind w:right="60"/>
              <w:spacing w:after="0"/>
              <w:rPr>
                <w:sz w:val="20"/>
                <w:szCs w:val="20"/>
                <w:color w:val="auto"/>
              </w:rPr>
            </w:pPr>
            <w:r>
              <w:rPr>
                <w:rFonts w:ascii="Arial" w:cs="Arial" w:eastAsia="Arial" w:hAnsi="Arial"/>
                <w:sz w:val="16"/>
                <w:szCs w:val="16"/>
                <w:color w:val="auto"/>
              </w:rPr>
              <w:t>15,801</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7,128</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7,128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7,128</w:t>
            </w:r>
          </w:p>
        </w:tc>
        <w:tc>
          <w:tcPr>
            <w:tcW w:w="110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19,608</w:t>
            </w:r>
          </w:p>
        </w:tc>
        <w:tc>
          <w:tcPr>
            <w:tcW w:w="1220" w:type="dxa"/>
            <w:vAlign w:val="bottom"/>
            <w:tcBorders>
              <w:bottom w:val="single" w:sz="8" w:color="auto"/>
            </w:tcBorders>
          </w:tcPr>
          <w:p>
            <w:pPr>
              <w:jc w:val="right"/>
              <w:ind w:right="120"/>
              <w:spacing w:after="0" w:line="173" w:lineRule="exact"/>
              <w:rPr>
                <w:sz w:val="20"/>
                <w:szCs w:val="20"/>
                <w:color w:val="auto"/>
              </w:rPr>
            </w:pPr>
            <w:r>
              <w:rPr>
                <w:rFonts w:ascii="Arial" w:cs="Arial" w:eastAsia="Arial" w:hAnsi="Arial"/>
                <w:sz w:val="16"/>
                <w:szCs w:val="16"/>
                <w:color w:val="auto"/>
              </w:rPr>
              <w:t>172,023</w:t>
            </w:r>
          </w:p>
        </w:tc>
        <w:tc>
          <w:tcPr>
            <w:tcW w:w="1040" w:type="dxa"/>
            <w:vAlign w:val="bottom"/>
            <w:tcBorders>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1,884,741</w:t>
            </w:r>
          </w:p>
        </w:tc>
        <w:tc>
          <w:tcPr>
            <w:tcW w:w="110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2,277</w:t>
            </w:r>
          </w:p>
        </w:tc>
        <w:tc>
          <w:tcPr>
            <w:tcW w:w="1040" w:type="dxa"/>
            <w:vAlign w:val="bottom"/>
            <w:tcBorders>
              <w:bottom w:val="single" w:sz="8" w:color="auto"/>
            </w:tcBorders>
            <w:gridSpan w:val="3"/>
          </w:tcPr>
          <w:p>
            <w:pPr>
              <w:jc w:val="right"/>
              <w:ind w:right="20"/>
              <w:spacing w:after="0" w:line="173" w:lineRule="exact"/>
              <w:rPr>
                <w:sz w:val="20"/>
                <w:szCs w:val="20"/>
                <w:color w:val="auto"/>
              </w:rPr>
            </w:pPr>
            <w:r>
              <w:rPr>
                <w:rFonts w:ascii="Arial" w:cs="Arial" w:eastAsia="Arial" w:hAnsi="Arial"/>
                <w:sz w:val="16"/>
                <w:szCs w:val="16"/>
                <w:color w:val="auto"/>
              </w:rPr>
              <w:t>2,085,777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Arial" w:cs="Arial" w:eastAsia="Arial" w:hAnsi="Arial"/>
                <w:sz w:val="16"/>
                <w:szCs w:val="16"/>
                <w:color w:val="auto"/>
              </w:rPr>
              <w:t>(3,772,582)</w:t>
            </w:r>
          </w:p>
        </w:tc>
        <w:tc>
          <w:tcPr>
            <w:tcW w:w="1100" w:type="dxa"/>
            <w:vAlign w:val="bottom"/>
          </w:tcPr>
          <w:p>
            <w:pPr>
              <w:jc w:val="right"/>
              <w:ind w:right="20"/>
              <w:spacing w:after="0" w:line="168" w:lineRule="exact"/>
              <w:rPr>
                <w:sz w:val="20"/>
                <w:szCs w:val="20"/>
                <w:color w:val="auto"/>
              </w:rPr>
            </w:pPr>
            <w:r>
              <w:rPr>
                <w:rFonts w:ascii="Arial" w:cs="Arial" w:eastAsia="Arial" w:hAnsi="Arial"/>
                <w:sz w:val="16"/>
                <w:szCs w:val="16"/>
                <w:color w:val="auto"/>
              </w:rPr>
              <w:t>19,924</w:t>
            </w:r>
          </w:p>
        </w:tc>
        <w:tc>
          <w:tcPr>
            <w:tcW w:w="122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172,023</w:t>
            </w:r>
          </w:p>
        </w:tc>
        <w:tc>
          <w:tcPr>
            <w:tcW w:w="10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1,884,741</w:t>
            </w:r>
          </w:p>
        </w:tc>
        <w:tc>
          <w:tcPr>
            <w:tcW w:w="1100" w:type="dxa"/>
            <w:vAlign w:val="bottom"/>
          </w:tcPr>
          <w:p>
            <w:pPr>
              <w:jc w:val="right"/>
              <w:ind w:right="20"/>
              <w:spacing w:after="0" w:line="168" w:lineRule="exact"/>
              <w:rPr>
                <w:sz w:val="20"/>
                <w:szCs w:val="20"/>
                <w:color w:val="auto"/>
              </w:rPr>
            </w:pPr>
            <w:r>
              <w:rPr>
                <w:rFonts w:ascii="Arial" w:cs="Arial" w:eastAsia="Arial" w:hAnsi="Arial"/>
                <w:sz w:val="16"/>
                <w:szCs w:val="16"/>
                <w:color w:val="auto"/>
              </w:rPr>
              <w:t>2,277</w:t>
            </w:r>
          </w:p>
        </w:tc>
        <w:tc>
          <w:tcPr>
            <w:tcW w:w="1040" w:type="dxa"/>
            <w:vAlign w:val="bottom"/>
            <w:gridSpan w:val="3"/>
          </w:tcPr>
          <w:p>
            <w:pPr>
              <w:jc w:val="right"/>
              <w:ind w:right="20"/>
              <w:spacing w:after="0" w:line="168" w:lineRule="exact"/>
              <w:rPr>
                <w:sz w:val="20"/>
                <w:szCs w:val="20"/>
                <w:color w:val="auto"/>
              </w:rPr>
            </w:pPr>
            <w:r>
              <w:rPr>
                <w:rFonts w:ascii="Arial" w:cs="Arial" w:eastAsia="Arial" w:hAnsi="Arial"/>
                <w:sz w:val="16"/>
                <w:szCs w:val="16"/>
                <w:color w:val="auto"/>
              </w:rPr>
              <w:t>(1,693,617)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553,835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(5,376)</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64,928</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126,019</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1,044</w:t>
            </w: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740,450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(3,218,747)</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14,548</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236,951</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2,010,760</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3,321</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(953,167)</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Arial" w:cs="Arial" w:eastAsia="Arial" w:hAnsi="Arial"/>
                <w:sz w:val="16"/>
                <w:szCs w:val="16"/>
                <w:color w:val="auto"/>
              </w:rPr>
              <w:t>(914,866)</w:t>
            </w:r>
          </w:p>
        </w:tc>
        <w:tc>
          <w:tcPr>
            <w:tcW w:w="1100" w:type="dxa"/>
            <w:vAlign w:val="bottom"/>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line="181" w:lineRule="exact"/>
              <w:rPr>
                <w:sz w:val="20"/>
                <w:szCs w:val="20"/>
                <w:color w:val="auto"/>
              </w:rPr>
            </w:pPr>
            <w:r>
              <w:rPr>
                <w:rFonts w:ascii="Arial" w:cs="Arial" w:eastAsia="Arial" w:hAnsi="Arial"/>
                <w:sz w:val="16"/>
                <w:szCs w:val="16"/>
                <w:color w:val="auto"/>
              </w:rPr>
              <w:t>914,866</w:t>
            </w:r>
          </w:p>
        </w:tc>
        <w:tc>
          <w:tcPr>
            <w:tcW w:w="1040" w:type="dxa"/>
            <w:vAlign w:val="bottom"/>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(4,620)</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25,556</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1,171</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9,884</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080" w:type="dxa"/>
            <w:vAlign w:val="bottom"/>
            <w:gridSpan w:val="4"/>
          </w:tcPr>
          <w:p>
            <w:pPr>
              <w:jc w:val="right"/>
              <w:ind w:right="60"/>
              <w:spacing w:after="0"/>
              <w:rPr>
                <w:sz w:val="20"/>
                <w:szCs w:val="20"/>
                <w:color w:val="auto"/>
              </w:rPr>
            </w:pPr>
            <w:r>
              <w:rPr>
                <w:rFonts w:ascii="Arial" w:cs="Arial" w:eastAsia="Arial" w:hAnsi="Arial"/>
                <w:sz w:val="16"/>
                <w:szCs w:val="16"/>
                <w:color w:val="auto"/>
              </w:rPr>
              <w:t>32,047</w:t>
            </w:r>
          </w:p>
        </w:tc>
        <w:tc>
          <w:tcPr>
            <w:tcW w:w="0" w:type="dxa"/>
            <w:vAlign w:val="bottom"/>
          </w:tcPr>
          <w:p>
            <w:pPr>
              <w:spacing w:after="0"/>
              <w:rPr>
                <w:sz w:val="1"/>
                <w:szCs w:val="1"/>
                <w:color w:val="auto"/>
              </w:rPr>
            </w:pPr>
          </w:p>
        </w:tc>
      </w:tr>
      <w:tr>
        <w:trPr>
          <w:trHeight w:val="329"/>
        </w:trPr>
        <w:tc>
          <w:tcPr>
            <w:tcW w:w="10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5,180,689</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5,180,689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(1,077,214)</w:t>
            </w:r>
          </w:p>
        </w:tc>
        <w:tc>
          <w:tcPr>
            <w:tcW w:w="1040" w:type="dxa"/>
            <w:vAlign w:val="bottom"/>
          </w:tcPr>
          <w:p>
            <w:pPr>
              <w:jc w:val="right"/>
              <w:spacing w:after="0"/>
              <w:rPr>
                <w:sz w:val="20"/>
                <w:szCs w:val="20"/>
                <w:color w:val="auto"/>
              </w:rPr>
            </w:pPr>
            <w:r>
              <w:rPr>
                <w:rFonts w:ascii="Arial" w:cs="Arial" w:eastAsia="Arial" w:hAnsi="Arial"/>
                <w:sz w:val="16"/>
                <w:szCs w:val="16"/>
                <w:color w:val="auto"/>
              </w:rPr>
              <w:t>(1,973,141)</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(3,050,355)</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(105,062)</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(105,062)</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5,075,627</w:t>
            </w:r>
          </w:p>
        </w:tc>
        <w:tc>
          <w:tcPr>
            <w:tcW w:w="1100" w:type="dxa"/>
            <w:vAlign w:val="bottom"/>
            <w:tcBorders>
              <w:top w:val="single" w:sz="8" w:color="auto"/>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60"/>
              <w:spacing w:after="0" w:line="173" w:lineRule="exact"/>
              <w:rPr>
                <w:sz w:val="20"/>
                <w:szCs w:val="20"/>
                <w:color w:val="auto"/>
              </w:rPr>
            </w:pPr>
            <w:r>
              <w:rPr>
                <w:rFonts w:ascii="Arial" w:cs="Arial" w:eastAsia="Arial" w:hAnsi="Arial"/>
                <w:sz w:val="16"/>
                <w:szCs w:val="16"/>
                <w:color w:val="auto"/>
              </w:rPr>
              <w:t>(1,077,214)</w:t>
            </w: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(1,973,141)</w:t>
            </w:r>
          </w:p>
        </w:tc>
        <w:tc>
          <w:tcPr>
            <w:tcW w:w="1100" w:type="dxa"/>
            <w:vAlign w:val="bottom"/>
            <w:tcBorders>
              <w:top w:val="single" w:sz="8" w:color="auto"/>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gridSpan w:val="3"/>
          </w:tcPr>
          <w:p>
            <w:pPr>
              <w:jc w:val="right"/>
              <w:ind w:right="20"/>
              <w:spacing w:after="0" w:line="173" w:lineRule="exact"/>
              <w:rPr>
                <w:sz w:val="20"/>
                <w:szCs w:val="20"/>
                <w:color w:val="auto"/>
              </w:rPr>
            </w:pPr>
            <w:r>
              <w:rPr>
                <w:rFonts w:ascii="Arial" w:cs="Arial" w:eastAsia="Arial" w:hAnsi="Arial"/>
                <w:sz w:val="16"/>
                <w:szCs w:val="16"/>
                <w:color w:val="auto"/>
              </w:rPr>
              <w:t>2,025,272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9,317,066</w:t>
            </w:r>
          </w:p>
        </w:tc>
        <w:tc>
          <w:tcPr>
            <w:tcW w:w="110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247,799</w:t>
            </w:r>
          </w:p>
        </w:tc>
        <w:tc>
          <w:tcPr>
            <w:tcW w:w="1220" w:type="dxa"/>
            <w:vAlign w:val="bottom"/>
            <w:tcBorders>
              <w:bottom w:val="single" w:sz="8" w:color="auto"/>
            </w:tcBorders>
          </w:tcPr>
          <w:p>
            <w:pPr>
              <w:jc w:val="right"/>
              <w:ind w:right="120"/>
              <w:spacing w:after="0" w:line="173" w:lineRule="exact"/>
              <w:rPr>
                <w:sz w:val="20"/>
                <w:szCs w:val="20"/>
                <w:color w:val="auto"/>
              </w:rPr>
            </w:pPr>
            <w:r>
              <w:rPr>
                <w:rFonts w:ascii="Arial" w:cs="Arial" w:eastAsia="Arial" w:hAnsi="Arial"/>
                <w:sz w:val="16"/>
                <w:szCs w:val="16"/>
                <w:color w:val="auto"/>
              </w:rPr>
              <w:t>1,288,630</w:t>
            </w:r>
          </w:p>
        </w:tc>
        <w:tc>
          <w:tcPr>
            <w:tcW w:w="1040" w:type="dxa"/>
            <w:vAlign w:val="bottom"/>
            <w:tcBorders>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2,544,942</w:t>
            </w:r>
          </w:p>
        </w:tc>
        <w:tc>
          <w:tcPr>
            <w:tcW w:w="110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23,848</w:t>
            </w:r>
          </w:p>
        </w:tc>
        <w:tc>
          <w:tcPr>
            <w:tcW w:w="1040" w:type="dxa"/>
            <w:vAlign w:val="bottom"/>
            <w:tcBorders>
              <w:bottom w:val="single" w:sz="8" w:color="auto"/>
            </w:tcBorders>
            <w:gridSpan w:val="3"/>
          </w:tcPr>
          <w:p>
            <w:pPr>
              <w:jc w:val="right"/>
              <w:ind w:right="20"/>
              <w:spacing w:after="0" w:line="173" w:lineRule="exact"/>
              <w:rPr>
                <w:sz w:val="20"/>
                <w:szCs w:val="20"/>
                <w:color w:val="auto"/>
              </w:rPr>
            </w:pPr>
            <w:r>
              <w:rPr>
                <w:rFonts w:ascii="Arial" w:cs="Arial" w:eastAsia="Arial" w:hAnsi="Arial"/>
                <w:sz w:val="16"/>
                <w:szCs w:val="16"/>
                <w:color w:val="auto"/>
              </w:rPr>
              <w:t>13,422,285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2">
            <w:col w:w="3355" w:space="40"/>
            <w:col w:w="6900"/>
          </w:cols>
          <w:pgMar w:left="1185" w:top="328" w:right="419" w:bottom="1440" w:gutter="0" w:footer="0" w:header="0"/>
        </w:sectPr>
      </w:pPr>
    </w:p>
    <w:p>
      <w:pPr>
        <w:ind w:left="215" w:hanging="215"/>
        <w:spacing w:after="0"/>
        <w:tabs>
          <w:tab w:leader="none" w:pos="2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accounts receivable of contracts measured under the PAA and debts to intermediaries, marketers and auxiliaries.</w:t>
      </w:r>
    </w:p>
    <w:p>
      <w:pPr>
        <w:spacing w:after="0" w:line="346" w:lineRule="exact"/>
        <w:rPr>
          <w:rFonts w:ascii="Arial" w:cs="Arial" w:eastAsia="Arial" w:hAnsi="Arial"/>
          <w:sz w:val="16"/>
          <w:szCs w:val="16"/>
          <w:color w:val="auto"/>
        </w:rPr>
      </w:pPr>
    </w:p>
    <w:p>
      <w:pPr>
        <w:ind w:left="4655" w:hanging="104"/>
        <w:spacing w:after="0"/>
        <w:tabs>
          <w:tab w:leader="none" w:pos="4655" w:val="left"/>
        </w:tabs>
        <w:numPr>
          <w:ilvl w:val="1"/>
          <w:numId w:val="92"/>
        </w:numPr>
        <w:rPr>
          <w:rFonts w:ascii="Arial" w:cs="Arial" w:eastAsia="Arial" w:hAnsi="Arial"/>
          <w:sz w:val="16"/>
          <w:szCs w:val="16"/>
          <w:color w:val="auto"/>
        </w:rPr>
      </w:pPr>
      <w:r>
        <w:rPr>
          <w:rFonts w:ascii="Arial" w:cs="Arial" w:eastAsia="Arial" w:hAnsi="Arial"/>
          <w:sz w:val="16"/>
          <w:szCs w:val="16"/>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39370</wp:posOffset>
            </wp:positionV>
            <wp:extent cx="714692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295"/>
          </w:cols>
          <w:pgMar w:left="1185" w:top="328" w:right="419" w:bottom="1440" w:gutter="0" w:footer="0" w:header="0"/>
          <w:type w:val="continuous"/>
        </w:sectPr>
      </w:pPr>
    </w:p>
    <w:bookmarkStart w:id="83" w:name="page84"/>
    <w:bookmarkEnd w:id="83"/>
    <w:p>
      <w:pPr>
        <w:spacing w:after="0"/>
        <w:tabs>
          <w:tab w:leader="none" w:pos="260" w:val="left"/>
        </w:tabs>
        <w:rPr>
          <w:sz w:val="20"/>
          <w:szCs w:val="20"/>
          <w:color w:val="auto"/>
        </w:rPr>
      </w:pPr>
      <w:r>
        <w:rPr>
          <w:rFonts w:ascii="Arial" w:cs="Arial" w:eastAsia="Arial" w:hAnsi="Arial"/>
          <w:sz w:val="16"/>
          <w:szCs w:val="16"/>
          <w:color w:val="auto"/>
        </w:rPr>
        <w:t>c)</w:t>
        <w:tab/>
        <w:t>The components of the movement are presented below:</w:t>
      </w:r>
    </w:p>
    <w:p>
      <w:pPr>
        <w:spacing w:after="0" w:line="199" w:lineRule="exact"/>
        <w:rPr>
          <w:sz w:val="20"/>
          <w:szCs w:val="20"/>
          <w:color w:val="auto"/>
        </w:rPr>
      </w:pPr>
    </w:p>
    <w:tbl>
      <w:tblPr>
        <w:tblLayout w:type="fixed"/>
        <w:tblInd w:w="2460" w:type="dxa"/>
        <w:tblCellMar>
          <w:top w:w="0" w:type="dxa"/>
          <w:left w:w="0" w:type="dxa"/>
          <w:bottom w:w="0" w:type="dxa"/>
          <w:right w:w="0" w:type="dxa"/>
        </w:tblCellMar>
      </w:tblPr>
      <w:tr>
        <w:trPr>
          <w:trHeight w:val="153"/>
        </w:trPr>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2025</w:t>
            </w:r>
          </w:p>
        </w:tc>
        <w:tc>
          <w:tcPr>
            <w:tcW w:w="10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2024</w:t>
            </w:r>
          </w:p>
        </w:tc>
        <w:tc>
          <w:tcPr>
            <w:tcW w:w="10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29"/>
        </w:trPr>
        <w:tc>
          <w:tcPr>
            <w:tcW w:w="900" w:type="dxa"/>
            <w:vAlign w:val="bottom"/>
          </w:tcPr>
          <w:p>
            <w:pPr>
              <w:spacing w:after="0" w:line="129" w:lineRule="exact"/>
              <w:rPr>
                <w:sz w:val="20"/>
                <w:szCs w:val="20"/>
                <w:color w:val="auto"/>
              </w:rPr>
            </w:pPr>
            <w:r>
              <w:rPr>
                <w:rFonts w:ascii="Arial" w:cs="Arial" w:eastAsia="Arial" w:hAnsi="Arial"/>
                <w:sz w:val="13"/>
                <w:szCs w:val="13"/>
                <w:b w:val="1"/>
                <w:bCs w:val="1"/>
                <w:color w:val="auto"/>
              </w:rPr>
              <w:t>Present</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3"/>
                <w:szCs w:val="13"/>
                <w:b w:val="1"/>
                <w:bCs w:val="1"/>
                <w:color w:val="auto"/>
              </w:rPr>
              <w:t>Present</w:t>
            </w:r>
          </w:p>
        </w:tc>
        <w:tc>
          <w:tcPr>
            <w:tcW w:w="1000" w:type="dxa"/>
            <w:vAlign w:val="bottom"/>
          </w:tcPr>
          <w:p>
            <w:pPr>
              <w:spacing w:after="0"/>
              <w:rPr>
                <w:sz w:val="11"/>
                <w:szCs w:val="11"/>
                <w:color w:val="auto"/>
              </w:rPr>
            </w:pPr>
          </w:p>
        </w:tc>
        <w:tc>
          <w:tcPr>
            <w:tcW w:w="1020" w:type="dxa"/>
            <w:vAlign w:val="bottom"/>
          </w:tcPr>
          <w:p>
            <w:pPr>
              <w:ind w:left="160"/>
              <w:spacing w:after="0" w:line="129" w:lineRule="exact"/>
              <w:rPr>
                <w:sz w:val="20"/>
                <w:szCs w:val="20"/>
                <w:color w:val="auto"/>
              </w:rPr>
            </w:pPr>
            <w:r>
              <w:rPr>
                <w:rFonts w:ascii="Arial" w:cs="Arial" w:eastAsia="Arial" w:hAnsi="Arial"/>
                <w:sz w:val="13"/>
                <w:szCs w:val="13"/>
                <w:b w:val="1"/>
                <w:bCs w:val="1"/>
                <w:color w:val="auto"/>
              </w:rPr>
              <w:t>Contractual</w:t>
            </w:r>
          </w:p>
        </w:tc>
        <w:tc>
          <w:tcPr>
            <w:tcW w:w="980" w:type="dxa"/>
            <w:vAlign w:val="bottom"/>
          </w:tcPr>
          <w:p>
            <w:pPr>
              <w:spacing w:after="0"/>
              <w:rPr>
                <w:sz w:val="11"/>
                <w:szCs w:val="11"/>
                <w:color w:val="auto"/>
              </w:rPr>
            </w:pPr>
          </w:p>
        </w:tc>
      </w:tr>
      <w:tr>
        <w:trPr>
          <w:trHeight w:val="145"/>
        </w:trPr>
        <w:tc>
          <w:tcPr>
            <w:tcW w:w="900" w:type="dxa"/>
            <w:vAlign w:val="bottom"/>
          </w:tcPr>
          <w:p>
            <w:pPr>
              <w:spacing w:after="0" w:line="145" w:lineRule="exact"/>
              <w:rPr>
                <w:sz w:val="20"/>
                <w:szCs w:val="20"/>
                <w:color w:val="auto"/>
              </w:rPr>
            </w:pPr>
            <w:r>
              <w:rPr>
                <w:rFonts w:ascii="Arial" w:cs="Arial" w:eastAsia="Arial" w:hAnsi="Arial"/>
                <w:sz w:val="13"/>
                <w:szCs w:val="13"/>
                <w:b w:val="1"/>
                <w:bCs w:val="1"/>
                <w:color w:val="auto"/>
              </w:rPr>
              <w:t>Value of</w:t>
            </w:r>
          </w:p>
        </w:tc>
        <w:tc>
          <w:tcPr>
            <w:tcW w:w="1020" w:type="dxa"/>
            <w:vAlign w:val="bottom"/>
          </w:tcPr>
          <w:p>
            <w:pPr>
              <w:spacing w:after="0"/>
              <w:rPr>
                <w:sz w:val="12"/>
                <w:szCs w:val="12"/>
                <w:color w:val="auto"/>
              </w:rPr>
            </w:pPr>
          </w:p>
        </w:tc>
        <w:tc>
          <w:tcPr>
            <w:tcW w:w="1120" w:type="dxa"/>
            <w:vAlign w:val="bottom"/>
          </w:tcPr>
          <w:p>
            <w:pPr>
              <w:ind w:left="180"/>
              <w:spacing w:after="0" w:line="145" w:lineRule="exact"/>
              <w:rPr>
                <w:sz w:val="20"/>
                <w:szCs w:val="20"/>
                <w:color w:val="auto"/>
              </w:rPr>
            </w:pPr>
            <w:r>
              <w:rPr>
                <w:rFonts w:ascii="Arial" w:cs="Arial" w:eastAsia="Arial" w:hAnsi="Arial"/>
                <w:sz w:val="13"/>
                <w:szCs w:val="13"/>
                <w:b w:val="1"/>
                <w:bCs w:val="1"/>
                <w:color w:val="auto"/>
              </w:rPr>
              <w:t>Contractual</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line="145" w:lineRule="exact"/>
              <w:rPr>
                <w:sz w:val="20"/>
                <w:szCs w:val="20"/>
                <w:color w:val="auto"/>
              </w:rPr>
            </w:pPr>
            <w:r>
              <w:rPr>
                <w:rFonts w:ascii="Arial" w:cs="Arial" w:eastAsia="Arial" w:hAnsi="Arial"/>
                <w:sz w:val="13"/>
                <w:szCs w:val="13"/>
                <w:b w:val="1"/>
                <w:bCs w:val="1"/>
                <w:color w:val="auto"/>
              </w:rPr>
              <w:t>Value of</w:t>
            </w:r>
          </w:p>
        </w:tc>
        <w:tc>
          <w:tcPr>
            <w:tcW w:w="1000" w:type="dxa"/>
            <w:vAlign w:val="bottom"/>
          </w:tcPr>
          <w:p>
            <w:pPr>
              <w:spacing w:after="0"/>
              <w:rPr>
                <w:sz w:val="12"/>
                <w:szCs w:val="12"/>
                <w:color w:val="auto"/>
              </w:rPr>
            </w:pPr>
          </w:p>
        </w:tc>
        <w:tc>
          <w:tcPr>
            <w:tcW w:w="1020" w:type="dxa"/>
            <w:vAlign w:val="bottom"/>
          </w:tcPr>
          <w:p>
            <w:pPr>
              <w:ind w:left="160"/>
              <w:spacing w:after="0" w:line="145" w:lineRule="exact"/>
              <w:rPr>
                <w:sz w:val="20"/>
                <w:szCs w:val="20"/>
                <w:color w:val="auto"/>
              </w:rPr>
            </w:pPr>
            <w:r>
              <w:rPr>
                <w:rFonts w:ascii="Arial" w:cs="Arial" w:eastAsia="Arial" w:hAnsi="Arial"/>
                <w:sz w:val="13"/>
                <w:szCs w:val="13"/>
                <w:b w:val="1"/>
                <w:bCs w:val="1"/>
                <w:color w:val="auto"/>
              </w:rPr>
              <w:t>Service</w:t>
            </w:r>
          </w:p>
        </w:tc>
        <w:tc>
          <w:tcPr>
            <w:tcW w:w="980" w:type="dxa"/>
            <w:vAlign w:val="bottom"/>
          </w:tcPr>
          <w:p>
            <w:pPr>
              <w:spacing w:after="0"/>
              <w:rPr>
                <w:sz w:val="12"/>
                <w:szCs w:val="12"/>
                <w:color w:val="auto"/>
              </w:rPr>
            </w:pPr>
          </w:p>
        </w:tc>
      </w:tr>
      <w:tr>
        <w:trPr>
          <w:trHeight w:val="145"/>
        </w:trPr>
        <w:tc>
          <w:tcPr>
            <w:tcW w:w="900" w:type="dxa"/>
            <w:vAlign w:val="bottom"/>
          </w:tcPr>
          <w:p>
            <w:pPr>
              <w:spacing w:after="0" w:line="145" w:lineRule="exact"/>
              <w:rPr>
                <w:sz w:val="20"/>
                <w:szCs w:val="20"/>
                <w:color w:val="auto"/>
              </w:rPr>
            </w:pPr>
            <w:r>
              <w:rPr>
                <w:rFonts w:ascii="Arial" w:cs="Arial" w:eastAsia="Arial" w:hAnsi="Arial"/>
                <w:sz w:val="13"/>
                <w:szCs w:val="13"/>
                <w:b w:val="1"/>
                <w:bCs w:val="1"/>
                <w:color w:val="auto"/>
              </w:rPr>
              <w:t>Fulfillment</w:t>
            </w:r>
          </w:p>
        </w:tc>
        <w:tc>
          <w:tcPr>
            <w:tcW w:w="1020" w:type="dxa"/>
            <w:vAlign w:val="bottom"/>
          </w:tcPr>
          <w:p>
            <w:pPr>
              <w:ind w:left="160"/>
              <w:spacing w:after="0" w:line="145" w:lineRule="exact"/>
              <w:rPr>
                <w:sz w:val="20"/>
                <w:szCs w:val="20"/>
                <w:color w:val="auto"/>
              </w:rPr>
            </w:pPr>
            <w:r>
              <w:rPr>
                <w:rFonts w:ascii="Arial" w:cs="Arial" w:eastAsia="Arial" w:hAnsi="Arial"/>
                <w:sz w:val="13"/>
                <w:szCs w:val="13"/>
                <w:b w:val="1"/>
                <w:bCs w:val="1"/>
                <w:color w:val="auto"/>
              </w:rPr>
              <w:t>Risk</w:t>
            </w:r>
          </w:p>
        </w:tc>
        <w:tc>
          <w:tcPr>
            <w:tcW w:w="1120" w:type="dxa"/>
            <w:vAlign w:val="bottom"/>
          </w:tcPr>
          <w:p>
            <w:pPr>
              <w:ind w:left="180"/>
              <w:spacing w:after="0" w:line="145" w:lineRule="exact"/>
              <w:rPr>
                <w:sz w:val="20"/>
                <w:szCs w:val="20"/>
                <w:color w:val="auto"/>
              </w:rPr>
            </w:pPr>
            <w:r>
              <w:rPr>
                <w:rFonts w:ascii="Arial" w:cs="Arial" w:eastAsia="Arial" w:hAnsi="Arial"/>
                <w:sz w:val="13"/>
                <w:szCs w:val="13"/>
                <w:b w:val="1"/>
                <w:bCs w:val="1"/>
                <w:color w:val="auto"/>
              </w:rPr>
              <w:t>Service</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line="145" w:lineRule="exact"/>
              <w:rPr>
                <w:sz w:val="20"/>
                <w:szCs w:val="20"/>
                <w:color w:val="auto"/>
              </w:rPr>
            </w:pPr>
            <w:r>
              <w:rPr>
                <w:rFonts w:ascii="Arial" w:cs="Arial" w:eastAsia="Arial" w:hAnsi="Arial"/>
                <w:sz w:val="13"/>
                <w:szCs w:val="13"/>
                <w:b w:val="1"/>
                <w:bCs w:val="1"/>
                <w:color w:val="auto"/>
              </w:rPr>
              <w:t>Fulfillment</w:t>
            </w:r>
          </w:p>
        </w:tc>
        <w:tc>
          <w:tcPr>
            <w:tcW w:w="1000" w:type="dxa"/>
            <w:vAlign w:val="bottom"/>
          </w:tcPr>
          <w:p>
            <w:pPr>
              <w:ind w:left="160"/>
              <w:spacing w:after="0" w:line="145" w:lineRule="exact"/>
              <w:rPr>
                <w:sz w:val="20"/>
                <w:szCs w:val="20"/>
                <w:color w:val="auto"/>
              </w:rPr>
            </w:pPr>
            <w:r>
              <w:rPr>
                <w:rFonts w:ascii="Arial" w:cs="Arial" w:eastAsia="Arial" w:hAnsi="Arial"/>
                <w:sz w:val="13"/>
                <w:szCs w:val="13"/>
                <w:b w:val="1"/>
                <w:bCs w:val="1"/>
                <w:color w:val="auto"/>
              </w:rPr>
              <w:t>Risk</w:t>
            </w:r>
          </w:p>
        </w:tc>
        <w:tc>
          <w:tcPr>
            <w:tcW w:w="1020" w:type="dxa"/>
            <w:vAlign w:val="bottom"/>
          </w:tcPr>
          <w:p>
            <w:pPr>
              <w:ind w:left="160"/>
              <w:spacing w:after="0" w:line="145" w:lineRule="exact"/>
              <w:rPr>
                <w:sz w:val="20"/>
                <w:szCs w:val="20"/>
                <w:color w:val="auto"/>
              </w:rPr>
            </w:pPr>
            <w:r>
              <w:rPr>
                <w:rFonts w:ascii="Arial" w:cs="Arial" w:eastAsia="Arial" w:hAnsi="Arial"/>
                <w:sz w:val="13"/>
                <w:szCs w:val="13"/>
                <w:b w:val="1"/>
                <w:bCs w:val="1"/>
                <w:color w:val="auto"/>
              </w:rPr>
              <w:t>Margin</w:t>
            </w:r>
          </w:p>
        </w:tc>
        <w:tc>
          <w:tcPr>
            <w:tcW w:w="980" w:type="dxa"/>
            <w:vAlign w:val="bottom"/>
          </w:tcPr>
          <w:p>
            <w:pPr>
              <w:spacing w:after="0"/>
              <w:rPr>
                <w:sz w:val="12"/>
                <w:szCs w:val="12"/>
                <w:color w:val="auto"/>
              </w:rPr>
            </w:pPr>
          </w:p>
        </w:tc>
      </w:tr>
      <w:tr>
        <w:trPr>
          <w:trHeight w:val="153"/>
        </w:trPr>
        <w:tc>
          <w:tcPr>
            <w:tcW w:w="900" w:type="dxa"/>
            <w:vAlign w:val="bottom"/>
          </w:tcPr>
          <w:p>
            <w:pPr>
              <w:spacing w:after="0"/>
              <w:rPr>
                <w:sz w:val="20"/>
                <w:szCs w:val="20"/>
                <w:color w:val="auto"/>
              </w:rPr>
            </w:pPr>
            <w:r>
              <w:rPr>
                <w:rFonts w:ascii="Arial" w:cs="Arial" w:eastAsia="Arial" w:hAnsi="Arial"/>
                <w:sz w:val="13"/>
                <w:szCs w:val="13"/>
                <w:b w:val="1"/>
                <w:bCs w:val="1"/>
                <w:color w:val="auto"/>
              </w:rPr>
              <w:t>Cash Flows</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adjustment</w:t>
            </w:r>
          </w:p>
        </w:tc>
        <w:tc>
          <w:tcPr>
            <w:tcW w:w="1120" w:type="dxa"/>
            <w:vAlign w:val="bottom"/>
          </w:tcPr>
          <w:p>
            <w:pPr>
              <w:ind w:left="180"/>
              <w:spacing w:after="0"/>
              <w:rPr>
                <w:sz w:val="20"/>
                <w:szCs w:val="20"/>
                <w:color w:val="auto"/>
              </w:rPr>
            </w:pPr>
            <w:r>
              <w:rPr>
                <w:rFonts w:ascii="Arial" w:cs="Arial" w:eastAsia="Arial" w:hAnsi="Arial"/>
                <w:sz w:val="13"/>
                <w:szCs w:val="13"/>
                <w:b w:val="1"/>
                <w:bCs w:val="1"/>
                <w:color w:val="auto"/>
              </w:rPr>
              <w:t>Margin (CSM)</w:t>
            </w: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spacing w:after="0"/>
              <w:rPr>
                <w:sz w:val="20"/>
                <w:szCs w:val="20"/>
                <w:color w:val="auto"/>
              </w:rPr>
            </w:pPr>
            <w:r>
              <w:rPr>
                <w:rFonts w:ascii="Arial" w:cs="Arial" w:eastAsia="Arial" w:hAnsi="Arial"/>
                <w:sz w:val="13"/>
                <w:szCs w:val="13"/>
                <w:b w:val="1"/>
                <w:bCs w:val="1"/>
                <w:color w:val="auto"/>
              </w:rPr>
              <w:t>Cash Flows</w:t>
            </w:r>
          </w:p>
        </w:tc>
        <w:tc>
          <w:tcPr>
            <w:tcW w:w="1000" w:type="dxa"/>
            <w:vAlign w:val="bottom"/>
          </w:tcPr>
          <w:p>
            <w:pPr>
              <w:ind w:left="160"/>
              <w:spacing w:after="0"/>
              <w:rPr>
                <w:sz w:val="20"/>
                <w:szCs w:val="20"/>
                <w:color w:val="auto"/>
              </w:rPr>
            </w:pPr>
            <w:r>
              <w:rPr>
                <w:rFonts w:ascii="Arial" w:cs="Arial" w:eastAsia="Arial" w:hAnsi="Arial"/>
                <w:sz w:val="13"/>
                <w:szCs w:val="13"/>
                <w:b w:val="1"/>
                <w:bCs w:val="1"/>
                <w:color w:val="auto"/>
              </w:rPr>
              <w:t>adjustment</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(CSM)</w:t>
            </w:r>
          </w:p>
        </w:tc>
        <w:tc>
          <w:tcPr>
            <w:tcW w:w="980" w:type="dxa"/>
            <w:vAlign w:val="bottom"/>
          </w:tcPr>
          <w:p>
            <w:pPr>
              <w:ind w:left="160"/>
              <w:spacing w:after="0"/>
              <w:rPr>
                <w:sz w:val="20"/>
                <w:szCs w:val="20"/>
                <w:color w:val="auto"/>
              </w:rPr>
            </w:pPr>
            <w:r>
              <w:rPr>
                <w:rFonts w:ascii="Arial" w:cs="Arial" w:eastAsia="Arial" w:hAnsi="Arial"/>
                <w:sz w:val="13"/>
                <w:szCs w:val="13"/>
                <w:b w:val="1"/>
                <w:bCs w:val="1"/>
                <w:color w:val="auto"/>
              </w:rPr>
              <w:t>Total</w:t>
            </w:r>
          </w:p>
        </w:tc>
      </w:tr>
      <w:tr>
        <w:trPr>
          <w:trHeight w:val="141"/>
        </w:trPr>
        <w:tc>
          <w:tcPr>
            <w:tcW w:w="9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02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S/(000)</w:t>
            </w:r>
          </w:p>
        </w:tc>
        <w:tc>
          <w:tcPr>
            <w:tcW w:w="1120" w:type="dxa"/>
            <w:vAlign w:val="bottom"/>
            <w:tcBorders>
              <w:top w:val="single" w:sz="8" w:color="auto"/>
            </w:tcBorders>
          </w:tcPr>
          <w:p>
            <w:pPr>
              <w:ind w:left="180"/>
              <w:spacing w:after="0" w:line="141" w:lineRule="exact"/>
              <w:rPr>
                <w:sz w:val="20"/>
                <w:szCs w:val="20"/>
                <w:color w:val="auto"/>
              </w:rPr>
            </w:pPr>
            <w:r>
              <w:rPr>
                <w:rFonts w:ascii="Arial" w:cs="Arial" w:eastAsia="Arial" w:hAnsi="Arial"/>
                <w:sz w:val="13"/>
                <w:szCs w:val="13"/>
                <w:b w:val="1"/>
                <w:bCs w:val="1"/>
                <w:color w:val="auto"/>
              </w:rPr>
              <w:t>S/(000)</w:t>
            </w:r>
          </w:p>
        </w:tc>
        <w:tc>
          <w:tcPr>
            <w:tcW w:w="940" w:type="dxa"/>
            <w:vAlign w:val="bottom"/>
            <w:tcBorders>
              <w:top w:val="single" w:sz="8" w:color="auto"/>
            </w:tcBorders>
          </w:tcPr>
          <w:p>
            <w:pPr>
              <w:ind w:left="120"/>
              <w:spacing w:after="0" w:line="141"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00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S/(000)</w:t>
            </w:r>
          </w:p>
        </w:tc>
        <w:tc>
          <w:tcPr>
            <w:tcW w:w="102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S/(000)</w:t>
            </w:r>
          </w:p>
        </w:tc>
        <w:tc>
          <w:tcPr>
            <w:tcW w:w="98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S/(000)</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33"/>
        </w:trPr>
        <w:tc>
          <w:tcPr>
            <w:tcW w:w="2120" w:type="dxa"/>
            <w:vAlign w:val="bottom"/>
          </w:tcPr>
          <w:p>
            <w:pPr>
              <w:spacing w:after="0" w:line="133" w:lineRule="exact"/>
              <w:rPr>
                <w:sz w:val="20"/>
                <w:szCs w:val="20"/>
                <w:color w:val="auto"/>
              </w:rPr>
            </w:pPr>
            <w:r>
              <w:rPr>
                <w:rFonts w:ascii="Arial" w:cs="Arial" w:eastAsia="Arial" w:hAnsi="Arial"/>
                <w:sz w:val="13"/>
                <w:szCs w:val="13"/>
                <w:b w:val="1"/>
                <w:bCs w:val="1"/>
                <w:color w:val="auto"/>
              </w:rPr>
              <w:t>Balances at the beginning of the</w:t>
            </w:r>
          </w:p>
        </w:tc>
        <w:tc>
          <w:tcPr>
            <w:tcW w:w="1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b w:val="1"/>
                <w:bCs w:val="1"/>
                <w:color w:val="auto"/>
              </w:rPr>
              <w:t>period</w:t>
            </w:r>
          </w:p>
        </w:tc>
        <w:tc>
          <w:tcPr>
            <w:tcW w:w="1160" w:type="dxa"/>
            <w:vAlign w:val="bottom"/>
          </w:tcPr>
          <w:p>
            <w:pPr>
              <w:jc w:val="right"/>
              <w:ind w:right="256"/>
              <w:spacing w:after="0" w:line="145" w:lineRule="exact"/>
              <w:rPr>
                <w:sz w:val="20"/>
                <w:szCs w:val="20"/>
                <w:color w:val="auto"/>
              </w:rPr>
            </w:pPr>
            <w:r>
              <w:rPr>
                <w:rFonts w:ascii="Arial" w:cs="Arial" w:eastAsia="Arial" w:hAnsi="Arial"/>
                <w:sz w:val="13"/>
                <w:szCs w:val="13"/>
                <w:color w:val="auto"/>
              </w:rPr>
              <w:t>9,164,961</w:t>
            </w:r>
          </w:p>
        </w:tc>
        <w:tc>
          <w:tcPr>
            <w:tcW w:w="100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152,793</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1,258,050</w:t>
            </w:r>
          </w:p>
        </w:tc>
        <w:tc>
          <w:tcPr>
            <w:tcW w:w="104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10,575,804</w:t>
            </w:r>
          </w:p>
        </w:tc>
        <w:tc>
          <w:tcPr>
            <w:tcW w:w="1140" w:type="dxa"/>
            <w:vAlign w:val="bottom"/>
          </w:tcPr>
          <w:p>
            <w:pPr>
              <w:jc w:val="right"/>
              <w:ind w:right="236"/>
              <w:spacing w:after="0" w:line="145" w:lineRule="exact"/>
              <w:rPr>
                <w:sz w:val="20"/>
                <w:szCs w:val="20"/>
                <w:color w:val="auto"/>
              </w:rPr>
            </w:pPr>
            <w:r>
              <w:rPr>
                <w:rFonts w:ascii="Arial" w:cs="Arial" w:eastAsia="Arial" w:hAnsi="Arial"/>
                <w:sz w:val="13"/>
                <w:szCs w:val="13"/>
                <w:color w:val="auto"/>
              </w:rPr>
              <w:t>8,220,567</w:t>
            </w:r>
          </w:p>
        </w:tc>
        <w:tc>
          <w:tcPr>
            <w:tcW w:w="960" w:type="dxa"/>
            <w:vAlign w:val="bottom"/>
          </w:tcPr>
          <w:p>
            <w:pPr>
              <w:jc w:val="right"/>
              <w:ind w:right="176"/>
              <w:spacing w:after="0" w:line="145" w:lineRule="exact"/>
              <w:rPr>
                <w:sz w:val="20"/>
                <w:szCs w:val="20"/>
                <w:color w:val="auto"/>
              </w:rPr>
            </w:pPr>
            <w:r>
              <w:rPr>
                <w:rFonts w:ascii="Arial" w:cs="Arial" w:eastAsia="Arial" w:hAnsi="Arial"/>
                <w:sz w:val="13"/>
                <w:szCs w:val="13"/>
                <w:color w:val="auto"/>
              </w:rPr>
              <w:t>144,207</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1,202,240</w:t>
            </w:r>
          </w:p>
        </w:tc>
        <w:tc>
          <w:tcPr>
            <w:tcW w:w="8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9,567,014</w:t>
            </w: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Changes in the statement of</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income:</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Changes in estimates that adjust</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the CSM</w:t>
            </w:r>
          </w:p>
        </w:tc>
        <w:tc>
          <w:tcPr>
            <w:tcW w:w="1160" w:type="dxa"/>
            <w:vAlign w:val="bottom"/>
          </w:tcPr>
          <w:p>
            <w:pPr>
              <w:jc w:val="right"/>
              <w:ind w:right="256"/>
              <w:spacing w:after="0" w:line="145" w:lineRule="exact"/>
              <w:rPr>
                <w:sz w:val="20"/>
                <w:szCs w:val="20"/>
                <w:color w:val="auto"/>
              </w:rPr>
            </w:pPr>
            <w:r>
              <w:rPr>
                <w:rFonts w:ascii="Arial" w:cs="Arial" w:eastAsia="Arial" w:hAnsi="Arial"/>
                <w:sz w:val="13"/>
                <w:szCs w:val="13"/>
                <w:color w:val="auto"/>
              </w:rPr>
              <w:t>873</w:t>
            </w:r>
          </w:p>
        </w:tc>
        <w:tc>
          <w:tcPr>
            <w:tcW w:w="100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11,354</w:t>
            </w:r>
          </w:p>
        </w:tc>
        <w:tc>
          <w:tcPr>
            <w:tcW w:w="1000" w:type="dxa"/>
            <w:vAlign w:val="bottom"/>
          </w:tcPr>
          <w:p>
            <w:pPr>
              <w:jc w:val="right"/>
              <w:ind w:right="116"/>
              <w:spacing w:after="0" w:line="145" w:lineRule="exact"/>
              <w:rPr>
                <w:sz w:val="20"/>
                <w:szCs w:val="20"/>
                <w:color w:val="auto"/>
              </w:rPr>
            </w:pPr>
            <w:r>
              <w:rPr>
                <w:rFonts w:ascii="Arial" w:cs="Arial" w:eastAsia="Arial" w:hAnsi="Arial"/>
                <w:sz w:val="13"/>
                <w:szCs w:val="13"/>
                <w:color w:val="auto"/>
              </w:rPr>
              <w:t>(12,122)</w:t>
            </w:r>
          </w:p>
        </w:tc>
        <w:tc>
          <w:tcPr>
            <w:tcW w:w="104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105</w:t>
            </w:r>
          </w:p>
        </w:tc>
        <w:tc>
          <w:tcPr>
            <w:tcW w:w="114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(19,665)</w:t>
            </w:r>
          </w:p>
        </w:tc>
        <w:tc>
          <w:tcPr>
            <w:tcW w:w="960" w:type="dxa"/>
            <w:vAlign w:val="bottom"/>
          </w:tcPr>
          <w:p>
            <w:pPr>
              <w:jc w:val="right"/>
              <w:ind w:right="176"/>
              <w:spacing w:after="0" w:line="145" w:lineRule="exact"/>
              <w:rPr>
                <w:sz w:val="20"/>
                <w:szCs w:val="20"/>
                <w:color w:val="auto"/>
              </w:rPr>
            </w:pPr>
            <w:r>
              <w:rPr>
                <w:rFonts w:ascii="Arial" w:cs="Arial" w:eastAsia="Arial" w:hAnsi="Arial"/>
                <w:sz w:val="13"/>
                <w:szCs w:val="13"/>
                <w:color w:val="auto"/>
              </w:rPr>
              <w:t>4,441</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9,535</w:t>
            </w:r>
          </w:p>
        </w:tc>
        <w:tc>
          <w:tcPr>
            <w:tcW w:w="84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(5,689)</w:t>
            </w: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Changes in estimates that result in</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losses and recoveries for contract</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losses onerous</w:t>
            </w:r>
          </w:p>
        </w:tc>
        <w:tc>
          <w:tcPr>
            <w:tcW w:w="1160" w:type="dxa"/>
            <w:vAlign w:val="bottom"/>
          </w:tcPr>
          <w:p>
            <w:pPr>
              <w:jc w:val="right"/>
              <w:ind w:right="216"/>
              <w:spacing w:after="0" w:line="145" w:lineRule="exact"/>
              <w:rPr>
                <w:sz w:val="20"/>
                <w:szCs w:val="20"/>
                <w:color w:val="auto"/>
              </w:rPr>
            </w:pPr>
            <w:r>
              <w:rPr>
                <w:rFonts w:ascii="Arial" w:cs="Arial" w:eastAsia="Arial" w:hAnsi="Arial"/>
                <w:sz w:val="13"/>
                <w:szCs w:val="13"/>
                <w:color w:val="auto"/>
              </w:rPr>
              <w:t>(6,299)</w:t>
            </w:r>
          </w:p>
        </w:tc>
        <w:tc>
          <w:tcPr>
            <w:tcW w:w="100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2,109</w:t>
            </w:r>
          </w:p>
        </w:tc>
        <w:tc>
          <w:tcPr>
            <w:tcW w:w="1000" w:type="dxa"/>
            <w:vAlign w:val="bottom"/>
          </w:tcPr>
          <w:p>
            <w:pPr>
              <w:jc w:val="right"/>
              <w:ind w:right="116"/>
              <w:spacing w:after="0" w:line="145" w:lineRule="exact"/>
              <w:rPr>
                <w:sz w:val="20"/>
                <w:szCs w:val="20"/>
                <w:color w:val="auto"/>
              </w:rPr>
            </w:pPr>
            <w:r>
              <w:rPr>
                <w:rFonts w:ascii="Arial" w:cs="Arial" w:eastAsia="Arial" w:hAnsi="Arial"/>
                <w:sz w:val="13"/>
                <w:szCs w:val="13"/>
                <w:color w:val="auto"/>
              </w:rPr>
              <w:t>(5,783)</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(9,973)</w:t>
            </w:r>
          </w:p>
        </w:tc>
        <w:tc>
          <w:tcPr>
            <w:tcW w:w="114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(8,949)</w:t>
            </w:r>
          </w:p>
        </w:tc>
        <w:tc>
          <w:tcPr>
            <w:tcW w:w="960" w:type="dxa"/>
            <w:vAlign w:val="bottom"/>
          </w:tcPr>
          <w:p>
            <w:pPr>
              <w:jc w:val="right"/>
              <w:ind w:right="136"/>
              <w:spacing w:after="0" w:line="145" w:lineRule="exact"/>
              <w:rPr>
                <w:sz w:val="20"/>
                <w:szCs w:val="20"/>
                <w:color w:val="auto"/>
              </w:rPr>
            </w:pPr>
            <w:r>
              <w:rPr>
                <w:rFonts w:ascii="Arial" w:cs="Arial" w:eastAsia="Arial" w:hAnsi="Arial"/>
                <w:sz w:val="13"/>
                <w:szCs w:val="13"/>
                <w:color w:val="auto"/>
              </w:rPr>
              <w:t>(681)</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(9,630)</w:t>
            </w:r>
          </w:p>
        </w:tc>
      </w:tr>
      <w:tr>
        <w:trPr>
          <w:trHeight w:val="165"/>
        </w:trPr>
        <w:tc>
          <w:tcPr>
            <w:tcW w:w="2120" w:type="dxa"/>
            <w:vAlign w:val="bottom"/>
          </w:tcPr>
          <w:p>
            <w:pPr>
              <w:spacing w:after="0"/>
              <w:rPr>
                <w:sz w:val="20"/>
                <w:szCs w:val="20"/>
                <w:color w:val="auto"/>
              </w:rPr>
            </w:pPr>
            <w:r>
              <w:rPr>
                <w:rFonts w:ascii="Arial" w:cs="Arial" w:eastAsia="Arial" w:hAnsi="Arial"/>
                <w:sz w:val="13"/>
                <w:szCs w:val="13"/>
                <w:color w:val="auto"/>
              </w:rPr>
              <w:t>Initial recognition contracts</w:t>
            </w:r>
          </w:p>
        </w:tc>
        <w:tc>
          <w:tcPr>
            <w:tcW w:w="1160" w:type="dxa"/>
            <w:vAlign w:val="bottom"/>
          </w:tcPr>
          <w:p>
            <w:pPr>
              <w:jc w:val="right"/>
              <w:ind w:right="216"/>
              <w:spacing w:after="0"/>
              <w:rPr>
                <w:sz w:val="20"/>
                <w:szCs w:val="20"/>
                <w:color w:val="auto"/>
              </w:rPr>
            </w:pPr>
            <w:r>
              <w:rPr>
                <w:rFonts w:ascii="Arial" w:cs="Arial" w:eastAsia="Arial" w:hAnsi="Arial"/>
                <w:sz w:val="13"/>
                <w:szCs w:val="13"/>
                <w:color w:val="auto"/>
              </w:rPr>
              <w:t>(122,940)</w:t>
            </w:r>
          </w:p>
        </w:tc>
        <w:tc>
          <w:tcPr>
            <w:tcW w:w="1000" w:type="dxa"/>
            <w:vAlign w:val="bottom"/>
          </w:tcPr>
          <w:p>
            <w:pPr>
              <w:jc w:val="right"/>
              <w:ind w:right="196"/>
              <w:spacing w:after="0"/>
              <w:rPr>
                <w:sz w:val="20"/>
                <w:szCs w:val="20"/>
                <w:color w:val="auto"/>
              </w:rPr>
            </w:pPr>
            <w:r>
              <w:rPr>
                <w:rFonts w:ascii="Arial" w:cs="Arial" w:eastAsia="Arial" w:hAnsi="Arial"/>
                <w:sz w:val="13"/>
                <w:szCs w:val="13"/>
                <w:color w:val="auto"/>
              </w:rPr>
              <w:t>16,992</w:t>
            </w:r>
          </w:p>
        </w:tc>
        <w:tc>
          <w:tcPr>
            <w:tcW w:w="1000" w:type="dxa"/>
            <w:vAlign w:val="bottom"/>
          </w:tcPr>
          <w:p>
            <w:pPr>
              <w:jc w:val="right"/>
              <w:ind w:right="156"/>
              <w:spacing w:after="0"/>
              <w:rPr>
                <w:sz w:val="20"/>
                <w:szCs w:val="20"/>
                <w:color w:val="auto"/>
              </w:rPr>
            </w:pPr>
            <w:r>
              <w:rPr>
                <w:rFonts w:ascii="Arial" w:cs="Arial" w:eastAsia="Arial" w:hAnsi="Arial"/>
                <w:sz w:val="13"/>
                <w:szCs w:val="13"/>
                <w:color w:val="auto"/>
              </w:rPr>
              <w:t>140,510</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34,562</w:t>
            </w:r>
          </w:p>
        </w:tc>
        <w:tc>
          <w:tcPr>
            <w:tcW w:w="1140" w:type="dxa"/>
            <w:vAlign w:val="bottom"/>
          </w:tcPr>
          <w:p>
            <w:pPr>
              <w:jc w:val="right"/>
              <w:ind w:right="196"/>
              <w:spacing w:after="0"/>
              <w:rPr>
                <w:sz w:val="20"/>
                <w:szCs w:val="20"/>
                <w:color w:val="auto"/>
              </w:rPr>
            </w:pPr>
            <w:r>
              <w:rPr>
                <w:rFonts w:ascii="Arial" w:cs="Arial" w:eastAsia="Arial" w:hAnsi="Arial"/>
                <w:sz w:val="13"/>
                <w:szCs w:val="13"/>
                <w:color w:val="auto"/>
              </w:rPr>
              <w:t>(102,195)</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9,628</w:t>
            </w:r>
          </w:p>
        </w:tc>
        <w:tc>
          <w:tcPr>
            <w:tcW w:w="980" w:type="dxa"/>
            <w:vAlign w:val="bottom"/>
          </w:tcPr>
          <w:p>
            <w:pPr>
              <w:jc w:val="right"/>
              <w:ind w:right="156"/>
              <w:spacing w:after="0"/>
              <w:rPr>
                <w:sz w:val="20"/>
                <w:szCs w:val="20"/>
                <w:color w:val="auto"/>
              </w:rPr>
            </w:pPr>
            <w:r>
              <w:rPr>
                <w:rFonts w:ascii="Arial" w:cs="Arial" w:eastAsia="Arial" w:hAnsi="Arial"/>
                <w:sz w:val="13"/>
                <w:szCs w:val="13"/>
                <w:color w:val="auto"/>
              </w:rPr>
              <w:t>123,461</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30,894</w:t>
            </w:r>
          </w:p>
        </w:tc>
      </w:tr>
      <w:tr>
        <w:trPr>
          <w:trHeight w:val="117"/>
        </w:trPr>
        <w:tc>
          <w:tcPr>
            <w:tcW w:w="2120" w:type="dxa"/>
            <w:vAlign w:val="bottom"/>
          </w:tcPr>
          <w:p>
            <w:pPr>
              <w:spacing w:after="0" w:line="117" w:lineRule="exact"/>
              <w:rPr>
                <w:sz w:val="20"/>
                <w:szCs w:val="20"/>
                <w:color w:val="auto"/>
              </w:rPr>
            </w:pPr>
            <w:r>
              <w:rPr>
                <w:rFonts w:ascii="Arial" w:cs="Arial" w:eastAsia="Arial" w:hAnsi="Arial"/>
                <w:sz w:val="13"/>
                <w:szCs w:val="13"/>
                <w:b w:val="1"/>
                <w:bCs w:val="1"/>
                <w:color w:val="auto"/>
              </w:rPr>
              <w:t>Changes related to future</w:t>
            </w:r>
          </w:p>
        </w:tc>
        <w:tc>
          <w:tcPr>
            <w:tcW w:w="1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b w:val="1"/>
                <w:bCs w:val="1"/>
                <w:color w:val="auto"/>
              </w:rPr>
              <w:t>services</w:t>
            </w:r>
          </w:p>
        </w:tc>
        <w:tc>
          <w:tcPr>
            <w:tcW w:w="1160" w:type="dxa"/>
            <w:vAlign w:val="bottom"/>
          </w:tcPr>
          <w:p>
            <w:pPr>
              <w:jc w:val="right"/>
              <w:ind w:right="216"/>
              <w:spacing w:after="0" w:line="145" w:lineRule="exact"/>
              <w:rPr>
                <w:sz w:val="20"/>
                <w:szCs w:val="20"/>
                <w:color w:val="auto"/>
              </w:rPr>
            </w:pPr>
            <w:r>
              <w:rPr>
                <w:rFonts w:ascii="Arial" w:cs="Arial" w:eastAsia="Arial" w:hAnsi="Arial"/>
                <w:sz w:val="13"/>
                <w:szCs w:val="13"/>
                <w:color w:val="auto"/>
              </w:rPr>
              <w:t>(128,366)</w:t>
            </w:r>
          </w:p>
        </w:tc>
        <w:tc>
          <w:tcPr>
            <w:tcW w:w="100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30,455</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122,605</w:t>
            </w:r>
          </w:p>
        </w:tc>
        <w:tc>
          <w:tcPr>
            <w:tcW w:w="104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24,694</w:t>
            </w:r>
          </w:p>
        </w:tc>
        <w:tc>
          <w:tcPr>
            <w:tcW w:w="114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(130,809)</w:t>
            </w:r>
          </w:p>
        </w:tc>
        <w:tc>
          <w:tcPr>
            <w:tcW w:w="960" w:type="dxa"/>
            <w:vAlign w:val="bottom"/>
          </w:tcPr>
          <w:p>
            <w:pPr>
              <w:jc w:val="right"/>
              <w:ind w:right="176"/>
              <w:spacing w:after="0" w:line="145" w:lineRule="exact"/>
              <w:rPr>
                <w:sz w:val="20"/>
                <w:szCs w:val="20"/>
                <w:color w:val="auto"/>
              </w:rPr>
            </w:pPr>
            <w:r>
              <w:rPr>
                <w:rFonts w:ascii="Arial" w:cs="Arial" w:eastAsia="Arial" w:hAnsi="Arial"/>
                <w:sz w:val="13"/>
                <w:szCs w:val="13"/>
                <w:color w:val="auto"/>
              </w:rPr>
              <w:t>13,388</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132,996</w:t>
            </w:r>
          </w:p>
        </w:tc>
        <w:tc>
          <w:tcPr>
            <w:tcW w:w="84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15,575</w:t>
            </w: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CSM recognized for services</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provided</w:t>
            </w:r>
          </w:p>
        </w:tc>
        <w:tc>
          <w:tcPr>
            <w:tcW w:w="1160" w:type="dxa"/>
            <w:vAlign w:val="bottom"/>
          </w:tcPr>
          <w:p>
            <w:pPr>
              <w:jc w:val="right"/>
              <w:ind w:right="256"/>
              <w:spacing w:after="0" w:line="14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16"/>
              <w:spacing w:after="0" w:line="145" w:lineRule="exact"/>
              <w:rPr>
                <w:sz w:val="20"/>
                <w:szCs w:val="20"/>
                <w:color w:val="auto"/>
              </w:rPr>
            </w:pPr>
            <w:r>
              <w:rPr>
                <w:rFonts w:ascii="Arial" w:cs="Arial" w:eastAsia="Arial" w:hAnsi="Arial"/>
                <w:sz w:val="13"/>
                <w:szCs w:val="13"/>
                <w:color w:val="auto"/>
              </w:rPr>
              <w:t>(137,032)</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(137,032)</w:t>
            </w:r>
          </w:p>
        </w:tc>
        <w:tc>
          <w:tcPr>
            <w:tcW w:w="1140" w:type="dxa"/>
            <w:vAlign w:val="bottom"/>
          </w:tcPr>
          <w:p>
            <w:pPr>
              <w:jc w:val="right"/>
              <w:ind w:right="236"/>
              <w:spacing w:after="0" w:line="14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6"/>
              <w:spacing w:after="0" w:line="14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line="145" w:lineRule="exact"/>
              <w:rPr>
                <w:sz w:val="20"/>
                <w:szCs w:val="20"/>
                <w:color w:val="auto"/>
              </w:rPr>
            </w:pPr>
            <w:r>
              <w:rPr>
                <w:rFonts w:ascii="Arial" w:cs="Arial" w:eastAsia="Arial" w:hAnsi="Arial"/>
                <w:sz w:val="13"/>
                <w:szCs w:val="13"/>
                <w:color w:val="auto"/>
              </w:rPr>
              <w:t>(125,610)</w:t>
            </w:r>
          </w:p>
        </w:tc>
        <w:tc>
          <w:tcPr>
            <w:tcW w:w="84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(125,610)</w:t>
            </w: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Changes in the risk adjustment</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recognized for the expired risk</w:t>
            </w:r>
          </w:p>
        </w:tc>
        <w:tc>
          <w:tcPr>
            <w:tcW w:w="1160" w:type="dxa"/>
            <w:vAlign w:val="bottom"/>
          </w:tcPr>
          <w:p>
            <w:pPr>
              <w:jc w:val="right"/>
              <w:ind w:right="256"/>
              <w:spacing w:after="0" w:line="14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(21,026)</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(21,026)</w:t>
            </w:r>
          </w:p>
        </w:tc>
        <w:tc>
          <w:tcPr>
            <w:tcW w:w="1140" w:type="dxa"/>
            <w:vAlign w:val="bottom"/>
          </w:tcPr>
          <w:p>
            <w:pPr>
              <w:jc w:val="right"/>
              <w:ind w:right="236"/>
              <w:spacing w:after="0" w:line="14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line="145" w:lineRule="exact"/>
              <w:rPr>
                <w:sz w:val="20"/>
                <w:szCs w:val="20"/>
                <w:color w:val="auto"/>
              </w:rPr>
            </w:pPr>
            <w:r>
              <w:rPr>
                <w:rFonts w:ascii="Arial" w:cs="Arial" w:eastAsia="Arial" w:hAnsi="Arial"/>
                <w:sz w:val="13"/>
                <w:szCs w:val="13"/>
                <w:color w:val="auto"/>
              </w:rPr>
              <w:t>(20,039)</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(20,039)</w:t>
            </w:r>
          </w:p>
        </w:tc>
      </w:tr>
      <w:tr>
        <w:trPr>
          <w:trHeight w:val="165"/>
        </w:trPr>
        <w:tc>
          <w:tcPr>
            <w:tcW w:w="2120" w:type="dxa"/>
            <w:vAlign w:val="bottom"/>
          </w:tcPr>
          <w:p>
            <w:pPr>
              <w:spacing w:after="0"/>
              <w:rPr>
                <w:sz w:val="20"/>
                <w:szCs w:val="20"/>
                <w:color w:val="auto"/>
              </w:rPr>
            </w:pPr>
            <w:r>
              <w:rPr>
                <w:rFonts w:ascii="Arial" w:cs="Arial" w:eastAsia="Arial" w:hAnsi="Arial"/>
                <w:sz w:val="13"/>
                <w:szCs w:val="13"/>
                <w:color w:val="auto"/>
              </w:rPr>
              <w:t>Experience adjustments</w:t>
            </w:r>
          </w:p>
        </w:tc>
        <w:tc>
          <w:tcPr>
            <w:tcW w:w="1160" w:type="dxa"/>
            <w:vAlign w:val="bottom"/>
          </w:tcPr>
          <w:p>
            <w:pPr>
              <w:jc w:val="right"/>
              <w:ind w:right="256"/>
              <w:spacing w:after="0"/>
              <w:rPr>
                <w:sz w:val="20"/>
                <w:szCs w:val="20"/>
                <w:color w:val="auto"/>
              </w:rPr>
            </w:pPr>
            <w:r>
              <w:rPr>
                <w:rFonts w:ascii="Arial" w:cs="Arial" w:eastAsia="Arial" w:hAnsi="Arial"/>
                <w:sz w:val="13"/>
                <w:szCs w:val="13"/>
                <w:color w:val="auto"/>
              </w:rPr>
              <w:t>931,751</w:t>
            </w:r>
          </w:p>
        </w:tc>
        <w:tc>
          <w:tcPr>
            <w:tcW w:w="10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931,751</w:t>
            </w:r>
          </w:p>
        </w:tc>
        <w:tc>
          <w:tcPr>
            <w:tcW w:w="1140" w:type="dxa"/>
            <w:vAlign w:val="bottom"/>
          </w:tcPr>
          <w:p>
            <w:pPr>
              <w:jc w:val="right"/>
              <w:ind w:right="236"/>
              <w:spacing w:after="0"/>
              <w:rPr>
                <w:sz w:val="20"/>
                <w:szCs w:val="20"/>
                <w:color w:val="auto"/>
              </w:rPr>
            </w:pPr>
            <w:r>
              <w:rPr>
                <w:rFonts w:ascii="Arial" w:cs="Arial" w:eastAsia="Arial" w:hAnsi="Arial"/>
                <w:sz w:val="13"/>
                <w:szCs w:val="13"/>
                <w:color w:val="auto"/>
              </w:rPr>
              <w:t>829,682</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829,682</w:t>
            </w:r>
          </w:p>
        </w:tc>
        <w:tc>
          <w:tcPr>
            <w:tcW w:w="20" w:type="dxa"/>
            <w:vAlign w:val="bottom"/>
          </w:tcPr>
          <w:p>
            <w:pPr>
              <w:spacing w:after="0"/>
              <w:rPr>
                <w:sz w:val="14"/>
                <w:szCs w:val="14"/>
                <w:color w:val="auto"/>
              </w:rPr>
            </w:pPr>
          </w:p>
        </w:tc>
      </w:tr>
      <w:tr>
        <w:trPr>
          <w:trHeight w:val="117"/>
        </w:trPr>
        <w:tc>
          <w:tcPr>
            <w:tcW w:w="2120" w:type="dxa"/>
            <w:vAlign w:val="bottom"/>
          </w:tcPr>
          <w:p>
            <w:pPr>
              <w:spacing w:after="0" w:line="117" w:lineRule="exact"/>
              <w:rPr>
                <w:sz w:val="20"/>
                <w:szCs w:val="20"/>
                <w:color w:val="auto"/>
              </w:rPr>
            </w:pPr>
            <w:r>
              <w:rPr>
                <w:rFonts w:ascii="Arial" w:cs="Arial" w:eastAsia="Arial" w:hAnsi="Arial"/>
                <w:sz w:val="13"/>
                <w:szCs w:val="13"/>
                <w:b w:val="1"/>
                <w:bCs w:val="1"/>
                <w:color w:val="auto"/>
              </w:rPr>
              <w:t>Changes related to current</w:t>
            </w:r>
          </w:p>
        </w:tc>
        <w:tc>
          <w:tcPr>
            <w:tcW w:w="1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b w:val="1"/>
                <w:bCs w:val="1"/>
                <w:color w:val="auto"/>
              </w:rPr>
              <w:t>services</w:t>
            </w:r>
          </w:p>
        </w:tc>
        <w:tc>
          <w:tcPr>
            <w:tcW w:w="1160" w:type="dxa"/>
            <w:vAlign w:val="bottom"/>
          </w:tcPr>
          <w:p>
            <w:pPr>
              <w:jc w:val="right"/>
              <w:ind w:right="256"/>
              <w:spacing w:after="0" w:line="145" w:lineRule="exact"/>
              <w:rPr>
                <w:sz w:val="20"/>
                <w:szCs w:val="20"/>
                <w:color w:val="auto"/>
              </w:rPr>
            </w:pPr>
            <w:r>
              <w:rPr>
                <w:rFonts w:ascii="Arial" w:cs="Arial" w:eastAsia="Arial" w:hAnsi="Arial"/>
                <w:sz w:val="13"/>
                <w:szCs w:val="13"/>
                <w:color w:val="auto"/>
              </w:rPr>
              <w:t>931,751</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(21,026)</w:t>
            </w:r>
          </w:p>
        </w:tc>
        <w:tc>
          <w:tcPr>
            <w:tcW w:w="1000" w:type="dxa"/>
            <w:vAlign w:val="bottom"/>
          </w:tcPr>
          <w:p>
            <w:pPr>
              <w:jc w:val="right"/>
              <w:ind w:right="116"/>
              <w:spacing w:after="0" w:line="145" w:lineRule="exact"/>
              <w:rPr>
                <w:sz w:val="20"/>
                <w:szCs w:val="20"/>
                <w:color w:val="auto"/>
              </w:rPr>
            </w:pPr>
            <w:r>
              <w:rPr>
                <w:rFonts w:ascii="Arial" w:cs="Arial" w:eastAsia="Arial" w:hAnsi="Arial"/>
                <w:sz w:val="13"/>
                <w:szCs w:val="13"/>
                <w:color w:val="auto"/>
              </w:rPr>
              <w:t>(137,032)</w:t>
            </w:r>
          </w:p>
        </w:tc>
        <w:tc>
          <w:tcPr>
            <w:tcW w:w="104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773,693</w:t>
            </w:r>
          </w:p>
        </w:tc>
        <w:tc>
          <w:tcPr>
            <w:tcW w:w="1140" w:type="dxa"/>
            <w:vAlign w:val="bottom"/>
          </w:tcPr>
          <w:p>
            <w:pPr>
              <w:jc w:val="right"/>
              <w:ind w:right="236"/>
              <w:spacing w:after="0" w:line="145" w:lineRule="exact"/>
              <w:rPr>
                <w:sz w:val="20"/>
                <w:szCs w:val="20"/>
                <w:color w:val="auto"/>
              </w:rPr>
            </w:pPr>
            <w:r>
              <w:rPr>
                <w:rFonts w:ascii="Arial" w:cs="Arial" w:eastAsia="Arial" w:hAnsi="Arial"/>
                <w:sz w:val="13"/>
                <w:szCs w:val="13"/>
                <w:color w:val="auto"/>
              </w:rPr>
              <w:t>829,682</w:t>
            </w:r>
          </w:p>
        </w:tc>
        <w:tc>
          <w:tcPr>
            <w:tcW w:w="960" w:type="dxa"/>
            <w:vAlign w:val="bottom"/>
          </w:tcPr>
          <w:p>
            <w:pPr>
              <w:jc w:val="right"/>
              <w:ind w:right="136"/>
              <w:spacing w:after="0" w:line="145" w:lineRule="exact"/>
              <w:rPr>
                <w:sz w:val="20"/>
                <w:szCs w:val="20"/>
                <w:color w:val="auto"/>
              </w:rPr>
            </w:pPr>
            <w:r>
              <w:rPr>
                <w:rFonts w:ascii="Arial" w:cs="Arial" w:eastAsia="Arial" w:hAnsi="Arial"/>
                <w:sz w:val="13"/>
                <w:szCs w:val="13"/>
                <w:color w:val="auto"/>
              </w:rPr>
              <w:t>(20,039)</w:t>
            </w:r>
          </w:p>
        </w:tc>
        <w:tc>
          <w:tcPr>
            <w:tcW w:w="980" w:type="dxa"/>
            <w:vAlign w:val="bottom"/>
          </w:tcPr>
          <w:p>
            <w:pPr>
              <w:jc w:val="right"/>
              <w:ind w:right="116"/>
              <w:spacing w:after="0" w:line="145" w:lineRule="exact"/>
              <w:rPr>
                <w:sz w:val="20"/>
                <w:szCs w:val="20"/>
                <w:color w:val="auto"/>
              </w:rPr>
            </w:pPr>
            <w:r>
              <w:rPr>
                <w:rFonts w:ascii="Arial" w:cs="Arial" w:eastAsia="Arial" w:hAnsi="Arial"/>
                <w:sz w:val="13"/>
                <w:szCs w:val="13"/>
                <w:color w:val="auto"/>
              </w:rPr>
              <w:t>(125,610)</w:t>
            </w:r>
          </w:p>
        </w:tc>
        <w:tc>
          <w:tcPr>
            <w:tcW w:w="8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684,033</w:t>
            </w: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Adjustments to liabilities for</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2120" w:type="dxa"/>
            <w:vAlign w:val="bottom"/>
          </w:tcPr>
          <w:p>
            <w:pPr>
              <w:spacing w:after="0"/>
              <w:rPr>
                <w:sz w:val="20"/>
                <w:szCs w:val="20"/>
                <w:color w:val="auto"/>
              </w:rPr>
            </w:pPr>
            <w:r>
              <w:rPr>
                <w:rFonts w:ascii="Arial" w:cs="Arial" w:eastAsia="Arial" w:hAnsi="Arial"/>
                <w:sz w:val="13"/>
                <w:szCs w:val="13"/>
                <w:color w:val="auto"/>
              </w:rPr>
              <w:t>incurred claims</w:t>
            </w:r>
          </w:p>
        </w:tc>
        <w:tc>
          <w:tcPr>
            <w:tcW w:w="1160" w:type="dxa"/>
            <w:vAlign w:val="bottom"/>
          </w:tcPr>
          <w:p>
            <w:pPr>
              <w:jc w:val="right"/>
              <w:ind w:right="216"/>
              <w:spacing w:after="0"/>
              <w:rPr>
                <w:sz w:val="20"/>
                <w:szCs w:val="20"/>
                <w:color w:val="auto"/>
              </w:rPr>
            </w:pPr>
            <w:r>
              <w:rPr>
                <w:rFonts w:ascii="Arial" w:cs="Arial" w:eastAsia="Arial" w:hAnsi="Arial"/>
                <w:sz w:val="13"/>
                <w:szCs w:val="13"/>
                <w:color w:val="auto"/>
              </w:rPr>
              <w:t>(858,036)</w:t>
            </w:r>
          </w:p>
        </w:tc>
        <w:tc>
          <w:tcPr>
            <w:tcW w:w="1000" w:type="dxa"/>
            <w:vAlign w:val="bottom"/>
          </w:tcPr>
          <w:p>
            <w:pPr>
              <w:jc w:val="right"/>
              <w:ind w:right="196"/>
              <w:spacing w:after="0"/>
              <w:rPr>
                <w:sz w:val="20"/>
                <w:szCs w:val="20"/>
                <w:color w:val="auto"/>
              </w:rPr>
            </w:pPr>
            <w:r>
              <w:rPr>
                <w:rFonts w:ascii="Arial" w:cs="Arial" w:eastAsia="Arial" w:hAnsi="Arial"/>
                <w:sz w:val="13"/>
                <w:szCs w:val="13"/>
                <w:color w:val="auto"/>
              </w:rPr>
              <w:t>10,219</w:t>
            </w:r>
          </w:p>
        </w:tc>
        <w:tc>
          <w:tcPr>
            <w:tcW w:w="10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(847,817)</w:t>
            </w:r>
          </w:p>
        </w:tc>
        <w:tc>
          <w:tcPr>
            <w:tcW w:w="1140" w:type="dxa"/>
            <w:vAlign w:val="bottom"/>
          </w:tcPr>
          <w:p>
            <w:pPr>
              <w:jc w:val="right"/>
              <w:ind w:right="196"/>
              <w:spacing w:after="0"/>
              <w:rPr>
                <w:sz w:val="20"/>
                <w:szCs w:val="20"/>
                <w:color w:val="auto"/>
              </w:rPr>
            </w:pPr>
            <w:r>
              <w:rPr>
                <w:rFonts w:ascii="Arial" w:cs="Arial" w:eastAsia="Arial" w:hAnsi="Arial"/>
                <w:sz w:val="13"/>
                <w:szCs w:val="13"/>
                <w:color w:val="auto"/>
              </w:rPr>
              <w:t>(713,268)</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9,927</w:t>
            </w:r>
          </w:p>
        </w:tc>
        <w:tc>
          <w:tcPr>
            <w:tcW w:w="9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(703,341)</w:t>
            </w:r>
          </w:p>
        </w:tc>
      </w:tr>
      <w:tr>
        <w:trPr>
          <w:trHeight w:val="129"/>
        </w:trPr>
        <w:tc>
          <w:tcPr>
            <w:tcW w:w="2120" w:type="dxa"/>
            <w:vAlign w:val="bottom"/>
          </w:tcPr>
          <w:p>
            <w:pPr>
              <w:spacing w:after="0" w:line="129" w:lineRule="exact"/>
              <w:rPr>
                <w:sz w:val="20"/>
                <w:szCs w:val="20"/>
                <w:color w:val="auto"/>
              </w:rPr>
            </w:pPr>
            <w:r>
              <w:rPr>
                <w:rFonts w:ascii="Arial" w:cs="Arial" w:eastAsia="Arial" w:hAnsi="Arial"/>
                <w:sz w:val="13"/>
                <w:szCs w:val="13"/>
                <w:b w:val="1"/>
                <w:bCs w:val="1"/>
                <w:color w:val="auto"/>
              </w:rPr>
              <w:t>Result of the insurance service</w:t>
            </w:r>
          </w:p>
        </w:tc>
        <w:tc>
          <w:tcPr>
            <w:tcW w:w="116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3"/>
                <w:szCs w:val="13"/>
                <w:color w:val="auto"/>
              </w:rPr>
              <w:t>(54,651)</w:t>
            </w:r>
          </w:p>
        </w:tc>
        <w:tc>
          <w:tcPr>
            <w:tcW w:w="100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3"/>
                <w:szCs w:val="13"/>
                <w:color w:val="auto"/>
              </w:rPr>
              <w:t>19,648</w:t>
            </w:r>
          </w:p>
        </w:tc>
        <w:tc>
          <w:tcPr>
            <w:tcW w:w="10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3"/>
                <w:szCs w:val="13"/>
                <w:color w:val="auto"/>
              </w:rPr>
              <w:t>(14,427)</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(49,430)</w:t>
            </w:r>
          </w:p>
        </w:tc>
        <w:tc>
          <w:tcPr>
            <w:tcW w:w="220" w:type="dxa"/>
            <w:vAlign w:val="bottom"/>
          </w:tcPr>
          <w:p>
            <w:pPr>
              <w:spacing w:after="0"/>
              <w:rPr>
                <w:sz w:val="11"/>
                <w:szCs w:val="11"/>
                <w:color w:val="auto"/>
              </w:rPr>
            </w:pPr>
          </w:p>
        </w:tc>
        <w:tc>
          <w:tcPr>
            <w:tcW w:w="114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3"/>
                <w:szCs w:val="13"/>
                <w:color w:val="auto"/>
              </w:rPr>
              <w:t>(14,395)</w:t>
            </w:r>
          </w:p>
        </w:tc>
        <w:tc>
          <w:tcPr>
            <w:tcW w:w="96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3"/>
                <w:szCs w:val="13"/>
                <w:color w:val="auto"/>
              </w:rPr>
              <w:t>3,276</w:t>
            </w:r>
          </w:p>
        </w:tc>
        <w:tc>
          <w:tcPr>
            <w:tcW w:w="98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3"/>
                <w:szCs w:val="13"/>
                <w:color w:val="auto"/>
              </w:rPr>
              <w:t>7,386</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(3,733)</w:t>
            </w:r>
          </w:p>
        </w:tc>
        <w:tc>
          <w:tcPr>
            <w:tcW w:w="40" w:type="dxa"/>
            <w:vAlign w:val="bottom"/>
            <w:gridSpan w:val="2"/>
          </w:tcPr>
          <w:p>
            <w:pPr>
              <w:spacing w:after="0"/>
              <w:rPr>
                <w:sz w:val="11"/>
                <w:szCs w:val="11"/>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Net financial expenses for</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2120" w:type="dxa"/>
            <w:vAlign w:val="bottom"/>
          </w:tcPr>
          <w:p>
            <w:pPr>
              <w:spacing w:after="0"/>
              <w:rPr>
                <w:sz w:val="20"/>
                <w:szCs w:val="20"/>
                <w:color w:val="auto"/>
              </w:rPr>
            </w:pPr>
            <w:r>
              <w:rPr>
                <w:rFonts w:ascii="Arial" w:cs="Arial" w:eastAsia="Arial" w:hAnsi="Arial"/>
                <w:sz w:val="13"/>
                <w:szCs w:val="13"/>
                <w:color w:val="auto"/>
              </w:rPr>
              <w:t>insurance contracts</w:t>
            </w:r>
          </w:p>
        </w:tc>
        <w:tc>
          <w:tcPr>
            <w:tcW w:w="1160" w:type="dxa"/>
            <w:vAlign w:val="bottom"/>
          </w:tcPr>
          <w:p>
            <w:pPr>
              <w:jc w:val="right"/>
              <w:ind w:right="256"/>
              <w:spacing w:after="0"/>
              <w:rPr>
                <w:sz w:val="20"/>
                <w:szCs w:val="20"/>
                <w:color w:val="auto"/>
              </w:rPr>
            </w:pPr>
            <w:r>
              <w:rPr>
                <w:rFonts w:ascii="Arial" w:cs="Arial" w:eastAsia="Arial" w:hAnsi="Arial"/>
                <w:sz w:val="13"/>
                <w:szCs w:val="13"/>
                <w:color w:val="auto"/>
              </w:rPr>
              <w:t>1,048,399</w:t>
            </w:r>
          </w:p>
        </w:tc>
        <w:tc>
          <w:tcPr>
            <w:tcW w:w="1000" w:type="dxa"/>
            <w:vAlign w:val="bottom"/>
          </w:tcPr>
          <w:p>
            <w:pPr>
              <w:jc w:val="right"/>
              <w:ind w:right="196"/>
              <w:spacing w:after="0"/>
              <w:rPr>
                <w:sz w:val="20"/>
                <w:szCs w:val="20"/>
                <w:color w:val="auto"/>
              </w:rPr>
            </w:pPr>
            <w:r>
              <w:rPr>
                <w:rFonts w:ascii="Arial" w:cs="Arial" w:eastAsia="Arial" w:hAnsi="Arial"/>
                <w:sz w:val="13"/>
                <w:szCs w:val="13"/>
                <w:color w:val="auto"/>
              </w:rPr>
              <w:t>4,032</w:t>
            </w:r>
          </w:p>
        </w:tc>
        <w:tc>
          <w:tcPr>
            <w:tcW w:w="1000" w:type="dxa"/>
            <w:vAlign w:val="bottom"/>
          </w:tcPr>
          <w:p>
            <w:pPr>
              <w:jc w:val="right"/>
              <w:ind w:right="156"/>
              <w:spacing w:after="0"/>
              <w:rPr>
                <w:sz w:val="20"/>
                <w:szCs w:val="20"/>
                <w:color w:val="auto"/>
              </w:rPr>
            </w:pPr>
            <w:r>
              <w:rPr>
                <w:rFonts w:ascii="Arial" w:cs="Arial" w:eastAsia="Arial" w:hAnsi="Arial"/>
                <w:sz w:val="13"/>
                <w:szCs w:val="13"/>
                <w:color w:val="auto"/>
              </w:rPr>
              <w:t>48,449</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1,100,880</w:t>
            </w:r>
          </w:p>
        </w:tc>
        <w:tc>
          <w:tcPr>
            <w:tcW w:w="1140" w:type="dxa"/>
            <w:vAlign w:val="bottom"/>
          </w:tcPr>
          <w:p>
            <w:pPr>
              <w:jc w:val="right"/>
              <w:ind w:right="236"/>
              <w:spacing w:after="0"/>
              <w:rPr>
                <w:sz w:val="20"/>
                <w:szCs w:val="20"/>
                <w:color w:val="auto"/>
              </w:rPr>
            </w:pPr>
            <w:r>
              <w:rPr>
                <w:rFonts w:ascii="Arial" w:cs="Arial" w:eastAsia="Arial" w:hAnsi="Arial"/>
                <w:sz w:val="13"/>
                <w:szCs w:val="13"/>
                <w:color w:val="auto"/>
              </w:rPr>
              <w:t>564,473</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3,896</w:t>
            </w:r>
          </w:p>
        </w:tc>
        <w:tc>
          <w:tcPr>
            <w:tcW w:w="980" w:type="dxa"/>
            <w:vAlign w:val="bottom"/>
          </w:tcPr>
          <w:p>
            <w:pPr>
              <w:jc w:val="right"/>
              <w:ind w:right="156"/>
              <w:spacing w:after="0"/>
              <w:rPr>
                <w:sz w:val="20"/>
                <w:szCs w:val="20"/>
                <w:color w:val="auto"/>
              </w:rPr>
            </w:pPr>
            <w:r>
              <w:rPr>
                <w:rFonts w:ascii="Arial" w:cs="Arial" w:eastAsia="Arial" w:hAnsi="Arial"/>
                <w:sz w:val="13"/>
                <w:szCs w:val="13"/>
                <w:color w:val="auto"/>
              </w:rPr>
              <w:t>45,118</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613,487</w:t>
            </w:r>
          </w:p>
        </w:tc>
        <w:tc>
          <w:tcPr>
            <w:tcW w:w="20" w:type="dxa"/>
            <w:vAlign w:val="bottom"/>
          </w:tcPr>
          <w:p>
            <w:pPr>
              <w:spacing w:after="0"/>
              <w:rPr>
                <w:sz w:val="14"/>
                <w:szCs w:val="14"/>
                <w:color w:val="auto"/>
              </w:rPr>
            </w:pPr>
          </w:p>
        </w:tc>
      </w:tr>
      <w:tr>
        <w:trPr>
          <w:trHeight w:val="117"/>
        </w:trPr>
        <w:tc>
          <w:tcPr>
            <w:tcW w:w="2120" w:type="dxa"/>
            <w:vAlign w:val="bottom"/>
          </w:tcPr>
          <w:p>
            <w:pPr>
              <w:spacing w:after="0" w:line="117" w:lineRule="exact"/>
              <w:rPr>
                <w:sz w:val="20"/>
                <w:szCs w:val="20"/>
                <w:color w:val="auto"/>
              </w:rPr>
            </w:pPr>
            <w:r>
              <w:rPr>
                <w:rFonts w:ascii="Arial" w:cs="Arial" w:eastAsia="Arial" w:hAnsi="Arial"/>
                <w:sz w:val="13"/>
                <w:szCs w:val="13"/>
                <w:b w:val="1"/>
                <w:bCs w:val="1"/>
                <w:color w:val="auto"/>
              </w:rPr>
              <w:t>Total changes in the</w:t>
            </w:r>
          </w:p>
        </w:tc>
        <w:tc>
          <w:tcPr>
            <w:tcW w:w="1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b w:val="1"/>
                <w:bCs w:val="1"/>
                <w:color w:val="auto"/>
              </w:rPr>
              <w:t>consolidated income statement</w:t>
            </w:r>
          </w:p>
        </w:tc>
        <w:tc>
          <w:tcPr>
            <w:tcW w:w="1160" w:type="dxa"/>
            <w:vAlign w:val="bottom"/>
          </w:tcPr>
          <w:p>
            <w:pPr>
              <w:jc w:val="right"/>
              <w:ind w:right="256"/>
              <w:spacing w:after="0" w:line="145" w:lineRule="exact"/>
              <w:rPr>
                <w:sz w:val="20"/>
                <w:szCs w:val="20"/>
                <w:color w:val="auto"/>
              </w:rPr>
            </w:pPr>
            <w:r>
              <w:rPr>
                <w:rFonts w:ascii="Arial" w:cs="Arial" w:eastAsia="Arial" w:hAnsi="Arial"/>
                <w:sz w:val="13"/>
                <w:szCs w:val="13"/>
                <w:color w:val="auto"/>
              </w:rPr>
              <w:t>993,748</w:t>
            </w:r>
          </w:p>
        </w:tc>
        <w:tc>
          <w:tcPr>
            <w:tcW w:w="100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23,680</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34,022</w:t>
            </w:r>
          </w:p>
        </w:tc>
        <w:tc>
          <w:tcPr>
            <w:tcW w:w="104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1,051,450</w:t>
            </w:r>
          </w:p>
        </w:tc>
        <w:tc>
          <w:tcPr>
            <w:tcW w:w="1140" w:type="dxa"/>
            <w:vAlign w:val="bottom"/>
          </w:tcPr>
          <w:p>
            <w:pPr>
              <w:jc w:val="right"/>
              <w:ind w:right="236"/>
              <w:spacing w:after="0" w:line="145" w:lineRule="exact"/>
              <w:rPr>
                <w:sz w:val="20"/>
                <w:szCs w:val="20"/>
                <w:color w:val="auto"/>
              </w:rPr>
            </w:pPr>
            <w:r>
              <w:rPr>
                <w:rFonts w:ascii="Arial" w:cs="Arial" w:eastAsia="Arial" w:hAnsi="Arial"/>
                <w:sz w:val="13"/>
                <w:szCs w:val="13"/>
                <w:color w:val="auto"/>
              </w:rPr>
              <w:t>550,078</w:t>
            </w:r>
          </w:p>
        </w:tc>
        <w:tc>
          <w:tcPr>
            <w:tcW w:w="960" w:type="dxa"/>
            <w:vAlign w:val="bottom"/>
          </w:tcPr>
          <w:p>
            <w:pPr>
              <w:jc w:val="right"/>
              <w:ind w:right="176"/>
              <w:spacing w:after="0" w:line="145" w:lineRule="exact"/>
              <w:rPr>
                <w:sz w:val="20"/>
                <w:szCs w:val="20"/>
                <w:color w:val="auto"/>
              </w:rPr>
            </w:pPr>
            <w:r>
              <w:rPr>
                <w:rFonts w:ascii="Arial" w:cs="Arial" w:eastAsia="Arial" w:hAnsi="Arial"/>
                <w:sz w:val="13"/>
                <w:szCs w:val="13"/>
                <w:color w:val="auto"/>
              </w:rPr>
              <w:t>7,172</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52,504</w:t>
            </w:r>
          </w:p>
        </w:tc>
        <w:tc>
          <w:tcPr>
            <w:tcW w:w="8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609,754</w:t>
            </w: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Other changes</w:t>
            </w:r>
          </w:p>
        </w:tc>
        <w:tc>
          <w:tcPr>
            <w:tcW w:w="1160" w:type="dxa"/>
            <w:vAlign w:val="bottom"/>
          </w:tcPr>
          <w:p>
            <w:pPr>
              <w:jc w:val="right"/>
              <w:ind w:right="216"/>
              <w:spacing w:after="0" w:line="145" w:lineRule="exact"/>
              <w:rPr>
                <w:sz w:val="20"/>
                <w:szCs w:val="20"/>
                <w:color w:val="auto"/>
              </w:rPr>
            </w:pPr>
            <w:r>
              <w:rPr>
                <w:rFonts w:ascii="Arial" w:cs="Arial" w:eastAsia="Arial" w:hAnsi="Arial"/>
                <w:sz w:val="13"/>
                <w:szCs w:val="13"/>
                <w:color w:val="auto"/>
              </w:rPr>
              <w:t>(470,998)</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(12,040)</w:t>
            </w:r>
          </w:p>
        </w:tc>
        <w:tc>
          <w:tcPr>
            <w:tcW w:w="1000" w:type="dxa"/>
            <w:vAlign w:val="bottom"/>
          </w:tcPr>
          <w:p>
            <w:pPr>
              <w:jc w:val="right"/>
              <w:ind w:right="116"/>
              <w:spacing w:after="0" w:line="145" w:lineRule="exact"/>
              <w:rPr>
                <w:sz w:val="20"/>
                <w:szCs w:val="20"/>
                <w:color w:val="auto"/>
              </w:rPr>
            </w:pPr>
            <w:r>
              <w:rPr>
                <w:rFonts w:ascii="Arial" w:cs="Arial" w:eastAsia="Arial" w:hAnsi="Arial"/>
                <w:sz w:val="13"/>
                <w:szCs w:val="13"/>
                <w:color w:val="auto"/>
              </w:rPr>
              <w:t>(80,955)</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(563,993)</w:t>
            </w:r>
          </w:p>
        </w:tc>
        <w:tc>
          <w:tcPr>
            <w:tcW w:w="1140" w:type="dxa"/>
            <w:vAlign w:val="bottom"/>
          </w:tcPr>
          <w:p>
            <w:pPr>
              <w:jc w:val="right"/>
              <w:ind w:right="236"/>
              <w:spacing w:after="0" w:line="145" w:lineRule="exact"/>
              <w:rPr>
                <w:sz w:val="20"/>
                <w:szCs w:val="20"/>
                <w:color w:val="auto"/>
              </w:rPr>
            </w:pPr>
            <w:r>
              <w:rPr>
                <w:rFonts w:ascii="Arial" w:cs="Arial" w:eastAsia="Arial" w:hAnsi="Arial"/>
                <w:sz w:val="13"/>
                <w:szCs w:val="13"/>
                <w:color w:val="auto"/>
              </w:rPr>
              <w:t>51,293</w:t>
            </w:r>
          </w:p>
        </w:tc>
        <w:tc>
          <w:tcPr>
            <w:tcW w:w="960" w:type="dxa"/>
            <w:vAlign w:val="bottom"/>
          </w:tcPr>
          <w:p>
            <w:pPr>
              <w:jc w:val="right"/>
              <w:ind w:right="176"/>
              <w:spacing w:after="0" w:line="145" w:lineRule="exact"/>
              <w:rPr>
                <w:sz w:val="20"/>
                <w:szCs w:val="20"/>
                <w:color w:val="auto"/>
              </w:rPr>
            </w:pPr>
            <w:r>
              <w:rPr>
                <w:rFonts w:ascii="Arial" w:cs="Arial" w:eastAsia="Arial" w:hAnsi="Arial"/>
                <w:sz w:val="13"/>
                <w:szCs w:val="13"/>
                <w:color w:val="auto"/>
              </w:rPr>
              <w:t>1,414</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3,306</w:t>
            </w:r>
          </w:p>
        </w:tc>
        <w:tc>
          <w:tcPr>
            <w:tcW w:w="84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56,013</w:t>
            </w: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Cash flow:</w:t>
            </w: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Premiums collected</w:t>
            </w:r>
          </w:p>
        </w:tc>
        <w:tc>
          <w:tcPr>
            <w:tcW w:w="1160" w:type="dxa"/>
            <w:vAlign w:val="bottom"/>
          </w:tcPr>
          <w:p>
            <w:pPr>
              <w:jc w:val="right"/>
              <w:ind w:right="256"/>
              <w:spacing w:after="0" w:line="145" w:lineRule="exact"/>
              <w:rPr>
                <w:sz w:val="20"/>
                <w:szCs w:val="20"/>
                <w:color w:val="auto"/>
              </w:rPr>
            </w:pPr>
            <w:r>
              <w:rPr>
                <w:rFonts w:ascii="Arial" w:cs="Arial" w:eastAsia="Arial" w:hAnsi="Arial"/>
                <w:sz w:val="13"/>
                <w:szCs w:val="13"/>
                <w:color w:val="auto"/>
              </w:rPr>
              <w:t>1,886,374</w:t>
            </w:r>
          </w:p>
        </w:tc>
        <w:tc>
          <w:tcPr>
            <w:tcW w:w="100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1,886,374</w:t>
            </w:r>
          </w:p>
        </w:tc>
        <w:tc>
          <w:tcPr>
            <w:tcW w:w="1140" w:type="dxa"/>
            <w:vAlign w:val="bottom"/>
          </w:tcPr>
          <w:p>
            <w:pPr>
              <w:jc w:val="right"/>
              <w:ind w:right="236"/>
              <w:spacing w:after="0" w:line="145" w:lineRule="exact"/>
              <w:rPr>
                <w:sz w:val="20"/>
                <w:szCs w:val="20"/>
                <w:color w:val="auto"/>
              </w:rPr>
            </w:pPr>
            <w:r>
              <w:rPr>
                <w:rFonts w:ascii="Arial" w:cs="Arial" w:eastAsia="Arial" w:hAnsi="Arial"/>
                <w:sz w:val="13"/>
                <w:szCs w:val="13"/>
                <w:color w:val="auto"/>
              </w:rPr>
              <w:t>1,500,797</w:t>
            </w:r>
          </w:p>
        </w:tc>
        <w:tc>
          <w:tcPr>
            <w:tcW w:w="960" w:type="dxa"/>
            <w:vAlign w:val="bottom"/>
          </w:tcPr>
          <w:p>
            <w:pPr>
              <w:jc w:val="right"/>
              <w:ind w:right="176"/>
              <w:spacing w:after="0" w:line="14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1,500,797</w:t>
            </w:r>
          </w:p>
        </w:tc>
        <w:tc>
          <w:tcPr>
            <w:tcW w:w="20" w:type="dxa"/>
            <w:vAlign w:val="bottom"/>
          </w:tcPr>
          <w:p>
            <w:pPr>
              <w:spacing w:after="0"/>
              <w:rPr>
                <w:sz w:val="12"/>
                <w:szCs w:val="12"/>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Benefits and expenses paid</w:t>
            </w:r>
          </w:p>
        </w:tc>
        <w:tc>
          <w:tcPr>
            <w:tcW w:w="1160" w:type="dxa"/>
            <w:vAlign w:val="bottom"/>
          </w:tcPr>
          <w:p>
            <w:pPr>
              <w:jc w:val="right"/>
              <w:ind w:right="216"/>
              <w:spacing w:after="0" w:line="145" w:lineRule="exact"/>
              <w:rPr>
                <w:sz w:val="20"/>
                <w:szCs w:val="20"/>
                <w:color w:val="auto"/>
              </w:rPr>
            </w:pPr>
            <w:r>
              <w:rPr>
                <w:rFonts w:ascii="Arial" w:cs="Arial" w:eastAsia="Arial" w:hAnsi="Arial"/>
                <w:sz w:val="13"/>
                <w:szCs w:val="13"/>
                <w:color w:val="auto"/>
              </w:rPr>
              <w:t>(1,190,631)</w:t>
            </w:r>
          </w:p>
        </w:tc>
        <w:tc>
          <w:tcPr>
            <w:tcW w:w="100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(1,190,631)</w:t>
            </w:r>
          </w:p>
        </w:tc>
        <w:tc>
          <w:tcPr>
            <w:tcW w:w="114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(1,077,186)</w:t>
            </w:r>
          </w:p>
        </w:tc>
        <w:tc>
          <w:tcPr>
            <w:tcW w:w="960" w:type="dxa"/>
            <w:vAlign w:val="bottom"/>
          </w:tcPr>
          <w:p>
            <w:pPr>
              <w:jc w:val="right"/>
              <w:ind w:right="176"/>
              <w:spacing w:after="0" w:line="14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(1,077,186)</w:t>
            </w:r>
          </w:p>
        </w:tc>
      </w:tr>
      <w:tr>
        <w:trPr>
          <w:trHeight w:val="165"/>
        </w:trPr>
        <w:tc>
          <w:tcPr>
            <w:tcW w:w="2120" w:type="dxa"/>
            <w:vAlign w:val="bottom"/>
          </w:tcPr>
          <w:p>
            <w:pPr>
              <w:spacing w:after="0"/>
              <w:rPr>
                <w:sz w:val="20"/>
                <w:szCs w:val="20"/>
                <w:color w:val="auto"/>
              </w:rPr>
            </w:pPr>
            <w:r>
              <w:rPr>
                <w:rFonts w:ascii="Arial" w:cs="Arial" w:eastAsia="Arial" w:hAnsi="Arial"/>
                <w:sz w:val="13"/>
                <w:szCs w:val="13"/>
                <w:color w:val="auto"/>
              </w:rPr>
              <w:t>Acquisition fees paid</w:t>
            </w:r>
          </w:p>
        </w:tc>
        <w:tc>
          <w:tcPr>
            <w:tcW w:w="1160" w:type="dxa"/>
            <w:vAlign w:val="bottom"/>
          </w:tcPr>
          <w:p>
            <w:pPr>
              <w:jc w:val="right"/>
              <w:ind w:right="216"/>
              <w:spacing w:after="0"/>
              <w:rPr>
                <w:sz w:val="20"/>
                <w:szCs w:val="20"/>
                <w:color w:val="auto"/>
              </w:rPr>
            </w:pPr>
            <w:r>
              <w:rPr>
                <w:rFonts w:ascii="Arial" w:cs="Arial" w:eastAsia="Arial" w:hAnsi="Arial"/>
                <w:sz w:val="13"/>
                <w:szCs w:val="13"/>
                <w:color w:val="auto"/>
              </w:rPr>
              <w:t>(101,310)</w:t>
            </w:r>
          </w:p>
        </w:tc>
        <w:tc>
          <w:tcPr>
            <w:tcW w:w="10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(101,310)</w:t>
            </w:r>
          </w:p>
        </w:tc>
        <w:tc>
          <w:tcPr>
            <w:tcW w:w="1140" w:type="dxa"/>
            <w:vAlign w:val="bottom"/>
          </w:tcPr>
          <w:p>
            <w:pPr>
              <w:jc w:val="right"/>
              <w:ind w:right="196"/>
              <w:spacing w:after="0"/>
              <w:rPr>
                <w:sz w:val="20"/>
                <w:szCs w:val="20"/>
                <w:color w:val="auto"/>
              </w:rPr>
            </w:pPr>
            <w:r>
              <w:rPr>
                <w:rFonts w:ascii="Arial" w:cs="Arial" w:eastAsia="Arial" w:hAnsi="Arial"/>
                <w:sz w:val="13"/>
                <w:szCs w:val="13"/>
                <w:color w:val="auto"/>
              </w:rPr>
              <w:t>(80,588)</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(80,588)</w:t>
            </w:r>
          </w:p>
        </w:tc>
      </w:tr>
      <w:tr>
        <w:trPr>
          <w:trHeight w:val="137"/>
        </w:trPr>
        <w:tc>
          <w:tcPr>
            <w:tcW w:w="2120" w:type="dxa"/>
            <w:vAlign w:val="bottom"/>
          </w:tcPr>
          <w:p>
            <w:pPr>
              <w:spacing w:after="0" w:line="137" w:lineRule="exact"/>
              <w:rPr>
                <w:sz w:val="20"/>
                <w:szCs w:val="20"/>
                <w:color w:val="auto"/>
              </w:rPr>
            </w:pPr>
            <w:r>
              <w:rPr>
                <w:rFonts w:ascii="Arial" w:cs="Arial" w:eastAsia="Arial" w:hAnsi="Arial"/>
                <w:sz w:val="13"/>
                <w:szCs w:val="13"/>
                <w:b w:val="1"/>
                <w:bCs w:val="1"/>
                <w:color w:val="auto"/>
              </w:rPr>
              <w:t>Net cash flow</w:t>
            </w:r>
          </w:p>
        </w:tc>
        <w:tc>
          <w:tcPr>
            <w:tcW w:w="1160" w:type="dxa"/>
            <w:vAlign w:val="bottom"/>
            <w:tcBorders>
              <w:top w:val="single" w:sz="8" w:color="auto"/>
              <w:bottom w:val="single" w:sz="8" w:color="auto"/>
            </w:tcBorders>
          </w:tcPr>
          <w:p>
            <w:pPr>
              <w:jc w:val="right"/>
              <w:ind w:right="256"/>
              <w:spacing w:after="0" w:line="137" w:lineRule="exact"/>
              <w:rPr>
                <w:sz w:val="20"/>
                <w:szCs w:val="20"/>
                <w:color w:val="auto"/>
              </w:rPr>
            </w:pPr>
            <w:r>
              <w:rPr>
                <w:rFonts w:ascii="Arial" w:cs="Arial" w:eastAsia="Arial" w:hAnsi="Arial"/>
                <w:sz w:val="13"/>
                <w:szCs w:val="13"/>
                <w:color w:val="auto"/>
              </w:rPr>
              <w:t>594,433</w:t>
            </w:r>
          </w:p>
        </w:tc>
        <w:tc>
          <w:tcPr>
            <w:tcW w:w="1000" w:type="dxa"/>
            <w:vAlign w:val="bottom"/>
            <w:tcBorders>
              <w:top w:val="single" w:sz="8" w:color="auto"/>
              <w:bottom w:val="single" w:sz="8" w:color="auto"/>
            </w:tcBorders>
          </w:tcPr>
          <w:p>
            <w:pPr>
              <w:jc w:val="right"/>
              <w:ind w:right="196"/>
              <w:spacing w:after="0" w:line="137"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156"/>
              <w:spacing w:after="0" w:line="137"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594,433</w:t>
            </w:r>
          </w:p>
        </w:tc>
        <w:tc>
          <w:tcPr>
            <w:tcW w:w="22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236"/>
              <w:spacing w:after="0" w:line="137" w:lineRule="exact"/>
              <w:rPr>
                <w:sz w:val="20"/>
                <w:szCs w:val="20"/>
                <w:color w:val="auto"/>
              </w:rPr>
            </w:pPr>
            <w:r>
              <w:rPr>
                <w:rFonts w:ascii="Arial" w:cs="Arial" w:eastAsia="Arial" w:hAnsi="Arial"/>
                <w:sz w:val="13"/>
                <w:szCs w:val="13"/>
                <w:color w:val="auto"/>
              </w:rPr>
              <w:t>343,023</w:t>
            </w:r>
          </w:p>
        </w:tc>
        <w:tc>
          <w:tcPr>
            <w:tcW w:w="96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156"/>
              <w:spacing w:after="0" w:line="137"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343,023</w:t>
            </w:r>
          </w:p>
        </w:tc>
        <w:tc>
          <w:tcPr>
            <w:tcW w:w="20" w:type="dxa"/>
            <w:vAlign w:val="bottom"/>
          </w:tcPr>
          <w:p>
            <w:pPr>
              <w:spacing w:after="0"/>
              <w:rPr>
                <w:sz w:val="11"/>
                <w:szCs w:val="11"/>
                <w:color w:val="auto"/>
              </w:rPr>
            </w:pPr>
          </w:p>
        </w:tc>
      </w:tr>
      <w:tr>
        <w:trPr>
          <w:trHeight w:val="141"/>
        </w:trPr>
        <w:tc>
          <w:tcPr>
            <w:tcW w:w="2120" w:type="dxa"/>
            <w:vAlign w:val="bottom"/>
          </w:tcPr>
          <w:p>
            <w:pPr>
              <w:spacing w:after="0" w:line="137" w:lineRule="exact"/>
              <w:rPr>
                <w:sz w:val="20"/>
                <w:szCs w:val="20"/>
                <w:color w:val="auto"/>
              </w:rPr>
            </w:pPr>
            <w:r>
              <w:rPr>
                <w:rFonts w:ascii="Arial" w:cs="Arial" w:eastAsia="Arial" w:hAnsi="Arial"/>
                <w:sz w:val="13"/>
                <w:szCs w:val="13"/>
                <w:b w:val="1"/>
                <w:bCs w:val="1"/>
                <w:color w:val="auto"/>
              </w:rPr>
              <w:t>Balances at the end of the period</w:t>
            </w:r>
          </w:p>
        </w:tc>
        <w:tc>
          <w:tcPr>
            <w:tcW w:w="1160" w:type="dxa"/>
            <w:vAlign w:val="bottom"/>
            <w:tcBorders>
              <w:bottom w:val="single" w:sz="8" w:color="auto"/>
            </w:tcBorders>
          </w:tcPr>
          <w:p>
            <w:pPr>
              <w:jc w:val="right"/>
              <w:ind w:right="256"/>
              <w:spacing w:after="0" w:line="137" w:lineRule="exact"/>
              <w:rPr>
                <w:sz w:val="20"/>
                <w:szCs w:val="20"/>
                <w:color w:val="auto"/>
              </w:rPr>
            </w:pPr>
            <w:r>
              <w:rPr>
                <w:rFonts w:ascii="Arial" w:cs="Arial" w:eastAsia="Arial" w:hAnsi="Arial"/>
                <w:sz w:val="13"/>
                <w:szCs w:val="13"/>
                <w:color w:val="auto"/>
              </w:rPr>
              <w:t>10,282,144</w:t>
            </w:r>
          </w:p>
        </w:tc>
        <w:tc>
          <w:tcPr>
            <w:tcW w:w="1000" w:type="dxa"/>
            <w:vAlign w:val="bottom"/>
            <w:tcBorders>
              <w:bottom w:val="single" w:sz="8" w:color="auto"/>
            </w:tcBorders>
          </w:tcPr>
          <w:p>
            <w:pPr>
              <w:jc w:val="right"/>
              <w:ind w:right="196"/>
              <w:spacing w:after="0" w:line="137" w:lineRule="exact"/>
              <w:rPr>
                <w:sz w:val="20"/>
                <w:szCs w:val="20"/>
                <w:color w:val="auto"/>
              </w:rPr>
            </w:pPr>
            <w:r>
              <w:rPr>
                <w:rFonts w:ascii="Arial" w:cs="Arial" w:eastAsia="Arial" w:hAnsi="Arial"/>
                <w:sz w:val="13"/>
                <w:szCs w:val="13"/>
                <w:color w:val="auto"/>
              </w:rPr>
              <w:t>164,433</w:t>
            </w:r>
          </w:p>
        </w:tc>
        <w:tc>
          <w:tcPr>
            <w:tcW w:w="1000" w:type="dxa"/>
            <w:vAlign w:val="bottom"/>
            <w:tcBorders>
              <w:bottom w:val="single" w:sz="8" w:color="auto"/>
            </w:tcBorders>
          </w:tcPr>
          <w:p>
            <w:pPr>
              <w:jc w:val="right"/>
              <w:ind w:right="156"/>
              <w:spacing w:after="0" w:line="137" w:lineRule="exact"/>
              <w:rPr>
                <w:sz w:val="20"/>
                <w:szCs w:val="20"/>
                <w:color w:val="auto"/>
              </w:rPr>
            </w:pPr>
            <w:r>
              <w:rPr>
                <w:rFonts w:ascii="Arial" w:cs="Arial" w:eastAsia="Arial" w:hAnsi="Arial"/>
                <w:sz w:val="13"/>
                <w:szCs w:val="13"/>
                <w:color w:val="auto"/>
              </w:rPr>
              <w:t>1,211,117</w:t>
            </w:r>
          </w:p>
        </w:tc>
        <w:tc>
          <w:tcPr>
            <w:tcW w:w="8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11,657,694</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236"/>
              <w:spacing w:after="0" w:line="137" w:lineRule="exact"/>
              <w:rPr>
                <w:sz w:val="20"/>
                <w:szCs w:val="20"/>
                <w:color w:val="auto"/>
              </w:rPr>
            </w:pPr>
            <w:r>
              <w:rPr>
                <w:rFonts w:ascii="Arial" w:cs="Arial" w:eastAsia="Arial" w:hAnsi="Arial"/>
                <w:sz w:val="13"/>
                <w:szCs w:val="13"/>
                <w:color w:val="auto"/>
              </w:rPr>
              <w:t>9,164,961</w:t>
            </w:r>
          </w:p>
        </w:tc>
        <w:tc>
          <w:tcPr>
            <w:tcW w:w="960" w:type="dxa"/>
            <w:vAlign w:val="bottom"/>
            <w:tcBorders>
              <w:bottom w:val="single" w:sz="8" w:color="auto"/>
            </w:tcBorders>
          </w:tcPr>
          <w:p>
            <w:pPr>
              <w:jc w:val="right"/>
              <w:ind w:right="176"/>
              <w:spacing w:after="0" w:line="137" w:lineRule="exact"/>
              <w:rPr>
                <w:sz w:val="20"/>
                <w:szCs w:val="20"/>
                <w:color w:val="auto"/>
              </w:rPr>
            </w:pPr>
            <w:r>
              <w:rPr>
                <w:rFonts w:ascii="Arial" w:cs="Arial" w:eastAsia="Arial" w:hAnsi="Arial"/>
                <w:sz w:val="13"/>
                <w:szCs w:val="13"/>
                <w:color w:val="auto"/>
              </w:rPr>
              <w:t>152,793</w:t>
            </w:r>
          </w:p>
        </w:tc>
        <w:tc>
          <w:tcPr>
            <w:tcW w:w="980" w:type="dxa"/>
            <w:vAlign w:val="bottom"/>
            <w:tcBorders>
              <w:bottom w:val="single" w:sz="8" w:color="auto"/>
            </w:tcBorders>
          </w:tcPr>
          <w:p>
            <w:pPr>
              <w:jc w:val="right"/>
              <w:ind w:right="156"/>
              <w:spacing w:after="0" w:line="137" w:lineRule="exact"/>
              <w:rPr>
                <w:sz w:val="20"/>
                <w:szCs w:val="20"/>
                <w:color w:val="auto"/>
              </w:rPr>
            </w:pPr>
            <w:r>
              <w:rPr>
                <w:rFonts w:ascii="Arial" w:cs="Arial" w:eastAsia="Arial" w:hAnsi="Arial"/>
                <w:sz w:val="13"/>
                <w:szCs w:val="13"/>
                <w:color w:val="auto"/>
              </w:rPr>
              <w:t>1,258,050</w:t>
            </w:r>
          </w:p>
        </w:tc>
        <w:tc>
          <w:tcPr>
            <w:tcW w:w="820" w:type="dxa"/>
            <w:vAlign w:val="bottom"/>
            <w:tcBorders>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10,575,804</w:t>
            </w:r>
          </w:p>
        </w:tc>
        <w:tc>
          <w:tcPr>
            <w:tcW w:w="20" w:type="dxa"/>
            <w:vAlign w:val="bottom"/>
          </w:tcPr>
          <w:p>
            <w:pPr>
              <w:spacing w:after="0"/>
              <w:rPr>
                <w:sz w:val="12"/>
                <w:szCs w:val="12"/>
                <w:color w:val="auto"/>
              </w:rPr>
            </w:pPr>
          </w:p>
        </w:tc>
      </w:tr>
    </w:tbl>
    <w:p>
      <w:pPr>
        <w:spacing w:after="0" w:line="164" w:lineRule="exact"/>
        <w:rPr>
          <w:sz w:val="20"/>
          <w:szCs w:val="20"/>
          <w:color w:val="auto"/>
        </w:rPr>
      </w:pPr>
    </w:p>
    <w:p>
      <w:pPr>
        <w:ind w:left="280" w:right="160"/>
        <w:spacing w:after="0" w:line="274" w:lineRule="auto"/>
        <w:rPr>
          <w:sz w:val="20"/>
          <w:szCs w:val="20"/>
          <w:color w:val="auto"/>
        </w:rPr>
      </w:pPr>
      <w:r>
        <w:rPr>
          <w:rFonts w:ascii="Arial" w:cs="Arial" w:eastAsia="Arial" w:hAnsi="Arial"/>
          <w:sz w:val="16"/>
          <w:szCs w:val="16"/>
          <w:color w:val="auto"/>
        </w:rPr>
        <w:t>As of December 31, 2025, the insurance contract liabilities measured under the general model is S/10,507.1 million (as of December 31, 2024, S/9,536.8 million) and the variable fee approach (VFA) is S/1,150.6 million (as of December, 2024, S/1,039.0 million).</w:t>
      </w:r>
    </w:p>
    <w:p>
      <w:pPr>
        <w:spacing w:after="0" w:line="123" w:lineRule="exact"/>
        <w:rPr>
          <w:sz w:val="20"/>
          <w:szCs w:val="20"/>
          <w:color w:val="auto"/>
        </w:rPr>
      </w:pPr>
    </w:p>
    <w:p>
      <w:pPr>
        <w:ind w:left="280" w:right="60"/>
        <w:spacing w:after="0" w:line="274" w:lineRule="auto"/>
        <w:rPr>
          <w:sz w:val="20"/>
          <w:szCs w:val="20"/>
          <w:color w:val="auto"/>
        </w:rPr>
      </w:pPr>
      <w:r>
        <w:rPr>
          <w:rFonts w:ascii="Arial" w:cs="Arial" w:eastAsia="Arial" w:hAnsi="Arial"/>
          <w:sz w:val="16"/>
          <w:szCs w:val="16"/>
          <w:color w:val="auto"/>
        </w:rPr>
        <w:t>As of December 31, 2025, the contractual service margin of insurance contracts that existed at the transition date to which the entity has applied the fair value approach totals approximately S/645.6 million, see Note 22(f).</w:t>
      </w:r>
    </w:p>
    <w:p>
      <w:pPr>
        <w:spacing w:after="0" w:line="29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580"/>
          </w:cols>
          <w:pgMar w:left="900" w:top="316" w:right="419" w:bottom="1440" w:gutter="0" w:footer="0" w:header="0"/>
        </w:sectPr>
      </w:pPr>
    </w:p>
    <w:bookmarkStart w:id="84" w:name="page85"/>
    <w:bookmarkEnd w:id="84"/>
    <w:p>
      <w:pPr>
        <w:ind w:left="583" w:hanging="583"/>
        <w:spacing w:after="0"/>
        <w:tabs>
          <w:tab w:leader="none" w:pos="583"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PROPERTY, FURNITURE AND EQUIPMENT, NET</w:t>
      </w:r>
    </w:p>
    <w:p>
      <w:pPr>
        <w:spacing w:after="0" w:line="178" w:lineRule="exact"/>
        <w:rPr>
          <w:sz w:val="20"/>
          <w:szCs w:val="20"/>
          <w:color w:val="auto"/>
        </w:rPr>
      </w:pPr>
    </w:p>
    <w:p>
      <w:pPr>
        <w:ind w:left="863" w:right="140" w:hanging="284"/>
        <w:spacing w:after="0" w:line="274" w:lineRule="auto"/>
        <w:tabs>
          <w:tab w:leader="none" w:pos="863"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composition of property, furniture and equipment and accumulated depreciation, for the years ended December 31, 2025, 2024, and 2023 is as follows:</w:t>
      </w:r>
    </w:p>
    <w:p>
      <w:pPr>
        <w:spacing w:after="0" w:line="127" w:lineRule="exact"/>
        <w:rPr>
          <w:sz w:val="20"/>
          <w:szCs w:val="20"/>
          <w:color w:val="auto"/>
        </w:rPr>
      </w:pPr>
    </w:p>
    <w:tbl>
      <w:tblPr>
        <w:tblLayout w:type="fixed"/>
        <w:tblInd w:w="300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Buildings and</w:t>
            </w:r>
          </w:p>
        </w:tc>
        <w:tc>
          <w:tcPr>
            <w:tcW w:w="76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Furniture</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Vehicles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other</w:t>
            </w:r>
          </w:p>
        </w:tc>
        <w:tc>
          <w:tcPr>
            <w:tcW w:w="760" w:type="dxa"/>
            <w:vAlign w:val="bottom"/>
          </w:tcPr>
          <w:p>
            <w:pPr>
              <w:spacing w:after="0"/>
              <w:rPr>
                <w:sz w:val="12"/>
                <w:szCs w:val="12"/>
                <w:color w:val="auto"/>
              </w:rPr>
            </w:pPr>
          </w:p>
        </w:tc>
        <w:tc>
          <w:tcPr>
            <w:tcW w:w="780" w:type="dxa"/>
            <w:vAlign w:val="bottom"/>
            <w:gridSpan w:val="2"/>
          </w:tcPr>
          <w:p>
            <w:pPr>
              <w:ind w:left="140"/>
              <w:spacing w:after="0" w:line="145" w:lineRule="exact"/>
              <w:rPr>
                <w:sz w:val="20"/>
                <w:szCs w:val="20"/>
                <w:color w:val="auto"/>
              </w:rPr>
            </w:pPr>
            <w:r>
              <w:rPr>
                <w:rFonts w:ascii="Arial" w:cs="Arial" w:eastAsia="Arial" w:hAnsi="Arial"/>
                <w:sz w:val="13"/>
                <w:szCs w:val="13"/>
                <w:b w:val="1"/>
                <w:bCs w:val="1"/>
                <w:color w:val="auto"/>
              </w:rPr>
              <w:t>and</w:t>
            </w:r>
          </w:p>
        </w:tc>
        <w:tc>
          <w:tcPr>
            <w:tcW w:w="960" w:type="dxa"/>
            <w:vAlign w:val="bottom"/>
            <w:gridSpan w:val="3"/>
          </w:tcPr>
          <w:p>
            <w:pPr>
              <w:ind w:left="140"/>
              <w:spacing w:after="0" w:line="145" w:lineRule="exact"/>
              <w:rPr>
                <w:sz w:val="20"/>
                <w:szCs w:val="20"/>
                <w:color w:val="auto"/>
              </w:rPr>
            </w:pPr>
            <w:r>
              <w:rPr>
                <w:rFonts w:ascii="Arial" w:cs="Arial" w:eastAsia="Arial" w:hAnsi="Arial"/>
                <w:sz w:val="13"/>
                <w:szCs w:val="13"/>
                <w:b w:val="1"/>
                <w:bCs w:val="1"/>
                <w:color w:val="auto"/>
              </w:rPr>
              <w:t>Computer</w:t>
            </w:r>
          </w:p>
        </w:tc>
        <w:tc>
          <w:tcPr>
            <w:tcW w:w="700" w:type="dxa"/>
            <w:vAlign w:val="bottom"/>
          </w:tcPr>
          <w:p>
            <w:pPr>
              <w:spacing w:after="0" w:line="145" w:lineRule="exact"/>
              <w:rPr>
                <w:sz w:val="20"/>
                <w:szCs w:val="20"/>
                <w:color w:val="auto"/>
              </w:rPr>
            </w:pPr>
            <w:r>
              <w:rPr>
                <w:rFonts w:ascii="Arial" w:cs="Arial" w:eastAsia="Arial" w:hAnsi="Arial"/>
                <w:sz w:val="13"/>
                <w:szCs w:val="13"/>
                <w:b w:val="1"/>
                <w:bCs w:val="1"/>
                <w:color w:val="auto"/>
              </w:rPr>
              <w:t>and</w:t>
            </w:r>
          </w:p>
        </w:tc>
        <w:tc>
          <w:tcPr>
            <w:tcW w:w="920" w:type="dxa"/>
            <w:vAlign w:val="bottom"/>
            <w:gridSpan w:val="3"/>
          </w:tcPr>
          <w:p>
            <w:pPr>
              <w:ind w:left="140"/>
              <w:spacing w:after="0" w:line="145" w:lineRule="exact"/>
              <w:rPr>
                <w:sz w:val="20"/>
                <w:szCs w:val="20"/>
                <w:color w:val="auto"/>
              </w:rPr>
            </w:pPr>
            <w:r>
              <w:rPr>
                <w:rFonts w:ascii="Arial" w:cs="Arial" w:eastAsia="Arial" w:hAnsi="Arial"/>
                <w:sz w:val="13"/>
                <w:szCs w:val="13"/>
                <w:b w:val="1"/>
                <w:bCs w:val="1"/>
                <w:color w:val="auto"/>
              </w:rPr>
              <w:t>Work in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53"/>
        </w:trPr>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Land</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constructions</w:t>
            </w:r>
          </w:p>
        </w:tc>
        <w:tc>
          <w:tcPr>
            <w:tcW w:w="760" w:type="dxa"/>
            <w:vAlign w:val="bottom"/>
          </w:tcPr>
          <w:p>
            <w:pPr>
              <w:spacing w:after="0"/>
              <w:rPr>
                <w:sz w:val="20"/>
                <w:szCs w:val="20"/>
                <w:color w:val="auto"/>
              </w:rPr>
            </w:pPr>
            <w:r>
              <w:rPr>
                <w:rFonts w:ascii="Arial" w:cs="Arial" w:eastAsia="Arial" w:hAnsi="Arial"/>
                <w:sz w:val="13"/>
                <w:szCs w:val="13"/>
                <w:b w:val="1"/>
                <w:bCs w:val="1"/>
                <w:color w:val="auto"/>
                <w:w w:val="97"/>
              </w:rPr>
              <w:t>Installations</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fixtures</w:t>
            </w:r>
          </w:p>
        </w:tc>
        <w:tc>
          <w:tcPr>
            <w:tcW w:w="960" w:type="dxa"/>
            <w:vAlign w:val="bottom"/>
            <w:gridSpan w:val="3"/>
          </w:tcPr>
          <w:p>
            <w:pPr>
              <w:ind w:left="140"/>
              <w:spacing w:after="0"/>
              <w:rPr>
                <w:sz w:val="20"/>
                <w:szCs w:val="20"/>
                <w:color w:val="auto"/>
              </w:rPr>
            </w:pPr>
            <w:r>
              <w:rPr>
                <w:rFonts w:ascii="Arial" w:cs="Arial" w:eastAsia="Arial" w:hAnsi="Arial"/>
                <w:sz w:val="13"/>
                <w:szCs w:val="13"/>
                <w:b w:val="1"/>
                <w:bCs w:val="1"/>
                <w:color w:val="auto"/>
              </w:rPr>
              <w:t>hardware</w:t>
            </w:r>
          </w:p>
        </w:tc>
        <w:tc>
          <w:tcPr>
            <w:tcW w:w="700" w:type="dxa"/>
            <w:vAlign w:val="bottom"/>
          </w:tcPr>
          <w:p>
            <w:pPr>
              <w:spacing w:after="0"/>
              <w:rPr>
                <w:sz w:val="20"/>
                <w:szCs w:val="20"/>
                <w:color w:val="auto"/>
              </w:rPr>
            </w:pPr>
            <w:r>
              <w:rPr>
                <w:rFonts w:ascii="Arial" w:cs="Arial" w:eastAsia="Arial" w:hAnsi="Arial"/>
                <w:sz w:val="13"/>
                <w:szCs w:val="13"/>
                <w:b w:val="1"/>
                <w:bCs w:val="1"/>
                <w:color w:val="auto"/>
              </w:rPr>
              <w:t>equipment</w:t>
            </w:r>
          </w:p>
        </w:tc>
        <w:tc>
          <w:tcPr>
            <w:tcW w:w="920" w:type="dxa"/>
            <w:vAlign w:val="bottom"/>
            <w:gridSpan w:val="3"/>
          </w:tcPr>
          <w:p>
            <w:pPr>
              <w:ind w:left="140"/>
              <w:spacing w:after="0"/>
              <w:rPr>
                <w:sz w:val="20"/>
                <w:szCs w:val="20"/>
                <w:color w:val="auto"/>
              </w:rPr>
            </w:pPr>
            <w:r>
              <w:rPr>
                <w:rFonts w:ascii="Arial" w:cs="Arial" w:eastAsia="Arial" w:hAnsi="Arial"/>
                <w:sz w:val="13"/>
                <w:szCs w:val="13"/>
                <w:b w:val="1"/>
                <w:bCs w:val="1"/>
                <w:color w:val="auto"/>
              </w:rPr>
              <w:t>progress</w:t>
            </w:r>
          </w:p>
        </w:tc>
        <w:tc>
          <w:tcPr>
            <w:tcW w:w="66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b w:val="1"/>
                <w:bCs w:val="1"/>
                <w:color w:val="auto"/>
              </w:rPr>
              <w:t>2023</w:t>
            </w:r>
          </w:p>
        </w:tc>
      </w:tr>
      <w:tr>
        <w:trPr>
          <w:trHeight w:val="141"/>
        </w:trPr>
        <w:tc>
          <w:tcPr>
            <w:tcW w:w="20" w:type="dxa"/>
            <w:vAlign w:val="bottom"/>
          </w:tcPr>
          <w:p>
            <w:pPr>
              <w:spacing w:after="0"/>
              <w:rPr>
                <w:sz w:val="12"/>
                <w:szCs w:val="12"/>
                <w:color w:val="auto"/>
              </w:rPr>
            </w:pPr>
          </w:p>
        </w:tc>
        <w:tc>
          <w:tcPr>
            <w:tcW w:w="58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r>
    </w:tbl>
    <w:p>
      <w:pPr>
        <w:spacing w:after="0" w:line="1" w:lineRule="exact"/>
        <w:rPr>
          <w:sz w:val="20"/>
          <w:szCs w:val="20"/>
          <w:color w:val="auto"/>
        </w:rPr>
      </w:pPr>
    </w:p>
    <w:tbl>
      <w:tblPr>
        <w:tblLayout w:type="fixed"/>
        <w:tblInd w:w="863" w:type="dxa"/>
        <w:tblCellMar>
          <w:top w:w="0" w:type="dxa"/>
          <w:left w:w="0" w:type="dxa"/>
          <w:bottom w:w="0" w:type="dxa"/>
          <w:right w:w="0" w:type="dxa"/>
        </w:tblCellMar>
      </w:tblPr>
      <w:tr>
        <w:trPr>
          <w:trHeight w:val="133"/>
        </w:trPr>
        <w:tc>
          <w:tcPr>
            <w:tcW w:w="2140" w:type="dxa"/>
            <w:vAlign w:val="bottom"/>
          </w:tcPr>
          <w:p>
            <w:pPr>
              <w:spacing w:after="0" w:line="133" w:lineRule="exact"/>
              <w:rPr>
                <w:sz w:val="20"/>
                <w:szCs w:val="20"/>
                <w:color w:val="auto"/>
              </w:rPr>
            </w:pPr>
            <w:r>
              <w:rPr>
                <w:rFonts w:ascii="Arial" w:cs="Arial" w:eastAsia="Arial" w:hAnsi="Arial"/>
                <w:sz w:val="13"/>
                <w:szCs w:val="13"/>
                <w:b w:val="1"/>
                <w:bCs w:val="1"/>
                <w:color w:val="auto"/>
              </w:rPr>
              <w:t>Cost -</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5"/>
        </w:trPr>
        <w:tc>
          <w:tcPr>
            <w:tcW w:w="2140" w:type="dxa"/>
            <w:vAlign w:val="bottom"/>
          </w:tcPr>
          <w:p>
            <w:pPr>
              <w:spacing w:after="0" w:line="145" w:lineRule="exact"/>
              <w:rPr>
                <w:sz w:val="20"/>
                <w:szCs w:val="20"/>
                <w:color w:val="auto"/>
              </w:rPr>
            </w:pPr>
            <w:r>
              <w:rPr>
                <w:rFonts w:ascii="Arial" w:cs="Arial" w:eastAsia="Arial" w:hAnsi="Arial"/>
                <w:sz w:val="13"/>
                <w:szCs w:val="13"/>
                <w:b w:val="1"/>
                <w:bCs w:val="1"/>
                <w:color w:val="auto"/>
              </w:rPr>
              <w:t>Balance as of January 1</w:t>
            </w: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auto"/>
              </w:rPr>
              <w:t>294,154</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1,174,807</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869,849</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505,767</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660,837</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106,043</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91,017</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3,702,474</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3,572,286</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3,463,196</w:t>
            </w:r>
          </w:p>
        </w:tc>
        <w:tc>
          <w:tcPr>
            <w:tcW w:w="40" w:type="dxa"/>
            <w:vAlign w:val="bottom"/>
          </w:tcPr>
          <w:p>
            <w:pPr>
              <w:spacing w:after="0"/>
              <w:rPr>
                <w:sz w:val="12"/>
                <w:szCs w:val="12"/>
                <w:color w:val="auto"/>
              </w:rPr>
            </w:pPr>
          </w:p>
        </w:tc>
      </w:tr>
      <w:tr>
        <w:trPr>
          <w:trHeight w:val="145"/>
        </w:trPr>
        <w:tc>
          <w:tcPr>
            <w:tcW w:w="2140" w:type="dxa"/>
            <w:vAlign w:val="bottom"/>
          </w:tcPr>
          <w:p>
            <w:pPr>
              <w:spacing w:after="0" w:line="145" w:lineRule="exact"/>
              <w:rPr>
                <w:sz w:val="20"/>
                <w:szCs w:val="20"/>
                <w:color w:val="auto"/>
              </w:rPr>
            </w:pPr>
            <w:r>
              <w:rPr>
                <w:rFonts w:ascii="Arial" w:cs="Arial" w:eastAsia="Arial" w:hAnsi="Arial"/>
                <w:sz w:val="13"/>
                <w:szCs w:val="13"/>
                <w:color w:val="auto"/>
              </w:rPr>
              <w:t>Additions</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22,824</w:t>
            </w: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73,829</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44,910</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55,550</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34,940</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3,347</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99,780</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335,180</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310,144</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322,371</w:t>
            </w:r>
          </w:p>
        </w:tc>
        <w:tc>
          <w:tcPr>
            <w:tcW w:w="40" w:type="dxa"/>
            <w:vAlign w:val="bottom"/>
          </w:tcPr>
          <w:p>
            <w:pPr>
              <w:spacing w:after="0"/>
              <w:rPr>
                <w:sz w:val="12"/>
                <w:szCs w:val="12"/>
                <w:color w:val="auto"/>
              </w:rPr>
            </w:pPr>
          </w:p>
        </w:tc>
      </w:tr>
      <w:tr>
        <w:trPr>
          <w:trHeight w:val="145"/>
        </w:trPr>
        <w:tc>
          <w:tcPr>
            <w:tcW w:w="2140" w:type="dxa"/>
            <w:vAlign w:val="bottom"/>
          </w:tcPr>
          <w:p>
            <w:pPr>
              <w:spacing w:after="0" w:line="145" w:lineRule="exact"/>
              <w:rPr>
                <w:sz w:val="20"/>
                <w:szCs w:val="20"/>
                <w:color w:val="auto"/>
              </w:rPr>
            </w:pPr>
            <w:r>
              <w:rPr>
                <w:rFonts w:ascii="Arial" w:cs="Arial" w:eastAsia="Arial" w:hAnsi="Arial"/>
                <w:sz w:val="13"/>
                <w:szCs w:val="13"/>
                <w:color w:val="auto"/>
              </w:rPr>
              <w:t>Acquisition of business, Note 2(a) (*)</w:t>
            </w: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auto"/>
              </w:rPr>
              <w:t>318,329</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297,627</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4,067</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23,277</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7,762</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58,828</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21,826</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731,716</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455</w:t>
            </w:r>
          </w:p>
        </w:tc>
      </w:tr>
      <w:tr>
        <w:trPr>
          <w:trHeight w:val="145"/>
        </w:trPr>
        <w:tc>
          <w:tcPr>
            <w:tcW w:w="2140" w:type="dxa"/>
            <w:vAlign w:val="bottom"/>
          </w:tcPr>
          <w:p>
            <w:pPr>
              <w:spacing w:after="0" w:line="145" w:lineRule="exact"/>
              <w:rPr>
                <w:sz w:val="20"/>
                <w:szCs w:val="20"/>
                <w:color w:val="auto"/>
              </w:rPr>
            </w:pPr>
            <w:r>
              <w:rPr>
                <w:rFonts w:ascii="Arial" w:cs="Arial" w:eastAsia="Arial" w:hAnsi="Arial"/>
                <w:sz w:val="13"/>
                <w:szCs w:val="13"/>
                <w:color w:val="auto"/>
              </w:rPr>
              <w:t>Transfers</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3,922</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26,644</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14,916</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17,756</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2,059</w:t>
            </w:r>
          </w:p>
        </w:tc>
        <w:tc>
          <w:tcPr>
            <w:tcW w:w="7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(65,297)</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r>
      <w:tr>
        <w:trPr>
          <w:trHeight w:val="165"/>
        </w:trPr>
        <w:tc>
          <w:tcPr>
            <w:tcW w:w="2140" w:type="dxa"/>
            <w:vAlign w:val="bottom"/>
          </w:tcPr>
          <w:p>
            <w:pPr>
              <w:spacing w:after="0"/>
              <w:rPr>
                <w:sz w:val="20"/>
                <w:szCs w:val="20"/>
                <w:color w:val="auto"/>
              </w:rPr>
            </w:pPr>
            <w:r>
              <w:rPr>
                <w:rFonts w:ascii="Arial" w:cs="Arial" w:eastAsia="Arial" w:hAnsi="Arial"/>
                <w:sz w:val="13"/>
                <w:szCs w:val="13"/>
                <w:color w:val="auto"/>
              </w:rPr>
              <w:t>Disposals and others (**)</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(106,045)</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(122,792)</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(41,096)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(22,247)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(39,056)</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6,399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(44,848)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(369,685)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(179,956)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(213,736)</w:t>
            </w:r>
          </w:p>
        </w:tc>
      </w:tr>
      <w:tr>
        <w:trPr>
          <w:trHeight w:val="137"/>
        </w:trPr>
        <w:tc>
          <w:tcPr>
            <w:tcW w:w="2140" w:type="dxa"/>
            <w:vAlign w:val="bottom"/>
          </w:tcPr>
          <w:p>
            <w:pPr>
              <w:spacing w:after="0" w:line="137" w:lineRule="exact"/>
              <w:rPr>
                <w:sz w:val="20"/>
                <w:szCs w:val="20"/>
                <w:color w:val="auto"/>
              </w:rPr>
            </w:pPr>
            <w:r>
              <w:rPr>
                <w:rFonts w:ascii="Arial" w:cs="Arial" w:eastAsia="Arial" w:hAnsi="Arial"/>
                <w:sz w:val="13"/>
                <w:szCs w:val="13"/>
                <w:b w:val="1"/>
                <w:bCs w:val="1"/>
                <w:color w:val="auto"/>
              </w:rPr>
              <w:t>Balance as of December 31</w:t>
            </w:r>
          </w:p>
        </w:tc>
        <w:tc>
          <w:tcPr>
            <w:tcW w:w="6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529,262</w:t>
            </w:r>
          </w:p>
        </w:tc>
        <w:tc>
          <w:tcPr>
            <w:tcW w:w="14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1,427,393</w:t>
            </w:r>
          </w:p>
        </w:tc>
        <w:tc>
          <w:tcPr>
            <w:tcW w:w="14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904,374</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577,263</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682,239</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176,676</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102,478</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4,399,685</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3,702,474</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3,572,286</w:t>
            </w:r>
          </w:p>
        </w:tc>
        <w:tc>
          <w:tcPr>
            <w:tcW w:w="40" w:type="dxa"/>
            <w:vAlign w:val="bottom"/>
          </w:tcPr>
          <w:p>
            <w:pPr>
              <w:spacing w:after="0"/>
              <w:rPr>
                <w:sz w:val="11"/>
                <w:szCs w:val="11"/>
                <w:color w:val="auto"/>
              </w:rPr>
            </w:pPr>
          </w:p>
        </w:tc>
      </w:tr>
      <w:tr>
        <w:trPr>
          <w:trHeight w:val="274"/>
        </w:trPr>
        <w:tc>
          <w:tcPr>
            <w:tcW w:w="2140" w:type="dxa"/>
            <w:vAlign w:val="bottom"/>
          </w:tcPr>
          <w:p>
            <w:pPr>
              <w:spacing w:after="0"/>
              <w:rPr>
                <w:sz w:val="20"/>
                <w:szCs w:val="20"/>
                <w:color w:val="auto"/>
              </w:rPr>
            </w:pPr>
            <w:r>
              <w:rPr>
                <w:rFonts w:ascii="Arial" w:cs="Arial" w:eastAsia="Arial" w:hAnsi="Arial"/>
                <w:sz w:val="13"/>
                <w:szCs w:val="13"/>
                <w:b w:val="1"/>
                <w:bCs w:val="1"/>
                <w:color w:val="auto"/>
              </w:rPr>
              <w:t>Accumulated depreciation -</w:t>
            </w: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45"/>
        </w:trPr>
        <w:tc>
          <w:tcPr>
            <w:tcW w:w="2140" w:type="dxa"/>
            <w:vAlign w:val="bottom"/>
          </w:tcPr>
          <w:p>
            <w:pPr>
              <w:spacing w:after="0" w:line="145" w:lineRule="exact"/>
              <w:rPr>
                <w:sz w:val="20"/>
                <w:szCs w:val="20"/>
                <w:color w:val="auto"/>
              </w:rPr>
            </w:pPr>
            <w:r>
              <w:rPr>
                <w:rFonts w:ascii="Arial" w:cs="Arial" w:eastAsia="Arial" w:hAnsi="Arial"/>
                <w:sz w:val="13"/>
                <w:szCs w:val="13"/>
                <w:b w:val="1"/>
                <w:bCs w:val="1"/>
                <w:color w:val="auto"/>
              </w:rPr>
              <w:t>Balance as of January 1</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751,306</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599,278</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330,257</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491,962</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91,062</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2,263,865</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2,214,761</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2,182,098</w:t>
            </w:r>
          </w:p>
        </w:tc>
        <w:tc>
          <w:tcPr>
            <w:tcW w:w="40" w:type="dxa"/>
            <w:vAlign w:val="bottom"/>
          </w:tcPr>
          <w:p>
            <w:pPr>
              <w:spacing w:after="0"/>
              <w:rPr>
                <w:sz w:val="12"/>
                <w:szCs w:val="12"/>
                <w:color w:val="auto"/>
              </w:rPr>
            </w:pPr>
          </w:p>
        </w:tc>
      </w:tr>
      <w:tr>
        <w:trPr>
          <w:trHeight w:val="145"/>
        </w:trPr>
        <w:tc>
          <w:tcPr>
            <w:tcW w:w="2140" w:type="dxa"/>
            <w:vAlign w:val="bottom"/>
          </w:tcPr>
          <w:p>
            <w:pPr>
              <w:spacing w:after="0" w:line="145" w:lineRule="exact"/>
              <w:rPr>
                <w:sz w:val="20"/>
                <w:szCs w:val="20"/>
                <w:color w:val="auto"/>
              </w:rPr>
            </w:pPr>
            <w:r>
              <w:rPr>
                <w:rFonts w:ascii="Arial" w:cs="Arial" w:eastAsia="Arial" w:hAnsi="Arial"/>
                <w:sz w:val="13"/>
                <w:szCs w:val="13"/>
                <w:color w:val="auto"/>
              </w:rPr>
              <w:t>Depreciation of the period</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15,243</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45,512</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35,849</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70,806</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20,394</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187,804</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153,531</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129,108</w:t>
            </w:r>
          </w:p>
        </w:tc>
        <w:tc>
          <w:tcPr>
            <w:tcW w:w="40" w:type="dxa"/>
            <w:vAlign w:val="bottom"/>
          </w:tcPr>
          <w:p>
            <w:pPr>
              <w:spacing w:after="0"/>
              <w:rPr>
                <w:sz w:val="12"/>
                <w:szCs w:val="12"/>
                <w:color w:val="auto"/>
              </w:rPr>
            </w:pPr>
          </w:p>
        </w:tc>
      </w:tr>
      <w:tr>
        <w:trPr>
          <w:trHeight w:val="165"/>
        </w:trPr>
        <w:tc>
          <w:tcPr>
            <w:tcW w:w="2140" w:type="dxa"/>
            <w:vAlign w:val="bottom"/>
          </w:tcPr>
          <w:p>
            <w:pPr>
              <w:spacing w:after="0"/>
              <w:rPr>
                <w:sz w:val="20"/>
                <w:szCs w:val="20"/>
                <w:color w:val="auto"/>
              </w:rPr>
            </w:pPr>
            <w:r>
              <w:rPr>
                <w:rFonts w:ascii="Arial" w:cs="Arial" w:eastAsia="Arial" w:hAnsi="Arial"/>
                <w:sz w:val="13"/>
                <w:szCs w:val="13"/>
                <w:color w:val="auto"/>
              </w:rPr>
              <w:t>Disposals and others (**)</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(25,039)</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(31,562)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(22,608)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(37,659)</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(4,133)</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(121,001)</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(104,427)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(96,445)</w:t>
            </w:r>
          </w:p>
        </w:tc>
      </w:tr>
      <w:tr>
        <w:trPr>
          <w:trHeight w:val="137"/>
        </w:trPr>
        <w:tc>
          <w:tcPr>
            <w:tcW w:w="2140" w:type="dxa"/>
            <w:vAlign w:val="bottom"/>
          </w:tcPr>
          <w:p>
            <w:pPr>
              <w:spacing w:after="0" w:line="137" w:lineRule="exact"/>
              <w:rPr>
                <w:sz w:val="20"/>
                <w:szCs w:val="20"/>
                <w:color w:val="auto"/>
              </w:rPr>
            </w:pPr>
            <w:r>
              <w:rPr>
                <w:rFonts w:ascii="Arial" w:cs="Arial" w:eastAsia="Arial" w:hAnsi="Arial"/>
                <w:sz w:val="13"/>
                <w:szCs w:val="13"/>
                <w:b w:val="1"/>
                <w:bCs w:val="1"/>
                <w:color w:val="auto"/>
              </w:rPr>
              <w:t>Balance as of December 31</w:t>
            </w:r>
          </w:p>
        </w:tc>
        <w:tc>
          <w:tcPr>
            <w:tcW w:w="6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741,510</w:t>
            </w:r>
          </w:p>
        </w:tc>
        <w:tc>
          <w:tcPr>
            <w:tcW w:w="14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613,228</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343,498</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525,109</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107,323</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2,330,668</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2,263,865</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2,214,761</w:t>
            </w:r>
          </w:p>
        </w:tc>
        <w:tc>
          <w:tcPr>
            <w:tcW w:w="40" w:type="dxa"/>
            <w:vAlign w:val="bottom"/>
          </w:tcPr>
          <w:p>
            <w:pPr>
              <w:spacing w:after="0"/>
              <w:rPr>
                <w:sz w:val="11"/>
                <w:szCs w:val="11"/>
                <w:color w:val="auto"/>
              </w:rPr>
            </w:pPr>
          </w:p>
        </w:tc>
      </w:tr>
      <w:tr>
        <w:trPr>
          <w:trHeight w:val="294"/>
        </w:trPr>
        <w:tc>
          <w:tcPr>
            <w:tcW w:w="2140" w:type="dxa"/>
            <w:vAlign w:val="bottom"/>
          </w:tcPr>
          <w:p>
            <w:pPr>
              <w:spacing w:after="0"/>
              <w:rPr>
                <w:sz w:val="20"/>
                <w:szCs w:val="20"/>
                <w:color w:val="auto"/>
              </w:rPr>
            </w:pPr>
            <w:r>
              <w:rPr>
                <w:rFonts w:ascii="Arial" w:cs="Arial" w:eastAsia="Arial" w:hAnsi="Arial"/>
                <w:sz w:val="13"/>
                <w:szCs w:val="13"/>
                <w:b w:val="1"/>
                <w:bCs w:val="1"/>
                <w:color w:val="auto"/>
              </w:rPr>
              <w:t>Net carrying amount</w:t>
            </w:r>
          </w:p>
        </w:tc>
        <w:tc>
          <w:tcPr>
            <w:tcW w:w="600" w:type="dxa"/>
            <w:vAlign w:val="bottom"/>
          </w:tcPr>
          <w:p>
            <w:pPr>
              <w:jc w:val="right"/>
              <w:spacing w:after="0"/>
              <w:rPr>
                <w:sz w:val="20"/>
                <w:szCs w:val="20"/>
                <w:color w:val="auto"/>
              </w:rPr>
            </w:pPr>
            <w:r>
              <w:rPr>
                <w:rFonts w:ascii="Arial" w:cs="Arial" w:eastAsia="Arial" w:hAnsi="Arial"/>
                <w:sz w:val="13"/>
                <w:szCs w:val="13"/>
                <w:color w:val="auto"/>
              </w:rPr>
              <w:t>529,262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685,883</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291,146</w:t>
            </w: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233,765</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157,130</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69,353</w:t>
            </w:r>
          </w:p>
        </w:tc>
        <w:tc>
          <w:tcPr>
            <w:tcW w:w="640" w:type="dxa"/>
            <w:vAlign w:val="bottom"/>
          </w:tcPr>
          <w:p>
            <w:pPr>
              <w:jc w:val="right"/>
              <w:spacing w:after="0"/>
              <w:rPr>
                <w:sz w:val="20"/>
                <w:szCs w:val="20"/>
                <w:color w:val="auto"/>
              </w:rPr>
            </w:pPr>
            <w:r>
              <w:rPr>
                <w:rFonts w:ascii="Arial" w:cs="Arial" w:eastAsia="Arial" w:hAnsi="Arial"/>
                <w:sz w:val="13"/>
                <w:szCs w:val="13"/>
                <w:color w:val="auto"/>
              </w:rPr>
              <w:t>102,478</w:t>
            </w:r>
          </w:p>
        </w:tc>
        <w:tc>
          <w:tcPr>
            <w:tcW w:w="1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2,069,017</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1,438,609</w:t>
            </w:r>
          </w:p>
        </w:tc>
        <w:tc>
          <w:tcPr>
            <w:tcW w:w="660" w:type="dxa"/>
            <w:vAlign w:val="bottom"/>
          </w:tcPr>
          <w:p>
            <w:pPr>
              <w:jc w:val="right"/>
              <w:spacing w:after="0"/>
              <w:rPr>
                <w:sz w:val="20"/>
                <w:szCs w:val="20"/>
                <w:color w:val="auto"/>
              </w:rPr>
            </w:pPr>
            <w:r>
              <w:rPr>
                <w:rFonts w:ascii="Arial" w:cs="Arial" w:eastAsia="Arial" w:hAnsi="Arial"/>
                <w:sz w:val="13"/>
                <w:szCs w:val="13"/>
                <w:color w:val="auto"/>
              </w:rPr>
              <w:t>1,357,525</w:t>
            </w:r>
          </w:p>
        </w:tc>
        <w:tc>
          <w:tcPr>
            <w:tcW w:w="40" w:type="dxa"/>
            <w:vAlign w:val="bottom"/>
          </w:tcPr>
          <w:p>
            <w:pPr>
              <w:spacing w:after="0"/>
              <w:rPr>
                <w:sz w:val="24"/>
                <w:szCs w:val="24"/>
                <w:color w:val="auto"/>
              </w:rPr>
            </w:pPr>
          </w:p>
        </w:tc>
      </w:tr>
      <w:tr>
        <w:trPr>
          <w:trHeight w:val="24"/>
        </w:trPr>
        <w:tc>
          <w:tcPr>
            <w:tcW w:w="2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Banks, financial institutions and insurance entities operating in Peru cannot pledge their fixed assets.</w:t>
      </w:r>
    </w:p>
    <w:p>
      <w:pPr>
        <w:spacing w:after="0" w:line="178" w:lineRule="exact"/>
        <w:rPr>
          <w:sz w:val="20"/>
          <w:szCs w:val="20"/>
          <w:color w:val="auto"/>
        </w:rPr>
      </w:pPr>
    </w:p>
    <w:p>
      <w:pPr>
        <w:ind w:left="863" w:right="500"/>
        <w:spacing w:after="0" w:line="274" w:lineRule="auto"/>
        <w:rPr>
          <w:sz w:val="20"/>
          <w:szCs w:val="20"/>
          <w:color w:val="auto"/>
        </w:rPr>
      </w:pPr>
      <w:r>
        <w:rPr>
          <w:rFonts w:ascii="Arial" w:cs="Arial" w:eastAsia="Arial" w:hAnsi="Arial"/>
          <w:sz w:val="16"/>
          <w:szCs w:val="16"/>
          <w:color w:val="auto"/>
        </w:rPr>
        <w:t>During 2025, 2024 and 2023 the Group, as part of its investment in fixed assets, made disbursements mainly related to the renovation of its various branches and the purchase of computer equipment, furniture, and fixtures.</w:t>
      </w:r>
    </w:p>
    <w:p>
      <w:pPr>
        <w:spacing w:after="0" w:line="123" w:lineRule="exact"/>
        <w:rPr>
          <w:sz w:val="20"/>
          <w:szCs w:val="20"/>
          <w:color w:val="auto"/>
        </w:rPr>
      </w:pPr>
    </w:p>
    <w:p>
      <w:pPr>
        <w:ind w:left="863"/>
        <w:spacing w:after="0"/>
        <w:rPr>
          <w:sz w:val="20"/>
          <w:szCs w:val="20"/>
          <w:color w:val="auto"/>
        </w:rPr>
      </w:pPr>
      <w:r>
        <w:rPr>
          <w:rFonts w:ascii="Arial" w:cs="Arial" w:eastAsia="Arial" w:hAnsi="Arial"/>
          <w:sz w:val="16"/>
          <w:szCs w:val="16"/>
          <w:color w:val="auto"/>
        </w:rPr>
        <w:t>The Group maintains insurance on its main assets in accordance with the policies established by Management.</w:t>
      </w:r>
    </w:p>
    <w:p>
      <w:pPr>
        <w:spacing w:after="0" w:line="17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The Group maintains insurance coverage over its main assets in accordance with policies established by Management.</w:t>
      </w:r>
    </w:p>
    <w:p>
      <w:pPr>
        <w:spacing w:after="0" w:line="178" w:lineRule="exact"/>
        <w:rPr>
          <w:sz w:val="20"/>
          <w:szCs w:val="20"/>
          <w:color w:val="auto"/>
        </w:rPr>
      </w:pPr>
    </w:p>
    <w:p>
      <w:pPr>
        <w:ind w:left="863"/>
        <w:spacing w:after="0" w:line="274" w:lineRule="auto"/>
        <w:rPr>
          <w:sz w:val="20"/>
          <w:szCs w:val="20"/>
          <w:color w:val="auto"/>
        </w:rPr>
      </w:pPr>
      <w:r>
        <w:rPr>
          <w:rFonts w:ascii="Arial" w:cs="Arial" w:eastAsia="Arial" w:hAnsi="Arial"/>
          <w:sz w:val="16"/>
          <w:szCs w:val="16"/>
          <w:color w:val="auto"/>
        </w:rPr>
        <w:t>As of December 31, 2025, additions include S/50.5 million, corresponding to the value of foreclosed properties that were transferred as property of the Group in October 2025.</w:t>
      </w:r>
    </w:p>
    <w:p>
      <w:pPr>
        <w:spacing w:after="0" w:line="123" w:lineRule="exact"/>
        <w:rPr>
          <w:sz w:val="20"/>
          <w:szCs w:val="20"/>
          <w:color w:val="auto"/>
        </w:rPr>
      </w:pPr>
    </w:p>
    <w:p>
      <w:pPr>
        <w:ind w:left="863" w:right="100"/>
        <w:spacing w:after="0" w:line="255" w:lineRule="auto"/>
        <w:rPr>
          <w:sz w:val="20"/>
          <w:szCs w:val="20"/>
          <w:color w:val="auto"/>
        </w:rPr>
      </w:pPr>
      <w:r>
        <w:rPr>
          <w:rFonts w:ascii="Arial" w:cs="Arial" w:eastAsia="Arial" w:hAnsi="Arial"/>
          <w:sz w:val="16"/>
          <w:szCs w:val="16"/>
          <w:color w:val="auto"/>
        </w:rPr>
        <w:t>Management periodically reviews the residual value of the assets, their useful life, and the depreciation method used, in order to ensure that they remain consistent with the economic benefits and expected lifespan. In the opinion of the Group’s Management, there is no evidence of impairment in the value of the fixed assets held by the Group as of December 31, 2025, December 31, 2024, and December 31, 2023.</w:t>
      </w:r>
    </w:p>
    <w:p>
      <w:pPr>
        <w:spacing w:after="0" w:line="137" w:lineRule="exact"/>
        <w:rPr>
          <w:sz w:val="20"/>
          <w:szCs w:val="20"/>
          <w:color w:val="auto"/>
        </w:rPr>
      </w:pPr>
    </w:p>
    <w:p>
      <w:pPr>
        <w:ind w:left="863" w:right="80"/>
        <w:spacing w:after="0" w:line="248" w:lineRule="auto"/>
        <w:rPr>
          <w:sz w:val="20"/>
          <w:szCs w:val="20"/>
          <w:color w:val="auto"/>
        </w:rPr>
      </w:pPr>
      <w:r>
        <w:rPr>
          <w:rFonts w:ascii="Arial" w:cs="Arial" w:eastAsia="Arial" w:hAnsi="Arial"/>
          <w:sz w:val="16"/>
          <w:szCs w:val="16"/>
          <w:color w:val="auto"/>
        </w:rPr>
        <w:t>As a result of the implementation of IFRS 17, the depreciation expense of property and equipment is allocated in the consolidated statement of income between depreciation expense and the expense attributable to insurance and reinsurance results, amounting to S/181.4 million and S/6.4 million for the year 2025; S/149.9 million and S/3.6 million, respectively, for the year 2024; and S/125.0 million and S/4.1 million, respectively, for the year 2023.</w:t>
      </w:r>
    </w:p>
    <w:p>
      <w:pPr>
        <w:spacing w:after="0" w:line="14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 The increase is due to the acquisition of Pacífico EPS and Subsidiaries in March 2025, see Note 2(a).</w:t>
      </w:r>
    </w:p>
    <w:p>
      <w:pPr>
        <w:spacing w:after="0" w:line="178" w:lineRule="exact"/>
        <w:rPr>
          <w:sz w:val="20"/>
          <w:szCs w:val="20"/>
          <w:color w:val="auto"/>
        </w:rPr>
      </w:pPr>
    </w:p>
    <w:p>
      <w:pPr>
        <w:ind w:left="1143" w:hanging="275"/>
        <w:spacing w:after="0"/>
        <w:tabs>
          <w:tab w:leader="none" w:pos="1143"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Includes transactions related to the sale, retirement and other disposals of assets that are no longer required for the Group’s operations.</w:t>
      </w:r>
    </w:p>
    <w:p>
      <w:pPr>
        <w:spacing w:after="0" w:line="346" w:lineRule="exact"/>
        <w:rPr>
          <w:rFonts w:ascii="Arial" w:cs="Arial" w:eastAsia="Arial" w:hAnsi="Arial"/>
          <w:sz w:val="16"/>
          <w:szCs w:val="16"/>
          <w:color w:val="auto"/>
        </w:rPr>
      </w:pPr>
    </w:p>
    <w:p>
      <w:pPr>
        <w:ind w:left="5523" w:hanging="104"/>
        <w:spacing w:after="0"/>
        <w:tabs>
          <w:tab w:leader="none" w:pos="5523" w:val="left"/>
        </w:tabs>
        <w:numPr>
          <w:ilvl w:val="1"/>
          <w:numId w:val="95"/>
        </w:numPr>
        <w:rPr>
          <w:rFonts w:ascii="Arial" w:cs="Arial" w:eastAsia="Arial" w:hAnsi="Arial"/>
          <w:sz w:val="16"/>
          <w:szCs w:val="16"/>
          <w:color w:val="auto"/>
        </w:rPr>
      </w:pPr>
      <w:r>
        <w:rPr>
          <w:rFonts w:ascii="Arial" w:cs="Arial" w:eastAsia="Arial" w:hAnsi="Arial"/>
          <w:sz w:val="16"/>
          <w:szCs w:val="16"/>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316" w:right="319" w:bottom="1440" w:gutter="0" w:footer="0" w:header="0"/>
        </w:sectPr>
      </w:pPr>
    </w:p>
    <w:bookmarkStart w:id="85" w:name="page86"/>
    <w:bookmarkEnd w:id="85"/>
    <w:p>
      <w:pPr>
        <w:ind w:left="583" w:hanging="583"/>
        <w:spacing w:after="0"/>
        <w:tabs>
          <w:tab w:leader="none" w:pos="583"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INTANGIBLES, GOODWILL AND OTHERS, NET</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96"/>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177"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The composition of intangible assets with limited useful life and accumulated amortization as of December 31, 2025, 2024 and December 31,</w:t>
      </w:r>
    </w:p>
    <w:p>
      <w:pPr>
        <w:spacing w:after="0" w:line="12"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2023 was as follows:</w:t>
      </w:r>
    </w:p>
    <w:p>
      <w:pPr>
        <w:spacing w:after="0" w:line="166" w:lineRule="exact"/>
        <w:rPr>
          <w:sz w:val="20"/>
          <w:szCs w:val="20"/>
          <w:color w:val="auto"/>
        </w:rPr>
      </w:pPr>
    </w:p>
    <w:tbl>
      <w:tblPr>
        <w:tblLayout w:type="fixed"/>
        <w:tblInd w:w="863"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Software,</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5"/>
        </w:trPr>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Fund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Prepaid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1360" w:type="dxa"/>
            <w:vAlign w:val="bottom"/>
          </w:tcPr>
          <w:p>
            <w:pPr>
              <w:spacing w:after="0"/>
              <w:rPr>
                <w:sz w:val="12"/>
                <w:szCs w:val="12"/>
                <w:color w:val="auto"/>
              </w:rPr>
            </w:pPr>
          </w:p>
        </w:tc>
        <w:tc>
          <w:tcPr>
            <w:tcW w:w="1640" w:type="dxa"/>
            <w:vAlign w:val="bottom"/>
            <w:gridSpan w:val="3"/>
          </w:tcPr>
          <w:p>
            <w:pPr>
              <w:ind w:left="640"/>
              <w:spacing w:after="0" w:line="145" w:lineRule="exact"/>
              <w:rPr>
                <w:sz w:val="20"/>
                <w:szCs w:val="20"/>
                <w:color w:val="auto"/>
              </w:rPr>
            </w:pPr>
            <w:r>
              <w:rPr>
                <w:rFonts w:ascii="Arial" w:cs="Arial" w:eastAsia="Arial" w:hAnsi="Arial"/>
                <w:sz w:val="13"/>
                <w:szCs w:val="13"/>
                <w:b w:val="1"/>
                <w:bCs w:val="1"/>
                <w:color w:val="auto"/>
              </w:rPr>
              <w:t>Client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manager</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service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1360" w:type="dxa"/>
            <w:vAlign w:val="bottom"/>
          </w:tcPr>
          <w:p>
            <w:pPr>
              <w:spacing w:after="0"/>
              <w:rPr>
                <w:sz w:val="12"/>
                <w:szCs w:val="12"/>
                <w:color w:val="auto"/>
              </w:rPr>
            </w:pPr>
          </w:p>
        </w:tc>
        <w:tc>
          <w:tcPr>
            <w:tcW w:w="1640" w:type="dxa"/>
            <w:vAlign w:val="bottom"/>
            <w:gridSpan w:val="3"/>
          </w:tcPr>
          <w:p>
            <w:pPr>
              <w:ind w:left="640"/>
              <w:spacing w:after="0" w:line="145" w:lineRule="exact"/>
              <w:rPr>
                <w:sz w:val="20"/>
                <w:szCs w:val="20"/>
                <w:color w:val="auto"/>
              </w:rPr>
            </w:pPr>
            <w:r>
              <w:rPr>
                <w:rFonts w:ascii="Arial" w:cs="Arial" w:eastAsia="Arial" w:hAnsi="Arial"/>
                <w:sz w:val="13"/>
                <w:szCs w:val="13"/>
                <w:b w:val="1"/>
                <w:bCs w:val="1"/>
                <w:color w:val="auto"/>
              </w:rPr>
              <w:t>relationships</w:t>
            </w: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Brand</w:t>
            </w: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contract</w:t>
            </w:r>
          </w:p>
        </w:tc>
        <w:tc>
          <w:tcPr>
            <w:tcW w:w="10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Relationships</w:t>
            </w: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contract</w:t>
            </w: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Intangible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3"/>
        </w:trPr>
        <w:tc>
          <w:tcPr>
            <w:tcW w:w="136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1640" w:type="dxa"/>
            <w:vAlign w:val="bottom"/>
            <w:gridSpan w:val="3"/>
          </w:tcPr>
          <w:p>
            <w:pPr>
              <w:ind w:left="640"/>
              <w:spacing w:after="0"/>
              <w:rPr>
                <w:sz w:val="20"/>
                <w:szCs w:val="20"/>
                <w:color w:val="auto"/>
              </w:rPr>
            </w:pPr>
            <w:r>
              <w:rPr>
                <w:rFonts w:ascii="Arial" w:cs="Arial" w:eastAsia="Arial" w:hAnsi="Arial"/>
                <w:sz w:val="13"/>
                <w:szCs w:val="13"/>
                <w:b w:val="1"/>
                <w:bCs w:val="1"/>
                <w:color w:val="auto"/>
              </w:rPr>
              <w:t>(i)</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name (ii)</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(iii)</w:t>
            </w: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with holders</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and others</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in progress</w:t>
            </w:r>
          </w:p>
        </w:tc>
        <w:tc>
          <w:tcPr>
            <w:tcW w:w="72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b w:val="1"/>
                <w:bCs w:val="1"/>
                <w:color w:val="auto"/>
              </w:rPr>
              <w:t>2023</w:t>
            </w:r>
          </w:p>
        </w:tc>
      </w:tr>
      <w:tr>
        <w:trPr>
          <w:trHeight w:val="168"/>
        </w:trPr>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r>
    </w:tbl>
    <w:p>
      <w:pPr>
        <w:spacing w:after="0" w:line="101" w:lineRule="exact"/>
        <w:rPr>
          <w:sz w:val="20"/>
          <w:szCs w:val="20"/>
          <w:color w:val="auto"/>
        </w:rPr>
      </w:pPr>
    </w:p>
    <w:tbl>
      <w:tblPr>
        <w:tblLayout w:type="fixed"/>
        <w:tblInd w:w="863" w:type="dxa"/>
        <w:tblCellMar>
          <w:top w:w="0" w:type="dxa"/>
          <w:left w:w="0" w:type="dxa"/>
          <w:bottom w:w="0" w:type="dxa"/>
          <w:right w:w="0" w:type="dxa"/>
        </w:tblCellMar>
      </w:tblPr>
      <w:tr>
        <w:trPr>
          <w:trHeight w:val="149"/>
        </w:trPr>
        <w:tc>
          <w:tcPr>
            <w:tcW w:w="2000" w:type="dxa"/>
            <w:vAlign w:val="bottom"/>
          </w:tcPr>
          <w:p>
            <w:pPr>
              <w:spacing w:after="0"/>
              <w:rPr>
                <w:sz w:val="20"/>
                <w:szCs w:val="20"/>
                <w:color w:val="auto"/>
              </w:rPr>
            </w:pPr>
            <w:r>
              <w:rPr>
                <w:rFonts w:ascii="Arial" w:cs="Arial" w:eastAsia="Arial" w:hAnsi="Arial"/>
                <w:sz w:val="13"/>
                <w:szCs w:val="13"/>
                <w:b w:val="1"/>
                <w:bCs w:val="1"/>
                <w:color w:val="auto"/>
              </w:rPr>
              <w:t>Cost -</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5"/>
        </w:trPr>
        <w:tc>
          <w:tcPr>
            <w:tcW w:w="2000" w:type="dxa"/>
            <w:vAlign w:val="bottom"/>
          </w:tcPr>
          <w:p>
            <w:pPr>
              <w:spacing w:after="0" w:line="145" w:lineRule="exact"/>
              <w:rPr>
                <w:sz w:val="20"/>
                <w:szCs w:val="20"/>
                <w:color w:val="auto"/>
              </w:rPr>
            </w:pPr>
            <w:r>
              <w:rPr>
                <w:rFonts w:ascii="Arial" w:cs="Arial" w:eastAsia="Arial" w:hAnsi="Arial"/>
                <w:sz w:val="13"/>
                <w:szCs w:val="13"/>
                <w:b w:val="1"/>
                <w:bCs w:val="1"/>
                <w:color w:val="auto"/>
              </w:rPr>
              <w:t>Balance at January 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372,009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175,321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69,541</w:t>
            </w:r>
          </w:p>
        </w:tc>
        <w:tc>
          <w:tcPr>
            <w:tcW w:w="10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21,100</w:t>
            </w:r>
          </w:p>
        </w:tc>
        <w:tc>
          <w:tcPr>
            <w:tcW w:w="9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5,179,719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608,747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6,426,437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5,861,379</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5,167,235</w:t>
            </w:r>
          </w:p>
        </w:tc>
        <w:tc>
          <w:tcPr>
            <w:tcW w:w="40" w:type="dxa"/>
            <w:vAlign w:val="bottom"/>
          </w:tcPr>
          <w:p>
            <w:pPr>
              <w:spacing w:after="0"/>
              <w:rPr>
                <w:sz w:val="12"/>
                <w:szCs w:val="12"/>
                <w:color w:val="auto"/>
              </w:rPr>
            </w:pPr>
          </w:p>
        </w:tc>
      </w:tr>
      <w:tr>
        <w:trPr>
          <w:trHeight w:val="145"/>
        </w:trPr>
        <w:tc>
          <w:tcPr>
            <w:tcW w:w="2000" w:type="dxa"/>
            <w:vAlign w:val="bottom"/>
          </w:tcPr>
          <w:p>
            <w:pPr>
              <w:spacing w:after="0" w:line="145" w:lineRule="exact"/>
              <w:rPr>
                <w:sz w:val="20"/>
                <w:szCs w:val="20"/>
                <w:color w:val="auto"/>
              </w:rPr>
            </w:pPr>
            <w:r>
              <w:rPr>
                <w:rFonts w:ascii="Arial" w:cs="Arial" w:eastAsia="Arial" w:hAnsi="Arial"/>
                <w:sz w:val="13"/>
                <w:szCs w:val="13"/>
                <w:color w:val="auto"/>
              </w:rPr>
              <w:t>Additions</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556,945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427,026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983,971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801,290</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828,803</w:t>
            </w:r>
          </w:p>
        </w:tc>
        <w:tc>
          <w:tcPr>
            <w:tcW w:w="40" w:type="dxa"/>
            <w:vAlign w:val="bottom"/>
          </w:tcPr>
          <w:p>
            <w:pPr>
              <w:spacing w:after="0"/>
              <w:rPr>
                <w:sz w:val="12"/>
                <w:szCs w:val="12"/>
                <w:color w:val="auto"/>
              </w:rPr>
            </w:pPr>
          </w:p>
        </w:tc>
      </w:tr>
      <w:tr>
        <w:trPr>
          <w:trHeight w:val="145"/>
        </w:trPr>
        <w:tc>
          <w:tcPr>
            <w:tcW w:w="2000" w:type="dxa"/>
            <w:vAlign w:val="bottom"/>
          </w:tcPr>
          <w:p>
            <w:pPr>
              <w:spacing w:after="0" w:line="145" w:lineRule="exact"/>
              <w:rPr>
                <w:sz w:val="20"/>
                <w:szCs w:val="20"/>
                <w:color w:val="auto"/>
              </w:rPr>
            </w:pPr>
            <w:r>
              <w:rPr>
                <w:rFonts w:ascii="Arial" w:cs="Arial" w:eastAsia="Arial" w:hAnsi="Arial"/>
                <w:sz w:val="13"/>
                <w:szCs w:val="13"/>
                <w:color w:val="auto"/>
              </w:rPr>
              <w:t>Acquisition of business, Note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000" w:type="dxa"/>
            <w:vAlign w:val="bottom"/>
          </w:tcPr>
          <w:p>
            <w:pPr>
              <w:spacing w:after="0" w:line="145" w:lineRule="exact"/>
              <w:rPr>
                <w:sz w:val="20"/>
                <w:szCs w:val="20"/>
                <w:color w:val="auto"/>
              </w:rPr>
            </w:pPr>
            <w:r>
              <w:rPr>
                <w:rFonts w:ascii="Arial" w:cs="Arial" w:eastAsia="Arial" w:hAnsi="Arial"/>
                <w:sz w:val="13"/>
                <w:szCs w:val="13"/>
                <w:color w:val="auto"/>
              </w:rPr>
              <w:t>2(a) (*)</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293,800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365,372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32,707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16,728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708,607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16,642</w:t>
            </w:r>
          </w:p>
        </w:tc>
      </w:tr>
      <w:tr>
        <w:trPr>
          <w:trHeight w:val="145"/>
        </w:trPr>
        <w:tc>
          <w:tcPr>
            <w:tcW w:w="2000" w:type="dxa"/>
            <w:vAlign w:val="bottom"/>
          </w:tcPr>
          <w:p>
            <w:pPr>
              <w:spacing w:after="0" w:line="145" w:lineRule="exact"/>
              <w:rPr>
                <w:sz w:val="20"/>
                <w:szCs w:val="20"/>
                <w:color w:val="auto"/>
              </w:rPr>
            </w:pPr>
            <w:r>
              <w:rPr>
                <w:rFonts w:ascii="Arial" w:cs="Arial" w:eastAsia="Arial" w:hAnsi="Arial"/>
                <w:sz w:val="13"/>
                <w:szCs w:val="13"/>
                <w:color w:val="auto"/>
              </w:rPr>
              <w:t>Transfers</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277,464</w:t>
            </w:r>
          </w:p>
        </w:tc>
        <w:tc>
          <w:tcPr>
            <w:tcW w:w="92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(277,464)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r>
      <w:tr>
        <w:trPr>
          <w:trHeight w:val="165"/>
        </w:trPr>
        <w:tc>
          <w:tcPr>
            <w:tcW w:w="2000" w:type="dxa"/>
            <w:vAlign w:val="bottom"/>
          </w:tcPr>
          <w:p>
            <w:pPr>
              <w:spacing w:after="0"/>
              <w:rPr>
                <w:sz w:val="20"/>
                <w:szCs w:val="20"/>
                <w:color w:val="auto"/>
              </w:rPr>
            </w:pPr>
            <w:r>
              <w:rPr>
                <w:rFonts w:ascii="Arial" w:cs="Arial" w:eastAsia="Arial" w:hAnsi="Arial"/>
                <w:sz w:val="13"/>
                <w:szCs w:val="13"/>
                <w:color w:val="auto"/>
              </w:rPr>
              <w:t>Disposals and others (**)</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(22,869)</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999</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(80,607)</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(107,919)</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(210,396)</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(236,232)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(151,301)</w:t>
            </w:r>
          </w:p>
        </w:tc>
      </w:tr>
      <w:tr>
        <w:trPr>
          <w:trHeight w:val="137"/>
        </w:trPr>
        <w:tc>
          <w:tcPr>
            <w:tcW w:w="2000" w:type="dxa"/>
            <w:vAlign w:val="bottom"/>
          </w:tcPr>
          <w:p>
            <w:pPr>
              <w:spacing w:after="0" w:line="137" w:lineRule="exact"/>
              <w:rPr>
                <w:sz w:val="20"/>
                <w:szCs w:val="20"/>
                <w:color w:val="auto"/>
              </w:rPr>
            </w:pPr>
            <w:r>
              <w:rPr>
                <w:rFonts w:ascii="Arial" w:cs="Arial" w:eastAsia="Arial" w:hAnsi="Arial"/>
                <w:sz w:val="13"/>
                <w:szCs w:val="13"/>
                <w:b w:val="1"/>
                <w:bCs w:val="1"/>
                <w:color w:val="auto"/>
              </w:rPr>
              <w:t>Balance as of December 31</w:t>
            </w: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642,940</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540,693</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70,540</w:t>
            </w:r>
          </w:p>
        </w:tc>
        <w:tc>
          <w:tcPr>
            <w:tcW w:w="20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21,100</w:t>
            </w:r>
          </w:p>
        </w:tc>
        <w:tc>
          <w:tcPr>
            <w:tcW w:w="1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5,966,228</w:t>
            </w:r>
          </w:p>
        </w:tc>
        <w:tc>
          <w:tcPr>
            <w:tcW w:w="1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667,118</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7,908,619</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6,426,437</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5,861,379</w:t>
            </w:r>
          </w:p>
        </w:tc>
        <w:tc>
          <w:tcPr>
            <w:tcW w:w="40" w:type="dxa"/>
            <w:vAlign w:val="bottom"/>
          </w:tcPr>
          <w:p>
            <w:pPr>
              <w:spacing w:after="0"/>
              <w:rPr>
                <w:sz w:val="11"/>
                <w:szCs w:val="11"/>
                <w:color w:val="auto"/>
              </w:rPr>
            </w:pPr>
          </w:p>
        </w:tc>
      </w:tr>
      <w:tr>
        <w:trPr>
          <w:trHeight w:val="274"/>
        </w:trPr>
        <w:tc>
          <w:tcPr>
            <w:tcW w:w="2000" w:type="dxa"/>
            <w:vAlign w:val="bottom"/>
          </w:tcPr>
          <w:p>
            <w:pPr>
              <w:spacing w:after="0"/>
              <w:rPr>
                <w:sz w:val="20"/>
                <w:szCs w:val="20"/>
                <w:color w:val="auto"/>
              </w:rPr>
            </w:pPr>
            <w:r>
              <w:rPr>
                <w:rFonts w:ascii="Arial" w:cs="Arial" w:eastAsia="Arial" w:hAnsi="Arial"/>
                <w:sz w:val="13"/>
                <w:szCs w:val="13"/>
                <w:b w:val="1"/>
                <w:bCs w:val="1"/>
                <w:color w:val="auto"/>
              </w:rPr>
              <w:t>Accumulated amortization -</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45"/>
        </w:trPr>
        <w:tc>
          <w:tcPr>
            <w:tcW w:w="2000" w:type="dxa"/>
            <w:vAlign w:val="bottom"/>
          </w:tcPr>
          <w:p>
            <w:pPr>
              <w:spacing w:after="0" w:line="145" w:lineRule="exact"/>
              <w:rPr>
                <w:sz w:val="20"/>
                <w:szCs w:val="20"/>
                <w:color w:val="auto"/>
              </w:rPr>
            </w:pPr>
            <w:r>
              <w:rPr>
                <w:rFonts w:ascii="Arial" w:cs="Arial" w:eastAsia="Arial" w:hAnsi="Arial"/>
                <w:sz w:val="13"/>
                <w:szCs w:val="13"/>
                <w:b w:val="1"/>
                <w:bCs w:val="1"/>
                <w:color w:val="auto"/>
              </w:rPr>
              <w:t>Balance at January 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332,464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72,666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18,162</w:t>
            </w:r>
          </w:p>
        </w:tc>
        <w:tc>
          <w:tcPr>
            <w:tcW w:w="10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21,100</w:t>
            </w:r>
          </w:p>
        </w:tc>
        <w:tc>
          <w:tcPr>
            <w:tcW w:w="9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3,415,249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3,859,641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3,434,362</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3,040,019</w:t>
            </w:r>
          </w:p>
        </w:tc>
        <w:tc>
          <w:tcPr>
            <w:tcW w:w="40" w:type="dxa"/>
            <w:vAlign w:val="bottom"/>
          </w:tcPr>
          <w:p>
            <w:pPr>
              <w:spacing w:after="0"/>
              <w:rPr>
                <w:sz w:val="12"/>
                <w:szCs w:val="12"/>
                <w:color w:val="auto"/>
              </w:rPr>
            </w:pPr>
          </w:p>
        </w:tc>
      </w:tr>
      <w:tr>
        <w:trPr>
          <w:trHeight w:val="145"/>
        </w:trPr>
        <w:tc>
          <w:tcPr>
            <w:tcW w:w="2000" w:type="dxa"/>
            <w:vAlign w:val="bottom"/>
          </w:tcPr>
          <w:p>
            <w:pPr>
              <w:spacing w:after="0" w:line="145" w:lineRule="exact"/>
              <w:rPr>
                <w:sz w:val="20"/>
                <w:szCs w:val="20"/>
                <w:color w:val="auto"/>
              </w:rPr>
            </w:pPr>
            <w:r>
              <w:rPr>
                <w:rFonts w:ascii="Arial" w:cs="Arial" w:eastAsia="Arial" w:hAnsi="Arial"/>
                <w:sz w:val="13"/>
                <w:szCs w:val="13"/>
                <w:color w:val="auto"/>
              </w:rPr>
              <w:t>Amortization of the period</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16,152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9,235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3,656</w:t>
            </w:r>
          </w:p>
        </w:tc>
        <w:tc>
          <w:tcPr>
            <w:tcW w:w="10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585,729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614,772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482,894</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436,584</w:t>
            </w:r>
          </w:p>
        </w:tc>
        <w:tc>
          <w:tcPr>
            <w:tcW w:w="40" w:type="dxa"/>
            <w:vAlign w:val="bottom"/>
          </w:tcPr>
          <w:p>
            <w:pPr>
              <w:spacing w:after="0"/>
              <w:rPr>
                <w:sz w:val="12"/>
                <w:szCs w:val="12"/>
                <w:color w:val="auto"/>
              </w:rPr>
            </w:pPr>
          </w:p>
        </w:tc>
      </w:tr>
      <w:tr>
        <w:trPr>
          <w:trHeight w:val="165"/>
        </w:trPr>
        <w:tc>
          <w:tcPr>
            <w:tcW w:w="2000" w:type="dxa"/>
            <w:vAlign w:val="bottom"/>
          </w:tcPr>
          <w:p>
            <w:pPr>
              <w:spacing w:after="0"/>
              <w:rPr>
                <w:sz w:val="20"/>
                <w:szCs w:val="20"/>
                <w:color w:val="auto"/>
              </w:rPr>
            </w:pPr>
            <w:r>
              <w:rPr>
                <w:rFonts w:ascii="Arial" w:cs="Arial" w:eastAsia="Arial" w:hAnsi="Arial"/>
                <w:sz w:val="13"/>
                <w:szCs w:val="13"/>
                <w:color w:val="auto"/>
              </w:rPr>
              <w:t>Disposals and others (**)</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(22,618)</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(54,712)</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(77,330)</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(57,615)</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(42,241)</w:t>
            </w:r>
          </w:p>
        </w:tc>
      </w:tr>
      <w:tr>
        <w:trPr>
          <w:trHeight w:val="137"/>
        </w:trPr>
        <w:tc>
          <w:tcPr>
            <w:tcW w:w="2000" w:type="dxa"/>
            <w:vAlign w:val="bottom"/>
          </w:tcPr>
          <w:p>
            <w:pPr>
              <w:spacing w:after="0" w:line="137" w:lineRule="exact"/>
              <w:rPr>
                <w:sz w:val="20"/>
                <w:szCs w:val="20"/>
                <w:color w:val="auto"/>
              </w:rPr>
            </w:pPr>
            <w:r>
              <w:rPr>
                <w:rFonts w:ascii="Arial" w:cs="Arial" w:eastAsia="Arial" w:hAnsi="Arial"/>
                <w:sz w:val="13"/>
                <w:szCs w:val="13"/>
                <w:b w:val="1"/>
                <w:bCs w:val="1"/>
                <w:color w:val="auto"/>
              </w:rPr>
              <w:t>Balance as of December 31</w:t>
            </w: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325,998</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81,901</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21,818</w:t>
            </w:r>
          </w:p>
        </w:tc>
        <w:tc>
          <w:tcPr>
            <w:tcW w:w="20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21,100</w:t>
            </w:r>
          </w:p>
        </w:tc>
        <w:tc>
          <w:tcPr>
            <w:tcW w:w="1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3,946,266</w:t>
            </w:r>
          </w:p>
        </w:tc>
        <w:tc>
          <w:tcPr>
            <w:tcW w:w="1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4,397,083</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3,859,641</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3,434,362</w:t>
            </w:r>
          </w:p>
        </w:tc>
        <w:tc>
          <w:tcPr>
            <w:tcW w:w="40" w:type="dxa"/>
            <w:vAlign w:val="bottom"/>
          </w:tcPr>
          <w:p>
            <w:pPr>
              <w:spacing w:after="0"/>
              <w:rPr>
                <w:sz w:val="11"/>
                <w:szCs w:val="11"/>
                <w:color w:val="auto"/>
              </w:rPr>
            </w:pPr>
          </w:p>
        </w:tc>
      </w:tr>
      <w:tr>
        <w:trPr>
          <w:trHeight w:val="294"/>
        </w:trPr>
        <w:tc>
          <w:tcPr>
            <w:tcW w:w="2000" w:type="dxa"/>
            <w:vAlign w:val="bottom"/>
          </w:tcPr>
          <w:p>
            <w:pPr>
              <w:spacing w:after="0"/>
              <w:rPr>
                <w:sz w:val="20"/>
                <w:szCs w:val="20"/>
                <w:color w:val="auto"/>
              </w:rPr>
            </w:pPr>
            <w:r>
              <w:rPr>
                <w:rFonts w:ascii="Arial" w:cs="Arial" w:eastAsia="Arial" w:hAnsi="Arial"/>
                <w:sz w:val="13"/>
                <w:szCs w:val="13"/>
                <w:b w:val="1"/>
                <w:bCs w:val="1"/>
                <w:color w:val="auto"/>
              </w:rPr>
              <w:t>Net carrying amount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316,942</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458,792</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48,722</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2,019,962</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667,118</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3,511,536</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2,566,796</w:t>
            </w:r>
          </w:p>
        </w:tc>
        <w:tc>
          <w:tcPr>
            <w:tcW w:w="720" w:type="dxa"/>
            <w:vAlign w:val="bottom"/>
          </w:tcPr>
          <w:p>
            <w:pPr>
              <w:jc w:val="right"/>
              <w:spacing w:after="0"/>
              <w:rPr>
                <w:sz w:val="20"/>
                <w:szCs w:val="20"/>
                <w:color w:val="auto"/>
              </w:rPr>
            </w:pPr>
            <w:r>
              <w:rPr>
                <w:rFonts w:ascii="Arial" w:cs="Arial" w:eastAsia="Arial" w:hAnsi="Arial"/>
                <w:sz w:val="13"/>
                <w:szCs w:val="13"/>
                <w:color w:val="auto"/>
              </w:rPr>
              <w:t>2,427,017</w:t>
            </w:r>
          </w:p>
        </w:tc>
        <w:tc>
          <w:tcPr>
            <w:tcW w:w="40" w:type="dxa"/>
            <w:vAlign w:val="bottom"/>
          </w:tcPr>
          <w:p>
            <w:pPr>
              <w:spacing w:after="0"/>
              <w:rPr>
                <w:sz w:val="24"/>
                <w:szCs w:val="24"/>
                <w:color w:val="auto"/>
              </w:rPr>
            </w:pPr>
          </w:p>
        </w:tc>
      </w:tr>
      <w:tr>
        <w:trPr>
          <w:trHeight w:val="24"/>
        </w:trPr>
        <w:tc>
          <w:tcPr>
            <w:tcW w:w="2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4" w:lineRule="exact"/>
        <w:rPr>
          <w:sz w:val="20"/>
          <w:szCs w:val="20"/>
          <w:color w:val="auto"/>
        </w:rPr>
      </w:pPr>
    </w:p>
    <w:p>
      <w:pPr>
        <w:jc w:val="both"/>
        <w:ind w:left="863" w:right="20"/>
        <w:spacing w:after="0" w:line="274" w:lineRule="auto"/>
        <w:rPr>
          <w:sz w:val="20"/>
          <w:szCs w:val="20"/>
          <w:color w:val="auto"/>
        </w:rPr>
      </w:pPr>
      <w:r>
        <w:rPr>
          <w:rFonts w:ascii="Arial" w:cs="Arial" w:eastAsia="Arial" w:hAnsi="Arial"/>
          <w:sz w:val="16"/>
          <w:szCs w:val="16"/>
          <w:color w:val="auto"/>
        </w:rPr>
        <w:t>During the years 2025, 2024, and 2023, the Group, as part of its investment in intangible assets, incurred expenditures mainly related to the development, acquisition, and strengthening of these assets.</w:t>
      </w:r>
    </w:p>
    <w:p>
      <w:pPr>
        <w:spacing w:after="0" w:line="123" w:lineRule="exact"/>
        <w:rPr>
          <w:sz w:val="20"/>
          <w:szCs w:val="20"/>
          <w:color w:val="auto"/>
        </w:rPr>
      </w:pPr>
    </w:p>
    <w:p>
      <w:pPr>
        <w:ind w:left="863"/>
        <w:spacing w:after="0"/>
        <w:rPr>
          <w:sz w:val="20"/>
          <w:szCs w:val="20"/>
          <w:color w:val="auto"/>
        </w:rPr>
      </w:pPr>
      <w:r>
        <w:rPr>
          <w:rFonts w:ascii="Arial" w:cs="Arial" w:eastAsia="Arial" w:hAnsi="Arial"/>
          <w:sz w:val="16"/>
          <w:szCs w:val="16"/>
          <w:color w:val="auto"/>
        </w:rPr>
        <w:t>The Group maintains insurance coverage over its main assets in accordance with policies established by Management.</w:t>
      </w:r>
    </w:p>
    <w:p>
      <w:pPr>
        <w:spacing w:after="0" w:line="178" w:lineRule="exact"/>
        <w:rPr>
          <w:sz w:val="20"/>
          <w:szCs w:val="20"/>
          <w:color w:val="auto"/>
        </w:rPr>
      </w:pPr>
    </w:p>
    <w:p>
      <w:pPr>
        <w:jc w:val="both"/>
        <w:ind w:left="863"/>
        <w:spacing w:after="0" w:line="255" w:lineRule="auto"/>
        <w:rPr>
          <w:sz w:val="20"/>
          <w:szCs w:val="20"/>
          <w:color w:val="auto"/>
        </w:rPr>
      </w:pPr>
      <w:r>
        <w:rPr>
          <w:rFonts w:ascii="Arial" w:cs="Arial" w:eastAsia="Arial" w:hAnsi="Arial"/>
          <w:sz w:val="16"/>
          <w:szCs w:val="16"/>
          <w:color w:val="auto"/>
        </w:rPr>
        <w:t>Management also periodically reviews the residual value, useful life, and amortization method applied to intangible assets in order to ensure that they are consistent with the expected economic benefits and their estimated useful lives. In the opinion of the Group’s Management, there is no evidence of impairment of the value of the intangible assets held as of December 31, 2025, December 31, 2024, and December 31, 2023.</w:t>
      </w:r>
    </w:p>
    <w:p>
      <w:pPr>
        <w:spacing w:after="0" w:line="137" w:lineRule="exact"/>
        <w:rPr>
          <w:sz w:val="20"/>
          <w:szCs w:val="20"/>
          <w:color w:val="auto"/>
        </w:rPr>
      </w:pPr>
    </w:p>
    <w:p>
      <w:pPr>
        <w:jc w:val="both"/>
        <w:ind w:left="863" w:right="20"/>
        <w:spacing w:after="0" w:line="248" w:lineRule="auto"/>
        <w:rPr>
          <w:sz w:val="20"/>
          <w:szCs w:val="20"/>
          <w:color w:val="auto"/>
        </w:rPr>
      </w:pPr>
      <w:r>
        <w:rPr>
          <w:rFonts w:ascii="Arial" w:cs="Arial" w:eastAsia="Arial" w:hAnsi="Arial"/>
          <w:sz w:val="16"/>
          <w:szCs w:val="16"/>
          <w:color w:val="auto"/>
        </w:rPr>
        <w:t>As a result of the implementation of IFRS 17, amortization expense related to intangible assets is allocated in the consolidated statement of income between the amortization line item and the attributable expense included in insurance technical results, amounting to S/564.8 million and S/50.0 million, respectively, for the year 2025; S/420.9 million and S/62.0 million, respectively, for the year 2024; and S/386.1 million and S/50.5 million, respectively, for the year 2023.</w:t>
      </w:r>
    </w:p>
    <w:p>
      <w:pPr>
        <w:spacing w:after="0" w:line="14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 The increase is due to the acquisition of Pacífico EPS and Subsidiaries in March 2025; see Note 2(a).</w:t>
      </w:r>
    </w:p>
    <w:p>
      <w:pPr>
        <w:spacing w:after="0" w:line="178" w:lineRule="exact"/>
        <w:rPr>
          <w:sz w:val="20"/>
          <w:szCs w:val="20"/>
          <w:color w:val="auto"/>
        </w:rPr>
      </w:pPr>
    </w:p>
    <w:p>
      <w:pPr>
        <w:ind w:left="863" w:right="20" w:firstLine="5"/>
        <w:spacing w:after="0" w:line="274" w:lineRule="auto"/>
        <w:tabs>
          <w:tab w:leader="none" w:pos="1164"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Includes transactions related to the sale, retirement and other disposals of intangible assets that are no longer required for the Group’s operations.</w:t>
      </w:r>
    </w:p>
    <w:p>
      <w:pPr>
        <w:spacing w:after="0" w:line="291" w:lineRule="exact"/>
        <w:rPr>
          <w:rFonts w:ascii="Arial" w:cs="Arial" w:eastAsia="Arial" w:hAnsi="Arial"/>
          <w:sz w:val="16"/>
          <w:szCs w:val="16"/>
          <w:color w:val="auto"/>
        </w:rPr>
      </w:pPr>
    </w:p>
    <w:p>
      <w:pPr>
        <w:ind w:left="5523" w:hanging="104"/>
        <w:spacing w:after="0"/>
        <w:tabs>
          <w:tab w:leader="none" w:pos="5523" w:val="left"/>
        </w:tabs>
        <w:numPr>
          <w:ilvl w:val="1"/>
          <w:numId w:val="97"/>
        </w:numPr>
        <w:rPr>
          <w:rFonts w:ascii="Arial" w:cs="Arial" w:eastAsia="Arial" w:hAnsi="Arial"/>
          <w:sz w:val="16"/>
          <w:szCs w:val="16"/>
          <w:color w:val="auto"/>
        </w:rPr>
      </w:pPr>
      <w:r>
        <w:rPr>
          <w:rFonts w:ascii="Arial" w:cs="Arial" w:eastAsia="Arial" w:hAnsi="Arial"/>
          <w:sz w:val="16"/>
          <w:szCs w:val="16"/>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316"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4"/>
        </w:trPr>
        <w:tc>
          <w:tcPr>
            <w:tcW w:w="5160" w:type="dxa"/>
            <w:vAlign w:val="bottom"/>
          </w:tcPr>
          <w:p>
            <w:pPr>
              <w:ind w:left="580"/>
              <w:spacing w:after="0"/>
              <w:rPr>
                <w:sz w:val="20"/>
                <w:szCs w:val="20"/>
                <w:color w:val="auto"/>
              </w:rPr>
            </w:pPr>
            <w:r>
              <w:rPr>
                <w:rFonts w:ascii="Arial" w:cs="Arial" w:eastAsia="Arial" w:hAnsi="Arial"/>
                <w:sz w:val="16"/>
                <w:szCs w:val="16"/>
                <w:color w:val="auto"/>
              </w:rPr>
              <w:t>(i)  Client relationships -</w:t>
            </w:r>
          </w:p>
        </w:tc>
        <w:tc>
          <w:tcPr>
            <w:tcW w:w="3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2"/>
        </w:trPr>
        <w:tc>
          <w:tcPr>
            <w:tcW w:w="5160" w:type="dxa"/>
            <w:vAlign w:val="bottom"/>
          </w:tcPr>
          <w:p>
            <w:pPr>
              <w:ind w:left="860"/>
              <w:spacing w:after="0"/>
              <w:rPr>
                <w:sz w:val="20"/>
                <w:szCs w:val="20"/>
                <w:color w:val="auto"/>
              </w:rPr>
            </w:pPr>
            <w:r>
              <w:rPr>
                <w:rFonts w:ascii="Arial" w:cs="Arial" w:eastAsia="Arial" w:hAnsi="Arial"/>
                <w:sz w:val="16"/>
                <w:szCs w:val="16"/>
                <w:color w:val="auto"/>
              </w:rPr>
              <w:t>This item consists of the following:</w:t>
            </w:r>
          </w:p>
        </w:tc>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5160" w:type="dxa"/>
            <w:vAlign w:val="bottom"/>
          </w:tcPr>
          <w:p>
            <w:pPr>
              <w:spacing w:after="0"/>
              <w:rPr>
                <w:sz w:val="24"/>
                <w:szCs w:val="24"/>
                <w:color w:val="auto"/>
              </w:rPr>
            </w:pPr>
          </w:p>
        </w:tc>
        <w:tc>
          <w:tcPr>
            <w:tcW w:w="4820" w:type="dxa"/>
            <w:vAlign w:val="bottom"/>
            <w:gridSpan w:val="2"/>
          </w:tcPr>
          <w:p>
            <w:pPr>
              <w:ind w:left="376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5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40" w:type="dxa"/>
            <w:vAlign w:val="bottom"/>
            <w:gridSpan w:val="2"/>
          </w:tcPr>
          <w:p>
            <w:pPr>
              <w:spacing w:after="0"/>
              <w:rPr>
                <w:sz w:val="18"/>
                <w:szCs w:val="18"/>
                <w:color w:val="auto"/>
              </w:rPr>
            </w:pPr>
          </w:p>
        </w:tc>
      </w:tr>
      <w:tr>
        <w:trPr>
          <w:trHeight w:val="305"/>
        </w:trPr>
        <w:tc>
          <w:tcPr>
            <w:tcW w:w="5160" w:type="dxa"/>
            <w:vAlign w:val="bottom"/>
          </w:tcPr>
          <w:p>
            <w:pPr>
              <w:ind w:left="860"/>
              <w:spacing w:after="0"/>
              <w:rPr>
                <w:sz w:val="20"/>
                <w:szCs w:val="20"/>
                <w:color w:val="auto"/>
              </w:rPr>
            </w:pPr>
            <w:r>
              <w:rPr>
                <w:rFonts w:ascii="Arial" w:cs="Arial" w:eastAsia="Arial" w:hAnsi="Arial"/>
                <w:sz w:val="16"/>
                <w:szCs w:val="16"/>
                <w:color w:val="auto"/>
              </w:rPr>
              <w:t>Pacifico S.A. Entidad Prestadora de Salud</w:t>
            </w:r>
          </w:p>
        </w:tc>
        <w:tc>
          <w:tcPr>
            <w:tcW w:w="5020" w:type="dxa"/>
            <w:vAlign w:val="bottom"/>
            <w:gridSpan w:val="3"/>
          </w:tcPr>
          <w:p>
            <w:pPr>
              <w:jc w:val="right"/>
              <w:ind w:right="200"/>
              <w:spacing w:after="0"/>
              <w:rPr>
                <w:sz w:val="20"/>
                <w:szCs w:val="20"/>
                <w:color w:val="auto"/>
              </w:rPr>
            </w:pPr>
            <w:r>
              <w:rPr>
                <w:rFonts w:ascii="Arial" w:cs="Arial" w:eastAsia="Arial" w:hAnsi="Arial"/>
                <w:sz w:val="16"/>
                <w:szCs w:val="16"/>
                <w:color w:val="auto"/>
              </w:rPr>
              <w:t>77,642</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Laboratorios ROE S.A</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63,708</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Clínica San Felipe S.A.</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31,350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Centro Médico Odontológico Americano S.A.C</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21,633</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Clínica Sanchez Ferrer S.A</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21,450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Oncocare S.A.C</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17,692</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La esperanza del Perú S. A</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14,575</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Clínica Belén</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12,283</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Clínica del Sur</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11,550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Credicorp Capital Holding Chile - Inversiones IMT</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9,626</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10,892</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Prosemedic S.A.C</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9,167</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Prima AFP – AFP Unión Vida</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8,567</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20,813</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Clínica el Golf</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7,517</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Ultraserfinco S.A</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3,950</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5,049</w:t>
            </w:r>
          </w:p>
        </w:tc>
        <w:tc>
          <w:tcPr>
            <w:tcW w:w="20" w:type="dxa"/>
            <w:vAlign w:val="bottom"/>
          </w:tcPr>
          <w:p>
            <w:pPr>
              <w:spacing w:after="0"/>
              <w:rPr>
                <w:sz w:val="15"/>
                <w:szCs w:val="15"/>
                <w:color w:val="auto"/>
              </w:rPr>
            </w:pP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Tenpo Bank</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3,203</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Doctor + S.A.C</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1,283</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Compañía Incubadora de Soluciones Móviles S.A.- Culqi</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1,467</w:t>
            </w:r>
          </w:p>
        </w:tc>
        <w:tc>
          <w:tcPr>
            <w:tcW w:w="20" w:type="dxa"/>
            <w:vAlign w:val="bottom"/>
          </w:tcPr>
          <w:p>
            <w:pPr>
              <w:spacing w:after="0"/>
              <w:rPr>
                <w:sz w:val="15"/>
                <w:szCs w:val="15"/>
                <w:color w:val="auto"/>
              </w:rPr>
            </w:pPr>
          </w:p>
        </w:tc>
      </w:tr>
      <w:tr>
        <w:trPr>
          <w:trHeight w:val="181"/>
        </w:trPr>
        <w:tc>
          <w:tcPr>
            <w:tcW w:w="5160" w:type="dxa"/>
            <w:vAlign w:val="bottom"/>
          </w:tcPr>
          <w:p>
            <w:pPr>
              <w:ind w:left="860"/>
              <w:spacing w:after="0" w:line="181" w:lineRule="exact"/>
              <w:rPr>
                <w:sz w:val="20"/>
                <w:szCs w:val="20"/>
                <w:color w:val="auto"/>
              </w:rPr>
            </w:pPr>
            <w:r>
              <w:rPr>
                <w:rFonts w:ascii="Arial" w:cs="Arial" w:eastAsia="Arial" w:hAnsi="Arial"/>
                <w:sz w:val="16"/>
                <w:szCs w:val="16"/>
                <w:color w:val="auto"/>
              </w:rPr>
              <w:t>Tenpo SpA</w:t>
            </w:r>
          </w:p>
        </w:tc>
        <w:tc>
          <w:tcPr>
            <w:tcW w:w="502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746</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1,011</w:t>
            </w:r>
          </w:p>
        </w:tc>
        <w:tc>
          <w:tcPr>
            <w:tcW w:w="20" w:type="dxa"/>
            <w:vAlign w:val="bottom"/>
          </w:tcPr>
          <w:p>
            <w:pPr>
              <w:spacing w:after="0"/>
              <w:rPr>
                <w:sz w:val="15"/>
                <w:szCs w:val="15"/>
                <w:color w:val="auto"/>
              </w:rPr>
            </w:pPr>
          </w:p>
        </w:tc>
      </w:tr>
      <w:tr>
        <w:trPr>
          <w:trHeight w:val="210"/>
        </w:trPr>
        <w:tc>
          <w:tcPr>
            <w:tcW w:w="5160" w:type="dxa"/>
            <w:vAlign w:val="bottom"/>
          </w:tcPr>
          <w:p>
            <w:pPr>
              <w:ind w:left="860"/>
              <w:spacing w:after="0"/>
              <w:rPr>
                <w:sz w:val="20"/>
                <w:szCs w:val="20"/>
                <w:color w:val="auto"/>
              </w:rPr>
            </w:pPr>
            <w:r>
              <w:rPr>
                <w:rFonts w:ascii="Arial" w:cs="Arial" w:eastAsia="Arial" w:hAnsi="Arial"/>
                <w:sz w:val="16"/>
                <w:szCs w:val="16"/>
                <w:color w:val="auto"/>
              </w:rPr>
              <w:t>Joinnus S.A.C</w:t>
            </w:r>
          </w:p>
        </w:tc>
        <w:tc>
          <w:tcPr>
            <w:tcW w:w="37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313</w:t>
            </w:r>
          </w:p>
        </w:tc>
        <w:tc>
          <w:tcPr>
            <w:tcW w:w="20" w:type="dxa"/>
            <w:vAlign w:val="bottom"/>
          </w:tcPr>
          <w:p>
            <w:pPr>
              <w:spacing w:after="0"/>
              <w:rPr>
                <w:sz w:val="18"/>
                <w:szCs w:val="18"/>
                <w:color w:val="auto"/>
              </w:rPr>
            </w:pPr>
          </w:p>
        </w:tc>
      </w:tr>
      <w:tr>
        <w:trPr>
          <w:trHeight w:val="177"/>
        </w:trPr>
        <w:tc>
          <w:tcPr>
            <w:tcW w:w="51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316,942</w:t>
            </w:r>
          </w:p>
        </w:tc>
        <w:tc>
          <w:tcPr>
            <w:tcW w:w="200" w:type="dxa"/>
            <w:vAlign w:val="bottom"/>
          </w:tcPr>
          <w:p>
            <w:pPr>
              <w:spacing w:after="0"/>
              <w:rPr>
                <w:sz w:val="15"/>
                <w:szCs w:val="15"/>
                <w:color w:val="auto"/>
              </w:rPr>
            </w:pPr>
          </w:p>
        </w:tc>
        <w:tc>
          <w:tcPr>
            <w:tcW w:w="106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39,545</w:t>
            </w:r>
          </w:p>
        </w:tc>
        <w:tc>
          <w:tcPr>
            <w:tcW w:w="20" w:type="dxa"/>
            <w:vAlign w:val="bottom"/>
          </w:tcPr>
          <w:p>
            <w:pPr>
              <w:spacing w:after="0"/>
              <w:rPr>
                <w:sz w:val="15"/>
                <w:szCs w:val="15"/>
                <w:color w:val="auto"/>
              </w:rPr>
            </w:pPr>
          </w:p>
        </w:tc>
      </w:tr>
      <w:tr>
        <w:trPr>
          <w:trHeight w:val="547"/>
        </w:trPr>
        <w:tc>
          <w:tcPr>
            <w:tcW w:w="5160" w:type="dxa"/>
            <w:vAlign w:val="bottom"/>
          </w:tcPr>
          <w:p>
            <w:pPr>
              <w:spacing w:after="0"/>
              <w:rPr>
                <w:sz w:val="24"/>
                <w:szCs w:val="24"/>
                <w:color w:val="auto"/>
              </w:rPr>
            </w:pPr>
          </w:p>
        </w:tc>
        <w:tc>
          <w:tcPr>
            <w:tcW w:w="3760" w:type="dxa"/>
            <w:vAlign w:val="bottom"/>
          </w:tcPr>
          <w:p>
            <w:pPr>
              <w:jc w:val="right"/>
              <w:ind w:right="3040"/>
              <w:spacing w:after="0"/>
              <w:rPr>
                <w:sz w:val="20"/>
                <w:szCs w:val="20"/>
                <w:color w:val="auto"/>
              </w:rPr>
            </w:pPr>
            <w:r>
              <w:rPr>
                <w:rFonts w:ascii="Arial" w:cs="Arial" w:eastAsia="Arial" w:hAnsi="Arial"/>
                <w:sz w:val="16"/>
                <w:szCs w:val="16"/>
                <w:color w:val="auto"/>
              </w:rPr>
              <w:t>- 82 -</w:t>
            </w: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516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16"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20" w:type="dxa"/>
            <w:vAlign w:val="bottom"/>
          </w:tcPr>
          <w:p>
            <w:pPr>
              <w:ind w:left="580"/>
              <w:spacing w:after="0"/>
              <w:rPr>
                <w:sz w:val="20"/>
                <w:szCs w:val="20"/>
                <w:color w:val="auto"/>
              </w:rPr>
            </w:pPr>
            <w:r>
              <w:rPr>
                <w:rFonts w:ascii="Arial" w:cs="Arial" w:eastAsia="Arial" w:hAnsi="Arial"/>
                <w:sz w:val="16"/>
                <w:szCs w:val="16"/>
                <w:color w:val="auto"/>
              </w:rPr>
              <w:t>(ii)  Brand name –</w:t>
            </w:r>
          </w:p>
        </w:tc>
        <w:tc>
          <w:tcPr>
            <w:tcW w:w="4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2"/>
        </w:trPr>
        <w:tc>
          <w:tcPr>
            <w:tcW w:w="4920" w:type="dxa"/>
            <w:vAlign w:val="bottom"/>
          </w:tcPr>
          <w:p>
            <w:pPr>
              <w:ind w:left="860"/>
              <w:spacing w:after="0"/>
              <w:rPr>
                <w:sz w:val="20"/>
                <w:szCs w:val="20"/>
                <w:color w:val="auto"/>
              </w:rPr>
            </w:pPr>
            <w:r>
              <w:rPr>
                <w:rFonts w:ascii="Arial" w:cs="Arial" w:eastAsia="Arial" w:hAnsi="Arial"/>
                <w:sz w:val="16"/>
                <w:szCs w:val="16"/>
                <w:color w:val="auto"/>
              </w:rPr>
              <w:t>This item consists of the following:</w:t>
            </w:r>
          </w:p>
        </w:tc>
        <w:tc>
          <w:tcPr>
            <w:tcW w:w="4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920" w:type="dxa"/>
            <w:vAlign w:val="bottom"/>
          </w:tcPr>
          <w:p>
            <w:pPr>
              <w:spacing w:after="0"/>
              <w:rPr>
                <w:sz w:val="24"/>
                <w:szCs w:val="24"/>
                <w:color w:val="auto"/>
              </w:rPr>
            </w:pPr>
          </w:p>
        </w:tc>
        <w:tc>
          <w:tcPr>
            <w:tcW w:w="5060" w:type="dxa"/>
            <w:vAlign w:val="bottom"/>
            <w:gridSpan w:val="2"/>
          </w:tcPr>
          <w:p>
            <w:pPr>
              <w:ind w:left="400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4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40" w:type="dxa"/>
            <w:vAlign w:val="bottom"/>
            <w:gridSpan w:val="2"/>
          </w:tcPr>
          <w:p>
            <w:pPr>
              <w:spacing w:after="0"/>
              <w:rPr>
                <w:sz w:val="18"/>
                <w:szCs w:val="18"/>
                <w:color w:val="auto"/>
              </w:rPr>
            </w:pPr>
          </w:p>
        </w:tc>
      </w:tr>
      <w:tr>
        <w:trPr>
          <w:trHeight w:val="305"/>
        </w:trPr>
        <w:tc>
          <w:tcPr>
            <w:tcW w:w="4920" w:type="dxa"/>
            <w:vAlign w:val="bottom"/>
          </w:tcPr>
          <w:p>
            <w:pPr>
              <w:ind w:left="920"/>
              <w:spacing w:after="0"/>
              <w:rPr>
                <w:sz w:val="20"/>
                <w:szCs w:val="20"/>
                <w:color w:val="auto"/>
              </w:rPr>
            </w:pPr>
            <w:r>
              <w:rPr>
                <w:rFonts w:ascii="Arial" w:cs="Arial" w:eastAsia="Arial" w:hAnsi="Arial"/>
                <w:sz w:val="16"/>
                <w:szCs w:val="16"/>
                <w:color w:val="auto"/>
              </w:rPr>
              <w:t>ROE</w:t>
            </w:r>
          </w:p>
        </w:tc>
        <w:tc>
          <w:tcPr>
            <w:tcW w:w="5260" w:type="dxa"/>
            <w:vAlign w:val="bottom"/>
            <w:gridSpan w:val="3"/>
          </w:tcPr>
          <w:p>
            <w:pPr>
              <w:jc w:val="right"/>
              <w:ind w:right="200"/>
              <w:spacing w:after="0"/>
              <w:rPr>
                <w:sz w:val="20"/>
                <w:szCs w:val="20"/>
                <w:color w:val="auto"/>
              </w:rPr>
            </w:pPr>
            <w:r>
              <w:rPr>
                <w:rFonts w:ascii="Arial" w:cs="Arial" w:eastAsia="Arial" w:hAnsi="Arial"/>
                <w:sz w:val="16"/>
                <w:szCs w:val="16"/>
                <w:color w:val="auto"/>
              </w:rPr>
              <w:t>111,100</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Mibanco</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90,612</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99,437</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Clínica San Felipe</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48,100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Clínica San Borja</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39,000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Sanna</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23,271</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Clínica el Golf</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22,300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Doctor Más</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20,700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ACML</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20,400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Aliada</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20,100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Clínica Belén</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14,100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COA</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13,800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Clínica Sanchez Ferrer</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12,800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Clínica del Sur</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10,300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PMD</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9,400</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Joinnus</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2,809</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3,155</w:t>
            </w:r>
          </w:p>
        </w:tc>
        <w:tc>
          <w:tcPr>
            <w:tcW w:w="20" w:type="dxa"/>
            <w:vAlign w:val="bottom"/>
          </w:tcPr>
          <w:p>
            <w:pPr>
              <w:spacing w:after="0"/>
              <w:rPr>
                <w:sz w:val="15"/>
                <w:szCs w:val="15"/>
                <w:color w:val="auto"/>
              </w:rPr>
            </w:pPr>
          </w:p>
        </w:tc>
      </w:tr>
      <w:tr>
        <w:trPr>
          <w:trHeight w:val="210"/>
        </w:trPr>
        <w:tc>
          <w:tcPr>
            <w:tcW w:w="4920" w:type="dxa"/>
            <w:vAlign w:val="bottom"/>
          </w:tcPr>
          <w:p>
            <w:pPr>
              <w:ind w:left="920"/>
              <w:spacing w:after="0"/>
              <w:rPr>
                <w:sz w:val="20"/>
                <w:szCs w:val="20"/>
                <w:color w:val="auto"/>
              </w:rPr>
            </w:pPr>
            <w:r>
              <w:rPr>
                <w:rFonts w:ascii="Arial" w:cs="Arial" w:eastAsia="Arial" w:hAnsi="Arial"/>
                <w:sz w:val="16"/>
                <w:szCs w:val="16"/>
                <w:color w:val="auto"/>
              </w:rPr>
              <w:t>Culqi</w:t>
            </w:r>
          </w:p>
        </w:tc>
        <w:tc>
          <w:tcPr>
            <w:tcW w:w="40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63</w:t>
            </w:r>
          </w:p>
        </w:tc>
      </w:tr>
      <w:tr>
        <w:trPr>
          <w:trHeight w:val="177"/>
        </w:trPr>
        <w:tc>
          <w:tcPr>
            <w:tcW w:w="49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458,792</w:t>
            </w:r>
          </w:p>
        </w:tc>
        <w:tc>
          <w:tcPr>
            <w:tcW w:w="200" w:type="dxa"/>
            <w:vAlign w:val="bottom"/>
          </w:tcPr>
          <w:p>
            <w:pPr>
              <w:spacing w:after="0"/>
              <w:rPr>
                <w:sz w:val="15"/>
                <w:szCs w:val="15"/>
                <w:color w:val="auto"/>
              </w:rPr>
            </w:pPr>
          </w:p>
        </w:tc>
        <w:tc>
          <w:tcPr>
            <w:tcW w:w="106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102,655</w:t>
            </w:r>
          </w:p>
        </w:tc>
        <w:tc>
          <w:tcPr>
            <w:tcW w:w="20" w:type="dxa"/>
            <w:vAlign w:val="bottom"/>
          </w:tcPr>
          <w:p>
            <w:pPr>
              <w:spacing w:after="0"/>
              <w:rPr>
                <w:sz w:val="15"/>
                <w:szCs w:val="15"/>
                <w:color w:val="auto"/>
              </w:rPr>
            </w:pPr>
          </w:p>
        </w:tc>
      </w:tr>
      <w:tr>
        <w:trPr>
          <w:trHeight w:val="378"/>
        </w:trPr>
        <w:tc>
          <w:tcPr>
            <w:tcW w:w="4920" w:type="dxa"/>
            <w:vAlign w:val="bottom"/>
          </w:tcPr>
          <w:p>
            <w:pPr>
              <w:ind w:left="580"/>
              <w:spacing w:after="0"/>
              <w:rPr>
                <w:sz w:val="20"/>
                <w:szCs w:val="20"/>
                <w:color w:val="auto"/>
              </w:rPr>
            </w:pPr>
            <w:r>
              <w:rPr>
                <w:rFonts w:ascii="Arial" w:cs="Arial" w:eastAsia="Arial" w:hAnsi="Arial"/>
                <w:sz w:val="16"/>
                <w:szCs w:val="16"/>
                <w:color w:val="auto"/>
              </w:rPr>
              <w:t>(iii) Fund management contract –</w:t>
            </w:r>
          </w:p>
        </w:tc>
        <w:tc>
          <w:tcPr>
            <w:tcW w:w="40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2"/>
        </w:trPr>
        <w:tc>
          <w:tcPr>
            <w:tcW w:w="4920" w:type="dxa"/>
            <w:vAlign w:val="bottom"/>
          </w:tcPr>
          <w:p>
            <w:pPr>
              <w:ind w:left="860"/>
              <w:spacing w:after="0"/>
              <w:rPr>
                <w:sz w:val="20"/>
                <w:szCs w:val="20"/>
                <w:color w:val="auto"/>
              </w:rPr>
            </w:pPr>
            <w:r>
              <w:rPr>
                <w:rFonts w:ascii="Arial" w:cs="Arial" w:eastAsia="Arial" w:hAnsi="Arial"/>
                <w:sz w:val="16"/>
                <w:szCs w:val="16"/>
                <w:color w:val="auto"/>
              </w:rPr>
              <w:t>This item consists of the following:</w:t>
            </w:r>
          </w:p>
        </w:tc>
        <w:tc>
          <w:tcPr>
            <w:tcW w:w="4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920" w:type="dxa"/>
            <w:vAlign w:val="bottom"/>
          </w:tcPr>
          <w:p>
            <w:pPr>
              <w:spacing w:after="0"/>
              <w:rPr>
                <w:sz w:val="24"/>
                <w:szCs w:val="24"/>
                <w:color w:val="auto"/>
              </w:rPr>
            </w:pPr>
          </w:p>
        </w:tc>
        <w:tc>
          <w:tcPr>
            <w:tcW w:w="5060" w:type="dxa"/>
            <w:vAlign w:val="bottom"/>
            <w:gridSpan w:val="2"/>
          </w:tcPr>
          <w:p>
            <w:pPr>
              <w:ind w:left="400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4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40" w:type="dxa"/>
            <w:vAlign w:val="bottom"/>
            <w:gridSpan w:val="2"/>
          </w:tcPr>
          <w:p>
            <w:pPr>
              <w:spacing w:after="0"/>
              <w:rPr>
                <w:sz w:val="18"/>
                <w:szCs w:val="18"/>
                <w:color w:val="auto"/>
              </w:rPr>
            </w:pPr>
          </w:p>
        </w:tc>
      </w:tr>
      <w:tr>
        <w:trPr>
          <w:trHeight w:val="305"/>
        </w:trPr>
        <w:tc>
          <w:tcPr>
            <w:tcW w:w="4920" w:type="dxa"/>
            <w:vAlign w:val="bottom"/>
          </w:tcPr>
          <w:p>
            <w:pPr>
              <w:ind w:left="920"/>
              <w:spacing w:after="0"/>
              <w:rPr>
                <w:sz w:val="20"/>
                <w:szCs w:val="20"/>
                <w:color w:val="auto"/>
              </w:rPr>
            </w:pPr>
            <w:r>
              <w:rPr>
                <w:rFonts w:ascii="Arial" w:cs="Arial" w:eastAsia="Arial" w:hAnsi="Arial"/>
                <w:sz w:val="16"/>
                <w:szCs w:val="16"/>
                <w:color w:val="auto"/>
              </w:rPr>
              <w:t>Credicorp Capital Colombia S.A.</w:t>
            </w:r>
          </w:p>
        </w:tc>
        <w:tc>
          <w:tcPr>
            <w:tcW w:w="5260" w:type="dxa"/>
            <w:vAlign w:val="bottom"/>
            <w:gridSpan w:val="3"/>
          </w:tcPr>
          <w:p>
            <w:pPr>
              <w:jc w:val="right"/>
              <w:ind w:right="200"/>
              <w:spacing w:after="0"/>
              <w:rPr>
                <w:sz w:val="20"/>
                <w:szCs w:val="20"/>
                <w:color w:val="auto"/>
              </w:rPr>
            </w:pPr>
            <w:r>
              <w:rPr>
                <w:rFonts w:ascii="Arial" w:cs="Arial" w:eastAsia="Arial" w:hAnsi="Arial"/>
                <w:sz w:val="16"/>
                <w:szCs w:val="16"/>
                <w:color w:val="auto"/>
              </w:rPr>
              <w:t>25,113</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26,071</w:t>
            </w:r>
          </w:p>
        </w:tc>
      </w:tr>
      <w:tr>
        <w:trPr>
          <w:trHeight w:val="181"/>
        </w:trPr>
        <w:tc>
          <w:tcPr>
            <w:tcW w:w="4920" w:type="dxa"/>
            <w:vAlign w:val="bottom"/>
          </w:tcPr>
          <w:p>
            <w:pPr>
              <w:ind w:left="920"/>
              <w:spacing w:after="0" w:line="181" w:lineRule="exact"/>
              <w:rPr>
                <w:sz w:val="20"/>
                <w:szCs w:val="20"/>
                <w:color w:val="auto"/>
              </w:rPr>
            </w:pPr>
            <w:r>
              <w:rPr>
                <w:rFonts w:ascii="Arial" w:cs="Arial" w:eastAsia="Arial" w:hAnsi="Arial"/>
                <w:sz w:val="16"/>
                <w:szCs w:val="16"/>
                <w:color w:val="auto"/>
              </w:rPr>
              <w:t>Credicorp Capital Holding Chile - Inversiones IMT</w:t>
            </w:r>
          </w:p>
        </w:tc>
        <w:tc>
          <w:tcPr>
            <w:tcW w:w="52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21,532</w:t>
            </w:r>
          </w:p>
        </w:tc>
        <w:tc>
          <w:tcPr>
            <w:tcW w:w="10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23,183</w:t>
            </w:r>
          </w:p>
        </w:tc>
      </w:tr>
      <w:tr>
        <w:trPr>
          <w:trHeight w:val="210"/>
        </w:trPr>
        <w:tc>
          <w:tcPr>
            <w:tcW w:w="4920" w:type="dxa"/>
            <w:vAlign w:val="bottom"/>
          </w:tcPr>
          <w:p>
            <w:pPr>
              <w:ind w:left="920"/>
              <w:spacing w:after="0"/>
              <w:rPr>
                <w:sz w:val="20"/>
                <w:szCs w:val="20"/>
                <w:color w:val="auto"/>
              </w:rPr>
            </w:pPr>
            <w:r>
              <w:rPr>
                <w:rFonts w:ascii="Arial" w:cs="Arial" w:eastAsia="Arial" w:hAnsi="Arial"/>
                <w:sz w:val="16"/>
                <w:szCs w:val="16"/>
                <w:color w:val="auto"/>
              </w:rPr>
              <w:t>Ultraserfinco S.A.</w:t>
            </w:r>
          </w:p>
        </w:tc>
        <w:tc>
          <w:tcPr>
            <w:tcW w:w="5260" w:type="dxa"/>
            <w:vAlign w:val="bottom"/>
            <w:gridSpan w:val="3"/>
          </w:tcPr>
          <w:p>
            <w:pPr>
              <w:jc w:val="right"/>
              <w:ind w:right="200"/>
              <w:spacing w:after="0"/>
              <w:rPr>
                <w:sz w:val="20"/>
                <w:szCs w:val="20"/>
                <w:color w:val="auto"/>
              </w:rPr>
            </w:pPr>
            <w:r>
              <w:rPr>
                <w:rFonts w:ascii="Arial" w:cs="Arial" w:eastAsia="Arial" w:hAnsi="Arial"/>
                <w:sz w:val="16"/>
                <w:szCs w:val="16"/>
                <w:color w:val="auto"/>
              </w:rPr>
              <w:t>2,077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2,125</w:t>
            </w:r>
          </w:p>
        </w:tc>
        <w:tc>
          <w:tcPr>
            <w:tcW w:w="20" w:type="dxa"/>
            <w:vAlign w:val="bottom"/>
          </w:tcPr>
          <w:p>
            <w:pPr>
              <w:spacing w:after="0"/>
              <w:rPr>
                <w:sz w:val="18"/>
                <w:szCs w:val="18"/>
                <w:color w:val="auto"/>
              </w:rPr>
            </w:pPr>
          </w:p>
        </w:tc>
      </w:tr>
      <w:tr>
        <w:trPr>
          <w:trHeight w:val="177"/>
        </w:trPr>
        <w:tc>
          <w:tcPr>
            <w:tcW w:w="49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48,722</w:t>
            </w:r>
          </w:p>
        </w:tc>
        <w:tc>
          <w:tcPr>
            <w:tcW w:w="200" w:type="dxa"/>
            <w:vAlign w:val="bottom"/>
          </w:tcPr>
          <w:p>
            <w:pPr>
              <w:spacing w:after="0"/>
              <w:rPr>
                <w:sz w:val="15"/>
                <w:szCs w:val="15"/>
                <w:color w:val="auto"/>
              </w:rPr>
            </w:pPr>
          </w:p>
        </w:tc>
        <w:tc>
          <w:tcPr>
            <w:tcW w:w="106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51,379</w:t>
            </w:r>
          </w:p>
        </w:tc>
        <w:tc>
          <w:tcPr>
            <w:tcW w:w="20" w:type="dxa"/>
            <w:vAlign w:val="bottom"/>
          </w:tcPr>
          <w:p>
            <w:pPr>
              <w:spacing w:after="0"/>
              <w:rPr>
                <w:sz w:val="15"/>
                <w:szCs w:val="15"/>
                <w:color w:val="auto"/>
              </w:rPr>
            </w:pPr>
          </w:p>
        </w:tc>
      </w:tr>
      <w:tr>
        <w:trPr>
          <w:trHeight w:val="547"/>
        </w:trPr>
        <w:tc>
          <w:tcPr>
            <w:tcW w:w="4920" w:type="dxa"/>
            <w:vAlign w:val="bottom"/>
          </w:tcPr>
          <w:p>
            <w:pPr>
              <w:spacing w:after="0"/>
              <w:rPr>
                <w:sz w:val="24"/>
                <w:szCs w:val="24"/>
                <w:color w:val="auto"/>
              </w:rPr>
            </w:pPr>
          </w:p>
        </w:tc>
        <w:tc>
          <w:tcPr>
            <w:tcW w:w="4000" w:type="dxa"/>
            <w:vAlign w:val="bottom"/>
          </w:tcPr>
          <w:p>
            <w:pPr>
              <w:jc w:val="right"/>
              <w:ind w:right="3040"/>
              <w:spacing w:after="0"/>
              <w:rPr>
                <w:sz w:val="20"/>
                <w:szCs w:val="20"/>
                <w:color w:val="auto"/>
              </w:rPr>
            </w:pPr>
            <w:r>
              <w:rPr>
                <w:rFonts w:ascii="Arial" w:cs="Arial" w:eastAsia="Arial" w:hAnsi="Arial"/>
                <w:sz w:val="16"/>
                <w:szCs w:val="16"/>
                <w:color w:val="auto"/>
              </w:rPr>
              <w:t>- 83 -</w:t>
            </w: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16" w:right="319" w:bottom="1440" w:gutter="0" w:footer="0" w:header="0"/>
        </w:sectPr>
      </w:pPr>
    </w:p>
    <w:bookmarkStart w:id="88" w:name="page89"/>
    <w:bookmarkEnd w:id="88"/>
    <w:p>
      <w:pPr>
        <w:ind w:left="300" w:hanging="294"/>
        <w:spacing w:after="0"/>
        <w:tabs>
          <w:tab w:leader="none" w:pos="3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Goodwill -</w:t>
      </w:r>
    </w:p>
    <w:p>
      <w:pPr>
        <w:spacing w:after="0" w:line="177" w:lineRule="exact"/>
        <w:rPr>
          <w:rFonts w:ascii="Arial" w:cs="Arial" w:eastAsia="Arial" w:hAnsi="Arial"/>
          <w:sz w:val="16"/>
          <w:szCs w:val="16"/>
          <w:color w:val="auto"/>
        </w:rPr>
      </w:pPr>
    </w:p>
    <w:p>
      <w:pPr>
        <w:ind w:left="300" w:right="140"/>
        <w:spacing w:after="0" w:line="274" w:lineRule="auto"/>
        <w:rPr>
          <w:rFonts w:ascii="Arial" w:cs="Arial" w:eastAsia="Arial" w:hAnsi="Arial"/>
          <w:sz w:val="16"/>
          <w:szCs w:val="16"/>
          <w:color w:val="auto"/>
        </w:rPr>
      </w:pPr>
      <w:r>
        <w:rPr>
          <w:rFonts w:ascii="Arial" w:cs="Arial" w:eastAsia="Arial" w:hAnsi="Arial"/>
          <w:sz w:val="16"/>
          <w:szCs w:val="16"/>
          <w:color w:val="auto"/>
        </w:rPr>
        <w:t>Goodwill acquired through business combinations has been allocated to each subsidiary or groups of them, which are also identified as a CGUs for the purposes of impairment testing.</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8000" w:type="dxa"/>
            <w:vAlign w:val="bottom"/>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80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8000" w:type="dxa"/>
            <w:vAlign w:val="bottom"/>
          </w:tcPr>
          <w:p>
            <w:pPr>
              <w:spacing w:after="0"/>
              <w:rPr>
                <w:sz w:val="20"/>
                <w:szCs w:val="20"/>
                <w:color w:val="auto"/>
              </w:rPr>
            </w:pPr>
            <w:r>
              <w:rPr>
                <w:rFonts w:ascii="Arial" w:cs="Arial" w:eastAsia="Arial" w:hAnsi="Arial"/>
                <w:sz w:val="16"/>
                <w:szCs w:val="16"/>
                <w:color w:val="auto"/>
              </w:rPr>
              <w:t>Pacífico EPS and Medical Services, see Note 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528,499</w:t>
            </w:r>
          </w:p>
        </w:tc>
        <w:tc>
          <w:tcPr>
            <w:tcW w:w="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Mibanco - Edyficar Perú</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273,694</w:t>
            </w:r>
          </w:p>
        </w:tc>
        <w:tc>
          <w:tcPr>
            <w:tcW w:w="10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273,694</w:t>
            </w:r>
          </w:p>
        </w:tc>
        <w:tc>
          <w:tcPr>
            <w:tcW w:w="20" w:type="dxa"/>
            <w:vAlign w:val="bottom"/>
          </w:tcPr>
          <w:p>
            <w:pPr>
              <w:spacing w:after="0"/>
              <w:rPr>
                <w:sz w:val="15"/>
                <w:szCs w:val="15"/>
                <w:color w:val="auto"/>
              </w:rPr>
            </w:pP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Prima AFP - AFP S.A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124,641</w:t>
            </w:r>
          </w:p>
        </w:tc>
        <w:tc>
          <w:tcPr>
            <w:tcW w:w="10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124,641</w:t>
            </w:r>
          </w:p>
        </w:tc>
        <w:tc>
          <w:tcPr>
            <w:tcW w:w="20" w:type="dxa"/>
            <w:vAlign w:val="bottom"/>
          </w:tcPr>
          <w:p>
            <w:pPr>
              <w:spacing w:after="0"/>
              <w:rPr>
                <w:sz w:val="15"/>
                <w:szCs w:val="15"/>
                <w:color w:val="auto"/>
              </w:rPr>
            </w:pP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Credicorp Capital Colombia S.A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104,031</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99,841</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Banco de Crédito del Perú</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52,359</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52,359</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Mibanco Colombia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46,134</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44,229</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Pacífico Seguros</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36,354</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36,354</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Atlantic Security Holding Corporation</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29,795</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29,795</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Monokera S.A.S</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22,656</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22,656</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Tenpo SpA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20,666</w:t>
            </w:r>
          </w:p>
        </w:tc>
        <w:tc>
          <w:tcPr>
            <w:tcW w:w="10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20,927</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Tenpo Technologie SpA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9,798</w:t>
            </w:r>
          </w:p>
        </w:tc>
        <w:tc>
          <w:tcPr>
            <w:tcW w:w="10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9,945</w:t>
            </w:r>
          </w:p>
        </w:tc>
        <w:tc>
          <w:tcPr>
            <w:tcW w:w="20" w:type="dxa"/>
            <w:vAlign w:val="bottom"/>
          </w:tcPr>
          <w:p>
            <w:pPr>
              <w:spacing w:after="0"/>
              <w:rPr>
                <w:sz w:val="15"/>
                <w:szCs w:val="15"/>
                <w:color w:val="auto"/>
              </w:rPr>
            </w:pP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Joinnus S.A.C</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4,135</w:t>
            </w:r>
          </w:p>
        </w:tc>
        <w:tc>
          <w:tcPr>
            <w:tcW w:w="10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7,824</w:t>
            </w:r>
          </w:p>
        </w:tc>
        <w:tc>
          <w:tcPr>
            <w:tcW w:w="20" w:type="dxa"/>
            <w:vAlign w:val="bottom"/>
          </w:tcPr>
          <w:p>
            <w:pPr>
              <w:spacing w:after="0"/>
              <w:rPr>
                <w:sz w:val="15"/>
                <w:szCs w:val="15"/>
                <w:color w:val="auto"/>
              </w:rPr>
            </w:pPr>
          </w:p>
        </w:tc>
      </w:tr>
      <w:tr>
        <w:trPr>
          <w:trHeight w:val="202"/>
        </w:trPr>
        <w:tc>
          <w:tcPr>
            <w:tcW w:w="8000" w:type="dxa"/>
            <w:vAlign w:val="bottom"/>
          </w:tcPr>
          <w:p>
            <w:pPr>
              <w:spacing w:after="0"/>
              <w:rPr>
                <w:sz w:val="20"/>
                <w:szCs w:val="20"/>
                <w:color w:val="auto"/>
              </w:rPr>
            </w:pPr>
            <w:r>
              <w:rPr>
                <w:rFonts w:ascii="Arial" w:cs="Arial" w:eastAsia="Arial" w:hAnsi="Arial"/>
                <w:sz w:val="16"/>
                <w:szCs w:val="16"/>
                <w:color w:val="auto"/>
              </w:rPr>
              <w:t>Crediseguro Seguros Personales</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96</w:t>
            </w:r>
          </w:p>
        </w:tc>
      </w:tr>
      <w:tr>
        <w:trPr>
          <w:trHeight w:val="185"/>
        </w:trPr>
        <w:tc>
          <w:tcPr>
            <w:tcW w:w="8000" w:type="dxa"/>
            <w:vAlign w:val="bottom"/>
          </w:tcPr>
          <w:p>
            <w:pPr>
              <w:spacing w:after="0" w:line="181" w:lineRule="exact"/>
              <w:rPr>
                <w:sz w:val="20"/>
                <w:szCs w:val="20"/>
                <w:color w:val="auto"/>
              </w:rPr>
            </w:pPr>
            <w:r>
              <w:rPr>
                <w:rFonts w:ascii="Arial" w:cs="Arial" w:eastAsia="Arial" w:hAnsi="Arial"/>
                <w:sz w:val="16"/>
                <w:szCs w:val="16"/>
                <w:b w:val="1"/>
                <w:bCs w:val="1"/>
                <w:color w:val="auto"/>
              </w:rPr>
              <w:t>Net carrying amount</w:t>
            </w: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1,252,858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722,361</w:t>
            </w:r>
          </w:p>
        </w:tc>
        <w:tc>
          <w:tcPr>
            <w:tcW w:w="20" w:type="dxa"/>
            <w:vAlign w:val="bottom"/>
            <w:tcBorders>
              <w:top w:val="single" w:sz="8" w:color="auto"/>
              <w:bottom w:val="single" w:sz="8" w:color="auto"/>
            </w:tcBorders>
          </w:tcPr>
          <w:p>
            <w:pPr>
              <w:spacing w:after="0"/>
              <w:rPr>
                <w:sz w:val="16"/>
                <w:szCs w:val="16"/>
                <w:color w:val="auto"/>
              </w:rPr>
            </w:pPr>
          </w:p>
        </w:tc>
      </w:tr>
    </w:tbl>
    <w:p>
      <w:pPr>
        <w:spacing w:after="0" w:line="164" w:lineRule="exact"/>
        <w:rPr>
          <w:sz w:val="20"/>
          <w:szCs w:val="20"/>
          <w:color w:val="auto"/>
        </w:rPr>
      </w:pPr>
    </w:p>
    <w:p>
      <w:pPr>
        <w:ind w:left="300" w:right="160"/>
        <w:spacing w:after="0" w:line="274" w:lineRule="auto"/>
        <w:rPr>
          <w:sz w:val="20"/>
          <w:szCs w:val="20"/>
          <w:color w:val="auto"/>
        </w:rPr>
      </w:pPr>
      <w:r>
        <w:rPr>
          <w:rFonts w:ascii="Arial" w:cs="Arial" w:eastAsia="Arial" w:hAnsi="Arial"/>
          <w:sz w:val="16"/>
          <w:szCs w:val="16"/>
          <w:color w:val="auto"/>
        </w:rPr>
        <w:t>The recoverable amount of all of the CGUs has been determined based on the present value of the discounted cash flows or dividends determined principally with assumptions of revenue and expenses projection (based on efficiency ratios).</w:t>
      </w:r>
    </w:p>
    <w:p>
      <w:pPr>
        <w:spacing w:after="0" w:line="123" w:lineRule="exact"/>
        <w:rPr>
          <w:sz w:val="20"/>
          <w:szCs w:val="20"/>
          <w:color w:val="auto"/>
        </w:rPr>
      </w:pPr>
    </w:p>
    <w:p>
      <w:pPr>
        <w:ind w:left="300"/>
        <w:spacing w:after="0" w:line="274" w:lineRule="auto"/>
        <w:rPr>
          <w:sz w:val="20"/>
          <w:szCs w:val="20"/>
          <w:color w:val="auto"/>
        </w:rPr>
      </w:pPr>
      <w:r>
        <w:rPr>
          <w:rFonts w:ascii="Arial" w:cs="Arial" w:eastAsia="Arial" w:hAnsi="Arial"/>
          <w:sz w:val="16"/>
          <w:szCs w:val="16"/>
          <w:color w:val="auto"/>
        </w:rPr>
        <w:t>Goodwill balance of Mibanco Colombia, Credicorp Capital Colombia S.A, Tenpo SPA and Tenpo Technologies SpA. is affected by the effect of the local exchange rate currency of the country in which they operate against the exchange rate of functional currency of Credicorp Ltd. and subsidiaries.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year 2025, the Group performed an assessment of goodwill impairment and concluded that there was no indication of impairment.</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Accordingly, the Group did not recognize any goodwill impairment loss.</w:t>
      </w:r>
    </w:p>
    <w:p>
      <w:pPr>
        <w:spacing w:after="0" w:line="162" w:lineRule="exact"/>
        <w:rPr>
          <w:sz w:val="20"/>
          <w:szCs w:val="20"/>
          <w:color w:val="auto"/>
        </w:rPr>
      </w:pPr>
    </w:p>
    <w:p>
      <w:pPr>
        <w:ind w:left="300" w:right="80"/>
        <w:spacing w:after="0" w:line="274" w:lineRule="auto"/>
        <w:rPr>
          <w:sz w:val="20"/>
          <w:szCs w:val="20"/>
          <w:color w:val="auto"/>
        </w:rPr>
      </w:pPr>
      <w:r>
        <w:rPr>
          <w:rFonts w:ascii="Arial" w:cs="Arial" w:eastAsia="Arial" w:hAnsi="Arial"/>
          <w:sz w:val="16"/>
          <w:szCs w:val="16"/>
          <w:color w:val="auto"/>
        </w:rPr>
        <w:t>For the year 2024, the Group recorded an impairment in the following companies: Joinnus S.A. for S/12.0 million, Wally POS S.A.C for S/9.0 million, Sami Shop for S/4.0 million and Compañía Incubadora de Soluciones Móviles S.A. for S/2.3 million.</w:t>
      </w:r>
    </w:p>
    <w:p>
      <w:pPr>
        <w:spacing w:after="0" w:line="200" w:lineRule="exact"/>
        <w:rPr>
          <w:sz w:val="20"/>
          <w:szCs w:val="20"/>
          <w:color w:val="auto"/>
        </w:rPr>
      </w:pPr>
    </w:p>
    <w:p>
      <w:pPr>
        <w:spacing w:after="0" w:line="27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880"/>
          </w:cols>
          <w:pgMar w:left="600" w:top="316" w:right="419" w:bottom="1440" w:gutter="0" w:footer="0" w:header="0"/>
        </w:sectPr>
      </w:pPr>
    </w:p>
    <w:bookmarkStart w:id="89" w:name="page90"/>
    <w:bookmarkEnd w:id="89"/>
    <w:p>
      <w:pPr>
        <w:ind w:left="4"/>
        <w:spacing w:after="0"/>
        <w:rPr>
          <w:sz w:val="20"/>
          <w:szCs w:val="20"/>
          <w:color w:val="auto"/>
        </w:rPr>
      </w:pPr>
      <w:r>
        <w:rPr>
          <w:rFonts w:ascii="Arial" w:cs="Arial" w:eastAsia="Arial" w:hAnsi="Arial"/>
          <w:sz w:val="16"/>
          <w:szCs w:val="16"/>
          <w:color w:val="auto"/>
        </w:rPr>
        <w:t>The following table summarizes the key assumptions used for the calculation of fair value fewer selling costs in 2025 and 2024:</w:t>
      </w:r>
    </w:p>
    <w:p>
      <w:pPr>
        <w:spacing w:after="0" w:line="190" w:lineRule="exact"/>
        <w:rPr>
          <w:sz w:val="20"/>
          <w:szCs w:val="20"/>
          <w:color w:val="auto"/>
        </w:rPr>
      </w:pPr>
    </w:p>
    <w:tbl>
      <w:tblPr>
        <w:tblLayout w:type="fixed"/>
        <w:tblInd w:w="284" w:type="dxa"/>
        <w:tblCellMar>
          <w:top w:w="0" w:type="dxa"/>
          <w:left w:w="0" w:type="dxa"/>
          <w:bottom w:w="0" w:type="dxa"/>
          <w:right w:w="0" w:type="dxa"/>
        </w:tblCellMar>
      </w:tblPr>
      <w:tr>
        <w:trPr>
          <w:trHeight w:val="198"/>
        </w:trPr>
        <w:tc>
          <w:tcPr>
            <w:tcW w:w="8000" w:type="dxa"/>
            <w:vAlign w:val="bottom"/>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8000" w:type="dxa"/>
            <w:vAlign w:val="bottom"/>
          </w:tcPr>
          <w:p>
            <w:pPr>
              <w:spacing w:after="0"/>
              <w:rPr>
                <w:sz w:val="13"/>
                <w:szCs w:val="13"/>
                <w:color w:val="auto"/>
              </w:rPr>
            </w:pPr>
          </w:p>
        </w:tc>
        <w:tc>
          <w:tcPr>
            <w:tcW w:w="124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Perpetual</w:t>
            </w:r>
          </w:p>
        </w:tc>
        <w:tc>
          <w:tcPr>
            <w:tcW w:w="1020" w:type="dxa"/>
            <w:vAlign w:val="bottom"/>
          </w:tcPr>
          <w:p>
            <w:pPr>
              <w:spacing w:after="0" w:line="156" w:lineRule="exact"/>
              <w:rPr>
                <w:sz w:val="20"/>
                <w:szCs w:val="20"/>
                <w:color w:val="auto"/>
              </w:rPr>
            </w:pPr>
            <w:r>
              <w:rPr>
                <w:rFonts w:ascii="Arial" w:cs="Arial" w:eastAsia="Arial" w:hAnsi="Arial"/>
                <w:sz w:val="16"/>
                <w:szCs w:val="16"/>
                <w:b w:val="1"/>
                <w:bCs w:val="1"/>
                <w:color w:val="auto"/>
              </w:rPr>
              <w:t>Discount</w:t>
            </w:r>
          </w:p>
        </w:tc>
        <w:tc>
          <w:tcPr>
            <w:tcW w:w="20" w:type="dxa"/>
            <w:vAlign w:val="bottom"/>
          </w:tcPr>
          <w:p>
            <w:pPr>
              <w:spacing w:after="0"/>
              <w:rPr>
                <w:sz w:val="13"/>
                <w:szCs w:val="13"/>
                <w:color w:val="auto"/>
              </w:rPr>
            </w:pPr>
          </w:p>
        </w:tc>
      </w:tr>
      <w:tr>
        <w:trPr>
          <w:trHeight w:val="198"/>
        </w:trPr>
        <w:tc>
          <w:tcPr>
            <w:tcW w:w="800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growth rate</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rate</w:t>
            </w:r>
          </w:p>
        </w:tc>
      </w:tr>
      <w:tr>
        <w:trPr>
          <w:trHeight w:val="156"/>
        </w:trPr>
        <w:tc>
          <w:tcPr>
            <w:tcW w:w="8000" w:type="dxa"/>
            <w:vAlign w:val="bottom"/>
          </w:tcPr>
          <w:p>
            <w:pPr>
              <w:spacing w:after="0"/>
              <w:rPr>
                <w:sz w:val="13"/>
                <w:szCs w:val="13"/>
                <w:color w:val="auto"/>
              </w:rPr>
            </w:pPr>
          </w:p>
        </w:tc>
        <w:tc>
          <w:tcPr>
            <w:tcW w:w="10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MiBanco - Edyficar Perú</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5.60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10.60</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Prima AFP - AFP Unión Vida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1.60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14.50</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Credicorp Capital Colombia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3.80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14.40</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Banco de Crédito del Perú</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4.60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9.60</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Mibanco Colombia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5.90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12.30</w:t>
            </w:r>
          </w:p>
        </w:tc>
      </w:tr>
      <w:tr>
        <w:trPr>
          <w:trHeight w:val="181"/>
        </w:trPr>
        <w:tc>
          <w:tcPr>
            <w:tcW w:w="8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9.90 and</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Pacífico Seguros (*)</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4.60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11.30</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Atlantic Security Holding Corporation</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3.00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11.40</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Monokera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30.00</w:t>
            </w:r>
          </w:p>
        </w:tc>
      </w:tr>
      <w:tr>
        <w:trPr>
          <w:trHeight w:val="181"/>
        </w:trPr>
        <w:tc>
          <w:tcPr>
            <w:tcW w:w="8000" w:type="dxa"/>
            <w:vAlign w:val="bottom"/>
          </w:tcPr>
          <w:p>
            <w:pPr>
              <w:spacing w:after="0" w:line="181" w:lineRule="exact"/>
              <w:rPr>
                <w:sz w:val="20"/>
                <w:szCs w:val="20"/>
                <w:color w:val="auto"/>
              </w:rPr>
            </w:pPr>
            <w:r>
              <w:rPr>
                <w:rFonts w:ascii="Arial" w:cs="Arial" w:eastAsia="Arial" w:hAnsi="Arial"/>
                <w:sz w:val="16"/>
                <w:szCs w:val="16"/>
                <w:color w:val="auto"/>
              </w:rPr>
              <w:t>Tenpo</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25.00</w:t>
            </w:r>
          </w:p>
        </w:tc>
      </w:tr>
      <w:tr>
        <w:trPr>
          <w:trHeight w:val="214"/>
        </w:trPr>
        <w:tc>
          <w:tcPr>
            <w:tcW w:w="8000" w:type="dxa"/>
            <w:vAlign w:val="bottom"/>
          </w:tcPr>
          <w:p>
            <w:pPr>
              <w:spacing w:after="0"/>
              <w:rPr>
                <w:sz w:val="20"/>
                <w:szCs w:val="20"/>
                <w:color w:val="auto"/>
              </w:rPr>
            </w:pPr>
            <w:r>
              <w:rPr>
                <w:rFonts w:ascii="Arial" w:cs="Arial" w:eastAsia="Arial" w:hAnsi="Arial"/>
                <w:sz w:val="16"/>
                <w:szCs w:val="16"/>
                <w:color w:val="auto"/>
              </w:rPr>
              <w:t>Joinnus S.A.C</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25.00</w:t>
            </w:r>
          </w:p>
        </w:tc>
      </w:tr>
      <w:tr>
        <w:trPr>
          <w:trHeight w:val="346"/>
        </w:trPr>
        <w:tc>
          <w:tcPr>
            <w:tcW w:w="800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8000" w:type="dxa"/>
            <w:vAlign w:val="bottom"/>
          </w:tcPr>
          <w:p>
            <w:pPr>
              <w:spacing w:after="0"/>
              <w:rPr>
                <w:sz w:val="13"/>
                <w:szCs w:val="13"/>
                <w:color w:val="auto"/>
              </w:rPr>
            </w:pPr>
          </w:p>
        </w:tc>
        <w:tc>
          <w:tcPr>
            <w:tcW w:w="124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Perpetual</w:t>
            </w:r>
          </w:p>
        </w:tc>
        <w:tc>
          <w:tcPr>
            <w:tcW w:w="1020" w:type="dxa"/>
            <w:vAlign w:val="bottom"/>
          </w:tcPr>
          <w:p>
            <w:pPr>
              <w:spacing w:after="0" w:line="156" w:lineRule="exact"/>
              <w:rPr>
                <w:sz w:val="20"/>
                <w:szCs w:val="20"/>
                <w:color w:val="auto"/>
              </w:rPr>
            </w:pPr>
            <w:r>
              <w:rPr>
                <w:rFonts w:ascii="Arial" w:cs="Arial" w:eastAsia="Arial" w:hAnsi="Arial"/>
                <w:sz w:val="16"/>
                <w:szCs w:val="16"/>
                <w:b w:val="1"/>
                <w:bCs w:val="1"/>
                <w:color w:val="auto"/>
              </w:rPr>
              <w:t>Discount</w:t>
            </w:r>
          </w:p>
        </w:tc>
        <w:tc>
          <w:tcPr>
            <w:tcW w:w="20" w:type="dxa"/>
            <w:vAlign w:val="bottom"/>
          </w:tcPr>
          <w:p>
            <w:pPr>
              <w:spacing w:after="0"/>
              <w:rPr>
                <w:sz w:val="13"/>
                <w:szCs w:val="13"/>
                <w:color w:val="auto"/>
              </w:rPr>
            </w:pPr>
          </w:p>
        </w:tc>
      </w:tr>
      <w:tr>
        <w:trPr>
          <w:trHeight w:val="198"/>
        </w:trPr>
        <w:tc>
          <w:tcPr>
            <w:tcW w:w="800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growth rate</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rate</w:t>
            </w:r>
          </w:p>
        </w:tc>
      </w:tr>
      <w:tr>
        <w:trPr>
          <w:trHeight w:val="156"/>
        </w:trPr>
        <w:tc>
          <w:tcPr>
            <w:tcW w:w="8000" w:type="dxa"/>
            <w:vAlign w:val="bottom"/>
          </w:tcPr>
          <w:p>
            <w:pPr>
              <w:spacing w:after="0"/>
              <w:rPr>
                <w:sz w:val="13"/>
                <w:szCs w:val="13"/>
                <w:color w:val="auto"/>
              </w:rPr>
            </w:pPr>
          </w:p>
        </w:tc>
        <w:tc>
          <w:tcPr>
            <w:tcW w:w="10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Mibanco - Edyficar Perú</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5.60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11.90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Prima AFP - AFP Unión Vida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1.60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14.20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Credicorp Capital Colombia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3.80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14.40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Banco de Crédito del Perú</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4.60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10.90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Mibanco Colombia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6.10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13.80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Pacífico Seguros (*)</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4.60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10.7 and 12.3</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Atlantic Security Holding Corporation</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2.30</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11.30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Monokera</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30.00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Tenpo</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25.00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Joinnus S.A.C</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25.00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Compañía Incubadora de Soluciones Móviles S.A-Culqi</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30.00</w:t>
            </w:r>
          </w:p>
        </w:tc>
      </w:tr>
      <w:tr>
        <w:trPr>
          <w:trHeight w:val="181"/>
        </w:trPr>
        <w:tc>
          <w:tcPr>
            <w:tcW w:w="8000" w:type="dxa"/>
            <w:vAlign w:val="bottom"/>
          </w:tcPr>
          <w:p>
            <w:pPr>
              <w:ind w:left="60"/>
              <w:spacing w:after="0" w:line="181" w:lineRule="exact"/>
              <w:rPr>
                <w:sz w:val="20"/>
                <w:szCs w:val="20"/>
                <w:color w:val="auto"/>
              </w:rPr>
            </w:pPr>
            <w:r>
              <w:rPr>
                <w:rFonts w:ascii="Arial" w:cs="Arial" w:eastAsia="Arial" w:hAnsi="Arial"/>
                <w:sz w:val="16"/>
                <w:szCs w:val="16"/>
                <w:color w:val="auto"/>
              </w:rPr>
              <w:t>Wally POS S.A.C</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25.00</w:t>
            </w:r>
          </w:p>
        </w:tc>
      </w:tr>
      <w:tr>
        <w:trPr>
          <w:trHeight w:val="214"/>
        </w:trPr>
        <w:tc>
          <w:tcPr>
            <w:tcW w:w="8000" w:type="dxa"/>
            <w:vAlign w:val="bottom"/>
          </w:tcPr>
          <w:p>
            <w:pPr>
              <w:ind w:left="60"/>
              <w:spacing w:after="0"/>
              <w:rPr>
                <w:sz w:val="20"/>
                <w:szCs w:val="20"/>
                <w:color w:val="auto"/>
              </w:rPr>
            </w:pPr>
            <w:r>
              <w:rPr>
                <w:rFonts w:ascii="Arial" w:cs="Arial" w:eastAsia="Arial" w:hAnsi="Arial"/>
                <w:sz w:val="16"/>
                <w:szCs w:val="16"/>
                <w:color w:val="auto"/>
              </w:rPr>
              <w:t>Sami Shop S.A.C</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25.00</w:t>
            </w:r>
          </w:p>
        </w:tc>
      </w:tr>
    </w:tbl>
    <w:p>
      <w:pPr>
        <w:spacing w:after="0" w:line="148" w:lineRule="exact"/>
        <w:rPr>
          <w:sz w:val="20"/>
          <w:szCs w:val="20"/>
          <w:color w:val="auto"/>
        </w:rPr>
      </w:pPr>
    </w:p>
    <w:p>
      <w:pPr>
        <w:ind w:left="284" w:right="720" w:hanging="284"/>
        <w:spacing w:after="0" w:line="274" w:lineRule="auto"/>
        <w:tabs>
          <w:tab w:leader="none" w:pos="2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As of December 31, 2025, and 2024, it corresponds to the discount rates used to determine the recoverable value of the cash flows that correspond to the general and life insurance business lines.</w:t>
      </w:r>
    </w:p>
    <w:p>
      <w:pPr>
        <w:spacing w:after="0" w:line="123" w:lineRule="exact"/>
        <w:rPr>
          <w:sz w:val="20"/>
          <w:szCs w:val="20"/>
          <w:color w:val="auto"/>
        </w:rPr>
      </w:pPr>
    </w:p>
    <w:p>
      <w:pPr>
        <w:ind w:left="4" w:right="60"/>
        <w:spacing w:after="0" w:line="255" w:lineRule="auto"/>
        <w:rPr>
          <w:sz w:val="20"/>
          <w:szCs w:val="20"/>
          <w:color w:val="auto"/>
        </w:rPr>
      </w:pPr>
      <w:r>
        <w:rPr>
          <w:rFonts w:ascii="Arial" w:cs="Arial" w:eastAsia="Arial" w:hAnsi="Arial"/>
          <w:sz w:val="16"/>
          <w:szCs w:val="16"/>
          <w:color w:val="auto"/>
        </w:rPr>
        <w:t>Five years of cash flows, depending on the business maturity, were included in the discounted cash flow model. The growth rate estimates are based on historic performance and management’s expectations of market development. A long-term growth rate to perpetuity has been determined taking into account forecasts included in industry reports.</w:t>
      </w:r>
    </w:p>
    <w:p>
      <w:pPr>
        <w:spacing w:after="0" w:line="137"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Discount rates represent the current market assessment of the specific risks to each CGU. The discount rate is derived from the capital asset pricing model (CAPM). The cost of equity is derived from the expected return on investment by the Group’s investors, specific risk incorporated by applying individual comparable beta factors adjusted by the debt structure of each CGU and country and market specific risk premiums to each CGU. The beta factors are evaluated annually based on publicly available market data.</w:t>
      </w:r>
    </w:p>
    <w:p>
      <w:pPr>
        <w:spacing w:after="0" w:line="313" w:lineRule="exact"/>
        <w:rPr>
          <w:sz w:val="20"/>
          <w:szCs w:val="20"/>
          <w:color w:val="auto"/>
        </w:rPr>
      </w:pPr>
    </w:p>
    <w:p>
      <w:pPr>
        <w:ind w:left="4844"/>
        <w:spacing w:after="0"/>
        <w:rPr>
          <w:sz w:val="20"/>
          <w:szCs w:val="20"/>
          <w:color w:val="auto"/>
        </w:rPr>
      </w:pPr>
      <w:r>
        <w:rPr>
          <w:rFonts w:ascii="Arial" w:cs="Arial" w:eastAsia="Arial" w:hAnsi="Arial"/>
          <w:sz w:val="16"/>
          <w:szCs w:val="16"/>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44"/>
          </w:cols>
          <w:pgMar w:left="896" w:top="316" w:right="359" w:bottom="1440" w:gutter="0" w:footer="0" w:header="0"/>
        </w:sectPr>
      </w:pPr>
    </w:p>
    <w:bookmarkStart w:id="90" w:name="page91"/>
    <w:bookmarkEnd w:id="90"/>
    <w:p>
      <w:pPr>
        <w:spacing w:after="0" w:line="255" w:lineRule="auto"/>
        <w:rPr>
          <w:sz w:val="20"/>
          <w:szCs w:val="20"/>
          <w:color w:val="auto"/>
        </w:rPr>
      </w:pPr>
      <w:r>
        <w:rPr>
          <w:rFonts w:ascii="Arial" w:cs="Arial" w:eastAsia="Arial" w:hAnsi="Arial"/>
          <w:sz w:val="16"/>
          <w:szCs w:val="16"/>
          <w:color w:val="auto"/>
        </w:rPr>
        <w:t>The key assumptions described above may change if the conditions of the economy and market change. On December 31, 2025, and 2024, the Group estimates that reasonably possible changes in these assumptions would not cause the recoverable amount of all CGUs to decline below their carrying amount.</w:t>
      </w:r>
    </w:p>
    <w:p>
      <w:pPr>
        <w:spacing w:after="0" w:line="306"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520"/>
          </w:cols>
          <w:pgMar w:left="900" w:top="316" w:right="479" w:bottom="1440" w:gutter="0" w:footer="0" w:header="0"/>
        </w:sectPr>
      </w:pPr>
    </w:p>
    <w:bookmarkStart w:id="91" w:name="page92"/>
    <w:bookmarkEnd w:id="91"/>
    <w:p>
      <w:pPr>
        <w:ind w:left="583" w:hanging="583"/>
        <w:spacing w:after="0"/>
        <w:tabs>
          <w:tab w:leader="none" w:pos="583"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RIGHT-OF-USE ASSETS AND LEASE LIABILITES</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Right-of-use</w:t>
      </w:r>
    </w:p>
    <w:p>
      <w:pPr>
        <w:spacing w:after="0" w:line="177"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The Group has leased agreements according to the following composition:</w:t>
      </w:r>
    </w:p>
    <w:p>
      <w:pPr>
        <w:spacing w:after="0" w:line="182" w:lineRule="exact"/>
        <w:rPr>
          <w:sz w:val="20"/>
          <w:szCs w:val="20"/>
          <w:color w:val="auto"/>
        </w:rPr>
      </w:pPr>
    </w:p>
    <w:tbl>
      <w:tblPr>
        <w:tblLayout w:type="fixed"/>
        <w:tblInd w:w="3563" w:type="dxa"/>
        <w:tblCellMar>
          <w:top w:w="0" w:type="dxa"/>
          <w:left w:w="0" w:type="dxa"/>
          <w:bottom w:w="0" w:type="dxa"/>
          <w:right w:w="0" w:type="dxa"/>
        </w:tblCellMar>
      </w:tblPr>
      <w:tr>
        <w:trPr>
          <w:trHeight w:val="149"/>
        </w:trPr>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1280" w:type="dxa"/>
            <w:vAlign w:val="bottom"/>
            <w:gridSpan w:val="3"/>
          </w:tcPr>
          <w:p>
            <w:pPr>
              <w:ind w:left="160"/>
              <w:spacing w:after="0"/>
              <w:rPr>
                <w:sz w:val="20"/>
                <w:szCs w:val="20"/>
                <w:color w:val="auto"/>
              </w:rPr>
            </w:pPr>
            <w:r>
              <w:rPr>
                <w:rFonts w:ascii="Arial" w:cs="Arial" w:eastAsia="Arial" w:hAnsi="Arial"/>
                <w:sz w:val="13"/>
                <w:szCs w:val="13"/>
                <w:b w:val="1"/>
                <w:bCs w:val="1"/>
                <w:color w:val="auto"/>
              </w:rPr>
              <w:t>Servers and</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5"/>
        </w:trPr>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Agencies and</w:t>
            </w:r>
          </w:p>
        </w:tc>
        <w:tc>
          <w:tcPr>
            <w:tcW w:w="1280" w:type="dxa"/>
            <w:vAlign w:val="bottom"/>
            <w:gridSpan w:val="3"/>
          </w:tcPr>
          <w:p>
            <w:pPr>
              <w:ind w:left="160"/>
              <w:spacing w:after="0" w:line="145" w:lineRule="exact"/>
              <w:rPr>
                <w:sz w:val="20"/>
                <w:szCs w:val="20"/>
                <w:color w:val="auto"/>
              </w:rPr>
            </w:pPr>
            <w:r>
              <w:rPr>
                <w:rFonts w:ascii="Arial" w:cs="Arial" w:eastAsia="Arial" w:hAnsi="Arial"/>
                <w:sz w:val="13"/>
                <w:szCs w:val="13"/>
                <w:b w:val="1"/>
                <w:bCs w:val="1"/>
                <w:color w:val="auto"/>
              </w:rPr>
              <w:t>technology</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offices</w:t>
            </w:r>
          </w:p>
        </w:tc>
        <w:tc>
          <w:tcPr>
            <w:tcW w:w="1280" w:type="dxa"/>
            <w:vAlign w:val="bottom"/>
            <w:gridSpan w:val="3"/>
          </w:tcPr>
          <w:p>
            <w:pPr>
              <w:ind w:left="160"/>
              <w:spacing w:after="0"/>
              <w:rPr>
                <w:sz w:val="20"/>
                <w:szCs w:val="20"/>
                <w:color w:val="auto"/>
              </w:rPr>
            </w:pPr>
            <w:r>
              <w:rPr>
                <w:rFonts w:ascii="Arial" w:cs="Arial" w:eastAsia="Arial" w:hAnsi="Arial"/>
                <w:sz w:val="13"/>
                <w:szCs w:val="13"/>
                <w:b w:val="1"/>
                <w:bCs w:val="1"/>
                <w:color w:val="auto"/>
              </w:rPr>
              <w:t>platforms</w:t>
            </w:r>
          </w:p>
        </w:tc>
        <w:tc>
          <w:tcPr>
            <w:tcW w:w="1120" w:type="dxa"/>
            <w:vAlign w:val="bottom"/>
            <w:gridSpan w:val="2"/>
          </w:tcPr>
          <w:p>
            <w:pPr>
              <w:spacing w:after="0"/>
              <w:rPr>
                <w:sz w:val="20"/>
                <w:szCs w:val="20"/>
                <w:color w:val="auto"/>
              </w:rPr>
            </w:pPr>
            <w:r>
              <w:rPr>
                <w:rFonts w:ascii="Arial" w:cs="Arial" w:eastAsia="Arial" w:hAnsi="Arial"/>
                <w:sz w:val="13"/>
                <w:szCs w:val="13"/>
                <w:b w:val="1"/>
                <w:bCs w:val="1"/>
                <w:color w:val="auto"/>
              </w:rPr>
              <w:t>Transport units</w:t>
            </w: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Other leases</w:t>
            </w:r>
          </w:p>
        </w:tc>
        <w:tc>
          <w:tcPr>
            <w:tcW w:w="96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rPr>
              <w:t>2023</w:t>
            </w:r>
          </w:p>
        </w:tc>
      </w:tr>
      <w:tr>
        <w:trPr>
          <w:trHeight w:val="168"/>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r>
    </w:tbl>
    <w:p>
      <w:pPr>
        <w:spacing w:after="0" w:line="101" w:lineRule="exact"/>
        <w:rPr>
          <w:sz w:val="20"/>
          <w:szCs w:val="20"/>
          <w:color w:val="auto"/>
        </w:rPr>
      </w:pPr>
    </w:p>
    <w:tbl>
      <w:tblPr>
        <w:tblLayout w:type="fixed"/>
        <w:tblInd w:w="923" w:type="dxa"/>
        <w:tblCellMar>
          <w:top w:w="0" w:type="dxa"/>
          <w:left w:w="0" w:type="dxa"/>
          <w:bottom w:w="0" w:type="dxa"/>
          <w:right w:w="0" w:type="dxa"/>
        </w:tblCellMar>
      </w:tblPr>
      <w:tr>
        <w:trPr>
          <w:trHeight w:val="149"/>
        </w:trPr>
        <w:tc>
          <w:tcPr>
            <w:tcW w:w="2640" w:type="dxa"/>
            <w:vAlign w:val="bottom"/>
          </w:tcPr>
          <w:p>
            <w:pPr>
              <w:spacing w:after="0"/>
              <w:rPr>
                <w:sz w:val="20"/>
                <w:szCs w:val="20"/>
                <w:color w:val="auto"/>
              </w:rPr>
            </w:pPr>
            <w:r>
              <w:rPr>
                <w:rFonts w:ascii="Arial" w:cs="Arial" w:eastAsia="Arial" w:hAnsi="Arial"/>
                <w:sz w:val="13"/>
                <w:szCs w:val="13"/>
                <w:b w:val="1"/>
                <w:bCs w:val="1"/>
                <w:color w:val="auto"/>
              </w:rPr>
              <w:t>Cost -</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color w:val="auto"/>
              </w:rPr>
              <w:t>Balance as of January 1,</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860,095</w:t>
            </w:r>
          </w:p>
        </w:tc>
        <w:tc>
          <w:tcPr>
            <w:tcW w:w="960" w:type="dxa"/>
            <w:vAlign w:val="bottom"/>
          </w:tcPr>
          <w:p>
            <w:pPr>
              <w:jc w:val="right"/>
              <w:spacing w:after="0" w:line="145" w:lineRule="exact"/>
              <w:rPr>
                <w:sz w:val="20"/>
                <w:szCs w:val="20"/>
                <w:color w:val="auto"/>
              </w:rPr>
            </w:pPr>
            <w:r>
              <w:rPr>
                <w:rFonts w:ascii="Arial" w:cs="Arial" w:eastAsia="Arial" w:hAnsi="Arial"/>
                <w:sz w:val="13"/>
                <w:szCs w:val="13"/>
                <w:color w:val="auto"/>
              </w:rPr>
              <w:t>150,768</w:t>
            </w:r>
          </w:p>
        </w:tc>
        <w:tc>
          <w:tcPr>
            <w:tcW w:w="160" w:type="dxa"/>
            <w:vAlign w:val="bottom"/>
          </w:tcPr>
          <w:p>
            <w:pPr>
              <w:spacing w:after="0"/>
              <w:rPr>
                <w:sz w:val="12"/>
                <w:szCs w:val="12"/>
                <w:color w:val="auto"/>
              </w:rPr>
            </w:pP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8,050</w:t>
            </w: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79,300</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1,098,213</w:t>
            </w: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1,085,243</w:t>
            </w:r>
          </w:p>
        </w:tc>
        <w:tc>
          <w:tcPr>
            <w:tcW w:w="960" w:type="dxa"/>
            <w:vAlign w:val="bottom"/>
          </w:tcPr>
          <w:p>
            <w:pPr>
              <w:jc w:val="right"/>
              <w:spacing w:after="0" w:line="145" w:lineRule="exact"/>
              <w:rPr>
                <w:sz w:val="20"/>
                <w:szCs w:val="20"/>
                <w:color w:val="auto"/>
              </w:rPr>
            </w:pPr>
            <w:r>
              <w:rPr>
                <w:rFonts w:ascii="Arial" w:cs="Arial" w:eastAsia="Arial" w:hAnsi="Arial"/>
                <w:sz w:val="13"/>
                <w:szCs w:val="13"/>
                <w:color w:val="auto"/>
              </w:rPr>
              <w:t>1,026,891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color w:val="auto"/>
              </w:rPr>
              <w:t>Additions</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206,200</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92,767</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401</w:t>
            </w: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4,953</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304,321</w:t>
            </w: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52,441</w:t>
            </w:r>
          </w:p>
        </w:tc>
        <w:tc>
          <w:tcPr>
            <w:tcW w:w="98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122,841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color w:val="auto"/>
              </w:rPr>
              <w:t>Acquisition of Pacifico EPS shares, Note 2(a)</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128,049</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128,049</w:t>
            </w: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20"/>
                <w:szCs w:val="20"/>
                <w:color w:val="auto"/>
              </w:rPr>
            </w:pPr>
            <w:r>
              <w:rPr>
                <w:rFonts w:ascii="Arial" w:cs="Arial" w:eastAsia="Arial" w:hAnsi="Arial"/>
                <w:sz w:val="13"/>
                <w:szCs w:val="13"/>
                <w:color w:val="auto"/>
              </w:rPr>
              <w:t>Disposal and others</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(60,064)</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(145,140)</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(72)</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(707)</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(205,983)</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(39,471)</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(64,489)</w:t>
            </w:r>
          </w:p>
        </w:tc>
        <w:tc>
          <w:tcPr>
            <w:tcW w:w="0" w:type="dxa"/>
            <w:vAlign w:val="bottom"/>
          </w:tcPr>
          <w:p>
            <w:pPr>
              <w:spacing w:after="0"/>
              <w:rPr>
                <w:sz w:val="1"/>
                <w:szCs w:val="1"/>
                <w:color w:val="auto"/>
              </w:rPr>
            </w:pPr>
          </w:p>
        </w:tc>
      </w:tr>
      <w:tr>
        <w:trPr>
          <w:trHeight w:val="137"/>
        </w:trPr>
        <w:tc>
          <w:tcPr>
            <w:tcW w:w="2640" w:type="dxa"/>
            <w:vAlign w:val="bottom"/>
          </w:tcPr>
          <w:p>
            <w:pPr>
              <w:spacing w:after="0" w:line="137" w:lineRule="exact"/>
              <w:rPr>
                <w:sz w:val="20"/>
                <w:szCs w:val="20"/>
                <w:color w:val="auto"/>
              </w:rPr>
            </w:pPr>
            <w:r>
              <w:rPr>
                <w:rFonts w:ascii="Arial" w:cs="Arial" w:eastAsia="Arial" w:hAnsi="Arial"/>
                <w:sz w:val="13"/>
                <w:szCs w:val="13"/>
                <w:b w:val="1"/>
                <w:bCs w:val="1"/>
                <w:color w:val="auto"/>
              </w:rPr>
              <w:t>Balance as of December 31</w:t>
            </w:r>
          </w:p>
        </w:tc>
        <w:tc>
          <w:tcPr>
            <w:tcW w:w="9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1,134,280</w:t>
            </w:r>
          </w:p>
        </w:tc>
        <w:tc>
          <w:tcPr>
            <w:tcW w:w="16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98,395</w:t>
            </w:r>
          </w:p>
        </w:tc>
        <w:tc>
          <w:tcPr>
            <w:tcW w:w="16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8,379</w:t>
            </w:r>
          </w:p>
        </w:tc>
        <w:tc>
          <w:tcPr>
            <w:tcW w:w="1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83,546</w:t>
            </w:r>
          </w:p>
        </w:tc>
        <w:tc>
          <w:tcPr>
            <w:tcW w:w="18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1,324,600</w:t>
            </w:r>
          </w:p>
        </w:tc>
        <w:tc>
          <w:tcPr>
            <w:tcW w:w="16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1,098,213</w:t>
            </w:r>
          </w:p>
        </w:tc>
        <w:tc>
          <w:tcPr>
            <w:tcW w:w="16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1,085,243</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0"/>
                <w:szCs w:val="20"/>
                <w:color w:val="auto"/>
              </w:rPr>
            </w:pPr>
            <w:r>
              <w:rPr>
                <w:rFonts w:ascii="Arial" w:cs="Arial" w:eastAsia="Arial" w:hAnsi="Arial"/>
                <w:sz w:val="13"/>
                <w:szCs w:val="13"/>
                <w:b w:val="1"/>
                <w:bCs w:val="1"/>
                <w:color w:val="auto"/>
              </w:rPr>
              <w:t>Accumulated depreciation -</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color w:val="auto"/>
              </w:rPr>
              <w:t>Balance as of January 1,</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516,464</w:t>
            </w:r>
          </w:p>
        </w:tc>
        <w:tc>
          <w:tcPr>
            <w:tcW w:w="960" w:type="dxa"/>
            <w:vAlign w:val="bottom"/>
          </w:tcPr>
          <w:p>
            <w:pPr>
              <w:jc w:val="right"/>
              <w:spacing w:after="0" w:line="145" w:lineRule="exact"/>
              <w:rPr>
                <w:sz w:val="20"/>
                <w:szCs w:val="20"/>
                <w:color w:val="auto"/>
              </w:rPr>
            </w:pPr>
            <w:r>
              <w:rPr>
                <w:rFonts w:ascii="Arial" w:cs="Arial" w:eastAsia="Arial" w:hAnsi="Arial"/>
                <w:sz w:val="13"/>
                <w:szCs w:val="13"/>
                <w:color w:val="auto"/>
              </w:rPr>
              <w:t>123,641</w:t>
            </w:r>
          </w:p>
        </w:tc>
        <w:tc>
          <w:tcPr>
            <w:tcW w:w="160" w:type="dxa"/>
            <w:vAlign w:val="bottom"/>
          </w:tcPr>
          <w:p>
            <w:pPr>
              <w:spacing w:after="0"/>
              <w:rPr>
                <w:sz w:val="12"/>
                <w:szCs w:val="12"/>
                <w:color w:val="auto"/>
              </w:rPr>
            </w:pP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3,324</w:t>
            </w: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52,246</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695,675</w:t>
            </w: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585,528</w:t>
            </w:r>
          </w:p>
        </w:tc>
        <w:tc>
          <w:tcPr>
            <w:tcW w:w="98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483,058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color w:val="auto"/>
              </w:rPr>
              <w:t>Depreciation of the period</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129,215</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17,655</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1,136</w:t>
            </w:r>
          </w:p>
        </w:tc>
        <w:tc>
          <w:tcPr>
            <w:tcW w:w="10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15,008</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163,014</w:t>
            </w: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142,640</w:t>
            </w:r>
          </w:p>
        </w:tc>
        <w:tc>
          <w:tcPr>
            <w:tcW w:w="98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147,833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20"/>
                <w:szCs w:val="20"/>
                <w:color w:val="auto"/>
              </w:rPr>
            </w:pPr>
            <w:r>
              <w:rPr>
                <w:rFonts w:ascii="Arial" w:cs="Arial" w:eastAsia="Arial" w:hAnsi="Arial"/>
                <w:sz w:val="13"/>
                <w:szCs w:val="13"/>
                <w:color w:val="auto"/>
              </w:rPr>
              <w:t>Disposal and others</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(22,524)</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(114,334)</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12</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(684)</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(137,530)</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(32,493)</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(45,363)</w:t>
            </w:r>
          </w:p>
        </w:tc>
        <w:tc>
          <w:tcPr>
            <w:tcW w:w="0" w:type="dxa"/>
            <w:vAlign w:val="bottom"/>
          </w:tcPr>
          <w:p>
            <w:pPr>
              <w:spacing w:after="0"/>
              <w:rPr>
                <w:sz w:val="1"/>
                <w:szCs w:val="1"/>
                <w:color w:val="auto"/>
              </w:rPr>
            </w:pPr>
          </w:p>
        </w:tc>
      </w:tr>
      <w:tr>
        <w:trPr>
          <w:trHeight w:val="137"/>
        </w:trPr>
        <w:tc>
          <w:tcPr>
            <w:tcW w:w="2640" w:type="dxa"/>
            <w:vAlign w:val="bottom"/>
          </w:tcPr>
          <w:p>
            <w:pPr>
              <w:spacing w:after="0" w:line="137" w:lineRule="exact"/>
              <w:rPr>
                <w:sz w:val="20"/>
                <w:szCs w:val="20"/>
                <w:color w:val="auto"/>
              </w:rPr>
            </w:pPr>
            <w:r>
              <w:rPr>
                <w:rFonts w:ascii="Arial" w:cs="Arial" w:eastAsia="Arial" w:hAnsi="Arial"/>
                <w:sz w:val="13"/>
                <w:szCs w:val="13"/>
                <w:b w:val="1"/>
                <w:bCs w:val="1"/>
                <w:color w:val="auto"/>
              </w:rPr>
              <w:t>Balance as of December 31</w:t>
            </w:r>
          </w:p>
        </w:tc>
        <w:tc>
          <w:tcPr>
            <w:tcW w:w="9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623,155</w:t>
            </w:r>
          </w:p>
        </w:tc>
        <w:tc>
          <w:tcPr>
            <w:tcW w:w="16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26,962</w:t>
            </w:r>
          </w:p>
        </w:tc>
        <w:tc>
          <w:tcPr>
            <w:tcW w:w="16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4,472</w:t>
            </w:r>
          </w:p>
        </w:tc>
        <w:tc>
          <w:tcPr>
            <w:tcW w:w="1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66,570</w:t>
            </w:r>
          </w:p>
        </w:tc>
        <w:tc>
          <w:tcPr>
            <w:tcW w:w="18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721,159</w:t>
            </w:r>
          </w:p>
        </w:tc>
        <w:tc>
          <w:tcPr>
            <w:tcW w:w="16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695,675</w:t>
            </w:r>
          </w:p>
        </w:tc>
        <w:tc>
          <w:tcPr>
            <w:tcW w:w="16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585,528</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40" w:type="dxa"/>
            <w:vAlign w:val="bottom"/>
            <w:vMerge w:val="restart"/>
          </w:tcPr>
          <w:p>
            <w:pPr>
              <w:spacing w:after="0"/>
              <w:rPr>
                <w:sz w:val="20"/>
                <w:szCs w:val="20"/>
                <w:color w:val="auto"/>
              </w:rPr>
            </w:pPr>
            <w:r>
              <w:rPr>
                <w:rFonts w:ascii="Arial" w:cs="Arial" w:eastAsia="Arial" w:hAnsi="Arial"/>
                <w:sz w:val="13"/>
                <w:szCs w:val="13"/>
                <w:b w:val="1"/>
                <w:bCs w:val="1"/>
                <w:color w:val="auto"/>
              </w:rPr>
              <w:t>Net carrying amount</w:t>
            </w:r>
          </w:p>
        </w:tc>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40" w:type="dxa"/>
            <w:vAlign w:val="bottom"/>
            <w:vMerge w:val="continue"/>
          </w:tcPr>
          <w:p>
            <w:pPr>
              <w:spacing w:after="0"/>
              <w:rPr>
                <w:sz w:val="11"/>
                <w:szCs w:val="11"/>
                <w:color w:val="auto"/>
              </w:rPr>
            </w:pPr>
          </w:p>
        </w:tc>
        <w:tc>
          <w:tcPr>
            <w:tcW w:w="9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511,125</w:t>
            </w:r>
          </w:p>
        </w:tc>
        <w:tc>
          <w:tcPr>
            <w:tcW w:w="16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71,433</w:t>
            </w:r>
          </w:p>
        </w:tc>
        <w:tc>
          <w:tcPr>
            <w:tcW w:w="160" w:type="dxa"/>
            <w:vAlign w:val="bottom"/>
          </w:tcPr>
          <w:p>
            <w:pPr>
              <w:spacing w:after="0"/>
              <w:rPr>
                <w:sz w:val="11"/>
                <w:szCs w:val="11"/>
                <w:color w:val="auto"/>
              </w:rPr>
            </w:pPr>
          </w:p>
        </w:tc>
        <w:tc>
          <w:tcPr>
            <w:tcW w:w="9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3,907</w:t>
            </w:r>
          </w:p>
        </w:tc>
        <w:tc>
          <w:tcPr>
            <w:tcW w:w="18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16,976</w:t>
            </w:r>
          </w:p>
        </w:tc>
        <w:tc>
          <w:tcPr>
            <w:tcW w:w="18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603,441</w:t>
            </w:r>
          </w:p>
        </w:tc>
        <w:tc>
          <w:tcPr>
            <w:tcW w:w="160" w:type="dxa"/>
            <w:vAlign w:val="bottom"/>
          </w:tcPr>
          <w:p>
            <w:pPr>
              <w:spacing w:after="0"/>
              <w:rPr>
                <w:sz w:val="11"/>
                <w:szCs w:val="11"/>
                <w:color w:val="auto"/>
              </w:rPr>
            </w:pPr>
          </w:p>
        </w:tc>
        <w:tc>
          <w:tcPr>
            <w:tcW w:w="9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402,538</w:t>
            </w:r>
          </w:p>
        </w:tc>
        <w:tc>
          <w:tcPr>
            <w:tcW w:w="160" w:type="dxa"/>
            <w:vAlign w:val="bottom"/>
          </w:tcPr>
          <w:p>
            <w:pPr>
              <w:spacing w:after="0"/>
              <w:rPr>
                <w:sz w:val="11"/>
                <w:szCs w:val="11"/>
                <w:color w:val="auto"/>
              </w:rPr>
            </w:pPr>
          </w:p>
        </w:tc>
        <w:tc>
          <w:tcPr>
            <w:tcW w:w="980" w:type="dxa"/>
            <w:vAlign w:val="bottom"/>
            <w:tcBorders>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499,715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63" w:right="20"/>
        <w:spacing w:after="0" w:line="274" w:lineRule="auto"/>
        <w:rPr>
          <w:sz w:val="20"/>
          <w:szCs w:val="20"/>
          <w:color w:val="auto"/>
        </w:rPr>
      </w:pPr>
      <w:r>
        <w:rPr>
          <w:rFonts w:ascii="Arial" w:cs="Arial" w:eastAsia="Arial" w:hAnsi="Arial"/>
          <w:sz w:val="16"/>
          <w:szCs w:val="16"/>
          <w:color w:val="auto"/>
        </w:rPr>
        <w:t>The Group maintains contracts, with certain renewal options and for which the Group has reasonable certainty that this option will be exercised. In these cases, the period of lease used to measure the liability and assets corresponds to an estimation of future renovations.</w:t>
      </w:r>
    </w:p>
    <w:p>
      <w:pPr>
        <w:spacing w:after="0" w:line="123" w:lineRule="exact"/>
        <w:rPr>
          <w:sz w:val="20"/>
          <w:szCs w:val="20"/>
          <w:color w:val="auto"/>
        </w:rPr>
      </w:pPr>
    </w:p>
    <w:p>
      <w:pPr>
        <w:ind w:left="863" w:right="20"/>
        <w:spacing w:after="0" w:line="274" w:lineRule="auto"/>
        <w:rPr>
          <w:sz w:val="20"/>
          <w:szCs w:val="20"/>
          <w:color w:val="auto"/>
        </w:rPr>
      </w:pPr>
      <w:r>
        <w:rPr>
          <w:rFonts w:ascii="Arial" w:cs="Arial" w:eastAsia="Arial" w:hAnsi="Arial"/>
          <w:sz w:val="16"/>
          <w:szCs w:val="16"/>
          <w:color w:val="auto"/>
        </w:rPr>
        <w:t>As of 2025, following the acquisition of Pacífico EPS and its subsidiaries, part of the depreciation for the period of right-of-use assets is included in the cost of sales of medical services in the amount of S/16.1 million.</w:t>
      </w:r>
    </w:p>
    <w:p>
      <w:pPr>
        <w:spacing w:after="0" w:line="123" w:lineRule="exact"/>
        <w:rPr>
          <w:sz w:val="20"/>
          <w:szCs w:val="20"/>
          <w:color w:val="auto"/>
        </w:rPr>
      </w:pPr>
    </w:p>
    <w:p>
      <w:pPr>
        <w:ind w:left="863" w:hanging="284"/>
        <w:spacing w:after="0"/>
        <w:tabs>
          <w:tab w:leader="none" w:pos="8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Lease liabilities</w:t>
      </w:r>
    </w:p>
    <w:p>
      <w:pPr>
        <w:spacing w:after="0" w:line="177" w:lineRule="exact"/>
        <w:rPr>
          <w:rFonts w:ascii="Arial" w:cs="Arial" w:eastAsia="Arial" w:hAnsi="Arial"/>
          <w:sz w:val="16"/>
          <w:szCs w:val="16"/>
          <w:color w:val="auto"/>
        </w:rPr>
      </w:pPr>
    </w:p>
    <w:p>
      <w:pPr>
        <w:ind w:left="863" w:right="20"/>
        <w:spacing w:after="0" w:line="274" w:lineRule="auto"/>
        <w:rPr>
          <w:rFonts w:ascii="Arial" w:cs="Arial" w:eastAsia="Arial" w:hAnsi="Arial"/>
          <w:sz w:val="16"/>
          <w:szCs w:val="16"/>
          <w:color w:val="auto"/>
        </w:rPr>
      </w:pPr>
      <w:r>
        <w:rPr>
          <w:rFonts w:ascii="Arial" w:cs="Arial" w:eastAsia="Arial" w:hAnsi="Arial"/>
          <w:sz w:val="16"/>
          <w:szCs w:val="16"/>
          <w:color w:val="auto"/>
        </w:rPr>
        <w:t>Lease liabilities include the present value of fixed payments and variable lease payments. Lease payments made under renewal options with reasonable certainty of being exercised are included in the measurement of the liability.</w:t>
      </w:r>
    </w:p>
    <w:p>
      <w:pPr>
        <w:spacing w:after="0" w:line="122" w:lineRule="exact"/>
        <w:rPr>
          <w:rFonts w:ascii="Arial" w:cs="Arial" w:eastAsia="Arial" w:hAnsi="Arial"/>
          <w:sz w:val="16"/>
          <w:szCs w:val="16"/>
          <w:color w:val="auto"/>
        </w:rPr>
      </w:pPr>
    </w:p>
    <w:p>
      <w:pPr>
        <w:jc w:val="both"/>
        <w:ind w:left="863"/>
        <w:spacing w:after="0" w:line="255" w:lineRule="auto"/>
        <w:rPr>
          <w:rFonts w:ascii="Arial" w:cs="Arial" w:eastAsia="Arial" w:hAnsi="Arial"/>
          <w:sz w:val="16"/>
          <w:szCs w:val="16"/>
          <w:color w:val="auto"/>
        </w:rPr>
      </w:pPr>
      <w:r>
        <w:rPr>
          <w:rFonts w:ascii="Arial" w:cs="Arial" w:eastAsia="Arial" w:hAnsi="Arial"/>
          <w:sz w:val="16"/>
          <w:szCs w:val="16"/>
          <w:color w:val="auto"/>
        </w:rPr>
        <w:t>Lease payments are discounted using the interest rate implicit in the lease, if that rate could be readily determined, or the interest rate that the lessee would have to pay to borrow the funds necessary to obtain an asset of similar value to the right-of-use asset, for a similar term, in a similar economic environment with similar terms, guarantees and conditions.</w:t>
      </w:r>
    </w:p>
    <w:p>
      <w:pPr>
        <w:spacing w:after="0" w:line="137" w:lineRule="exact"/>
        <w:rPr>
          <w:rFonts w:ascii="Arial" w:cs="Arial" w:eastAsia="Arial" w:hAnsi="Arial"/>
          <w:sz w:val="16"/>
          <w:szCs w:val="16"/>
          <w:color w:val="auto"/>
        </w:rPr>
      </w:pPr>
    </w:p>
    <w:p>
      <w:pPr>
        <w:ind w:left="863" w:right="20"/>
        <w:spacing w:after="0" w:line="246" w:lineRule="auto"/>
        <w:rPr>
          <w:rFonts w:ascii="Arial" w:cs="Arial" w:eastAsia="Arial" w:hAnsi="Arial"/>
          <w:sz w:val="16"/>
          <w:szCs w:val="16"/>
          <w:color w:val="auto"/>
        </w:rPr>
      </w:pPr>
      <w:r>
        <w:rPr>
          <w:rFonts w:ascii="Arial" w:cs="Arial" w:eastAsia="Arial" w:hAnsi="Arial"/>
          <w:sz w:val="16"/>
          <w:szCs w:val="16"/>
          <w:color w:val="auto"/>
        </w:rPr>
        <w:t>Lease liabilities are recorded at amortized cost, recognizing the interest in the caption “Interest, income and similar expenses” in the consolidated statement of income, and the installments that are paid will be subtracted.</w:t>
      </w:r>
    </w:p>
    <w:p>
      <w:pPr>
        <w:ind w:left="863"/>
        <w:spacing w:after="0"/>
        <w:rPr>
          <w:rFonts w:ascii="Arial" w:cs="Arial" w:eastAsia="Arial" w:hAnsi="Arial"/>
          <w:sz w:val="16"/>
          <w:szCs w:val="16"/>
          <w:color w:val="auto"/>
        </w:rPr>
      </w:pPr>
      <w:r>
        <w:rPr>
          <w:rFonts w:ascii="Arial" w:cs="Arial" w:eastAsia="Arial" w:hAnsi="Arial"/>
          <w:sz w:val="16"/>
          <w:szCs w:val="16"/>
          <w:color w:val="auto"/>
        </w:rPr>
        <w:t>As of December 31, 2025 and 2024, financial lease liability amounts to S/612.3 million and S/404.8 million, respectively.</w:t>
      </w:r>
    </w:p>
    <w:p>
      <w:pPr>
        <w:spacing w:after="0" w:line="330" w:lineRule="exact"/>
        <w:rPr>
          <w:rFonts w:ascii="Arial" w:cs="Arial" w:eastAsia="Arial" w:hAnsi="Arial"/>
          <w:sz w:val="16"/>
          <w:szCs w:val="16"/>
          <w:color w:val="auto"/>
        </w:rPr>
      </w:pPr>
    </w:p>
    <w:p>
      <w:pPr>
        <w:ind w:left="5523" w:hanging="104"/>
        <w:spacing w:after="0"/>
        <w:tabs>
          <w:tab w:leader="none" w:pos="552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316"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2"/>
        </w:trPr>
        <w:tc>
          <w:tcPr>
            <w:tcW w:w="38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12</w:t>
            </w:r>
          </w:p>
        </w:tc>
        <w:tc>
          <w:tcPr>
            <w:tcW w:w="4640" w:type="dxa"/>
            <w:vAlign w:val="bottom"/>
          </w:tcPr>
          <w:p>
            <w:pPr>
              <w:ind w:left="200"/>
              <w:spacing w:after="0"/>
              <w:rPr>
                <w:sz w:val="20"/>
                <w:szCs w:val="20"/>
                <w:color w:val="auto"/>
              </w:rPr>
            </w:pPr>
            <w:r>
              <w:rPr>
                <w:rFonts w:ascii="Arial" w:cs="Arial" w:eastAsia="Arial" w:hAnsi="Arial"/>
                <w:sz w:val="16"/>
                <w:szCs w:val="16"/>
                <w:b w:val="1"/>
                <w:bCs w:val="1"/>
                <w:color w:val="auto"/>
              </w:rPr>
              <w:t>OTHER ASSETS AND OTHER LIABILITIES</w:t>
            </w:r>
          </w:p>
        </w:tc>
        <w:tc>
          <w:tcPr>
            <w:tcW w:w="2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38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6"/>
                <w:szCs w:val="16"/>
                <w:color w:val="auto"/>
              </w:rPr>
              <w:t>a)  This item consists of the following:</w:t>
            </w:r>
          </w:p>
        </w:tc>
        <w:tc>
          <w:tcPr>
            <w:tcW w:w="2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400" w:type="dxa"/>
            <w:vAlign w:val="bottom"/>
            <w:gridSpan w:val="2"/>
          </w:tcPr>
          <w:p>
            <w:pPr>
              <w:ind w:left="296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80" w:type="dxa"/>
            <w:vAlign w:val="bottom"/>
          </w:tcPr>
          <w:p>
            <w:pPr>
              <w:spacing w:after="0"/>
              <w:rPr>
                <w:sz w:val="24"/>
                <w:szCs w:val="24"/>
                <w:color w:val="auto"/>
              </w:rPr>
            </w:pPr>
          </w:p>
        </w:tc>
        <w:tc>
          <w:tcPr>
            <w:tcW w:w="4640" w:type="dxa"/>
            <w:vAlign w:val="bottom"/>
          </w:tcPr>
          <w:p>
            <w:pPr>
              <w:ind w:left="540"/>
              <w:spacing w:after="0"/>
              <w:rPr>
                <w:sz w:val="20"/>
                <w:szCs w:val="20"/>
                <w:color w:val="auto"/>
              </w:rPr>
            </w:pPr>
            <w:r>
              <w:rPr>
                <w:rFonts w:ascii="Arial" w:cs="Arial" w:eastAsia="Arial" w:hAnsi="Arial"/>
                <w:sz w:val="16"/>
                <w:szCs w:val="16"/>
                <w:b w:val="1"/>
                <w:bCs w:val="1"/>
                <w:color w:val="auto"/>
              </w:rPr>
              <w:t>Other assets -</w:t>
            </w:r>
          </w:p>
        </w:tc>
        <w:tc>
          <w:tcPr>
            <w:tcW w:w="2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b w:val="1"/>
                <w:bCs w:val="1"/>
                <w:color w:val="auto"/>
              </w:rPr>
              <w:t>Financial instruments:</w:t>
            </w:r>
          </w:p>
        </w:tc>
        <w:tc>
          <w:tcPr>
            <w:tcW w:w="2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Receivables (b)</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1,577,490</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1,225,171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Derivatives receivable (c)</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1,231,865</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904,791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Receivables from sale of investments (d)</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787,539</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824,988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Margin call and others (e)</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2,604,469</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1,087,831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640" w:type="dxa"/>
            <w:vAlign w:val="bottom"/>
          </w:tcPr>
          <w:p>
            <w:pPr>
              <w:ind w:left="540"/>
              <w:spacing w:after="0"/>
              <w:rPr>
                <w:sz w:val="20"/>
                <w:szCs w:val="20"/>
                <w:color w:val="auto"/>
              </w:rPr>
            </w:pPr>
            <w:r>
              <w:rPr>
                <w:rFonts w:ascii="Arial" w:cs="Arial" w:eastAsia="Arial" w:hAnsi="Arial"/>
                <w:sz w:val="16"/>
                <w:szCs w:val="16"/>
                <w:color w:val="auto"/>
              </w:rPr>
              <w:t>Operations in process (f)</w:t>
            </w:r>
          </w:p>
        </w:tc>
        <w:tc>
          <w:tcPr>
            <w:tcW w:w="4600" w:type="dxa"/>
            <w:vAlign w:val="bottom"/>
            <w:gridSpan w:val="3"/>
          </w:tcPr>
          <w:p>
            <w:pPr>
              <w:jc w:val="right"/>
              <w:ind w:right="200"/>
              <w:spacing w:after="0"/>
              <w:rPr>
                <w:sz w:val="20"/>
                <w:szCs w:val="20"/>
                <w:color w:val="auto"/>
              </w:rPr>
            </w:pPr>
            <w:r>
              <w:rPr>
                <w:rFonts w:ascii="Arial" w:cs="Arial" w:eastAsia="Arial" w:hAnsi="Arial"/>
                <w:sz w:val="16"/>
                <w:szCs w:val="16"/>
                <w:color w:val="auto"/>
              </w:rPr>
              <w:t>133,045</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131,029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4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6,334,408</w:t>
            </w:r>
          </w:p>
        </w:tc>
        <w:tc>
          <w:tcPr>
            <w:tcW w:w="200" w:type="dxa"/>
            <w:vAlign w:val="bottom"/>
          </w:tcPr>
          <w:p>
            <w:pPr>
              <w:spacing w:after="0"/>
              <w:rPr>
                <w:sz w:val="15"/>
                <w:szCs w:val="15"/>
                <w:color w:val="auto"/>
              </w:rPr>
            </w:pPr>
          </w:p>
        </w:tc>
        <w:tc>
          <w:tcPr>
            <w:tcW w:w="150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4,173,810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380" w:type="dxa"/>
            <w:vAlign w:val="bottom"/>
          </w:tcPr>
          <w:p>
            <w:pPr>
              <w:spacing w:after="0"/>
              <w:rPr>
                <w:sz w:val="24"/>
                <w:szCs w:val="24"/>
                <w:color w:val="auto"/>
              </w:rPr>
            </w:pPr>
          </w:p>
        </w:tc>
        <w:tc>
          <w:tcPr>
            <w:tcW w:w="4640" w:type="dxa"/>
            <w:vAlign w:val="bottom"/>
          </w:tcPr>
          <w:p>
            <w:pPr>
              <w:ind w:left="540"/>
              <w:spacing w:after="0"/>
              <w:rPr>
                <w:sz w:val="20"/>
                <w:szCs w:val="20"/>
                <w:color w:val="auto"/>
              </w:rPr>
            </w:pPr>
            <w:r>
              <w:rPr>
                <w:rFonts w:ascii="Arial" w:cs="Arial" w:eastAsia="Arial" w:hAnsi="Arial"/>
                <w:sz w:val="16"/>
                <w:szCs w:val="16"/>
                <w:b w:val="1"/>
                <w:bCs w:val="1"/>
                <w:color w:val="auto"/>
              </w:rPr>
              <w:t>Non-financial instruments:</w:t>
            </w:r>
          </w:p>
        </w:tc>
        <w:tc>
          <w:tcPr>
            <w:tcW w:w="296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Claim filed with the Tax Authority (l), Note 31</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1,577,175</w:t>
            </w:r>
          </w:p>
        </w:tc>
        <w:tc>
          <w:tcPr>
            <w:tcW w:w="164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Investment properties, net (g)</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795,506</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625,105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Deferred fees (h)</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709,384</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1,026,896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Improvements in leased premises</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254,018</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149,298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VAT (IGV) tax credit</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121,351</w:t>
            </w:r>
          </w:p>
        </w:tc>
        <w:tc>
          <w:tcPr>
            <w:tcW w:w="164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70,339</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Income tax prepayments, net</w:t>
            </w:r>
          </w:p>
        </w:tc>
        <w:tc>
          <w:tcPr>
            <w:tcW w:w="44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119,910</w:t>
            </w:r>
          </w:p>
        </w:tc>
        <w:tc>
          <w:tcPr>
            <w:tcW w:w="200" w:type="dxa"/>
            <w:vAlign w:val="bottom"/>
          </w:tcPr>
          <w:p>
            <w:pPr>
              <w:spacing w:after="0"/>
              <w:rPr>
                <w:sz w:val="15"/>
                <w:szCs w:val="15"/>
                <w:color w:val="auto"/>
              </w:rPr>
            </w:pP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226,847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Adjudicated assets, net</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90,286</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166,179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Investment in associates (i)</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65,338</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763,918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640" w:type="dxa"/>
            <w:vAlign w:val="bottom"/>
          </w:tcPr>
          <w:p>
            <w:pPr>
              <w:ind w:left="540"/>
              <w:spacing w:after="0"/>
              <w:rPr>
                <w:sz w:val="20"/>
                <w:szCs w:val="20"/>
                <w:color w:val="auto"/>
              </w:rPr>
            </w:pPr>
            <w:r>
              <w:rPr>
                <w:rFonts w:ascii="Arial" w:cs="Arial" w:eastAsia="Arial" w:hAnsi="Arial"/>
                <w:sz w:val="16"/>
                <w:szCs w:val="16"/>
                <w:color w:val="auto"/>
              </w:rPr>
              <w:t>Others</w:t>
            </w:r>
          </w:p>
        </w:tc>
        <w:tc>
          <w:tcPr>
            <w:tcW w:w="4600" w:type="dxa"/>
            <w:vAlign w:val="bottom"/>
            <w:gridSpan w:val="3"/>
          </w:tcPr>
          <w:p>
            <w:pPr>
              <w:jc w:val="right"/>
              <w:ind w:right="200"/>
              <w:spacing w:after="0"/>
              <w:rPr>
                <w:sz w:val="20"/>
                <w:szCs w:val="20"/>
                <w:color w:val="auto"/>
              </w:rPr>
            </w:pPr>
            <w:r>
              <w:rPr>
                <w:rFonts w:ascii="Arial" w:cs="Arial" w:eastAsia="Arial" w:hAnsi="Arial"/>
                <w:sz w:val="16"/>
                <w:szCs w:val="16"/>
                <w:color w:val="auto"/>
              </w:rPr>
              <w:t>78,171</w:t>
            </w:r>
          </w:p>
        </w:tc>
        <w:tc>
          <w:tcPr>
            <w:tcW w:w="1640" w:type="dxa"/>
            <w:vAlign w:val="bottom"/>
            <w:gridSpan w:val="3"/>
          </w:tcPr>
          <w:p>
            <w:pPr>
              <w:jc w:val="right"/>
              <w:ind w:right="160"/>
              <w:spacing w:after="0"/>
              <w:rPr>
                <w:sz w:val="20"/>
                <w:szCs w:val="20"/>
                <w:color w:val="auto"/>
              </w:rPr>
            </w:pPr>
            <w:r>
              <w:rPr>
                <w:rFonts w:ascii="Arial" w:cs="Arial" w:eastAsia="Arial" w:hAnsi="Arial"/>
                <w:sz w:val="16"/>
                <w:szCs w:val="16"/>
                <w:color w:val="auto"/>
              </w:rPr>
              <w:t>31,763</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64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Total</w:t>
            </w:r>
          </w:p>
        </w:tc>
        <w:tc>
          <w:tcPr>
            <w:tcW w:w="296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3,811,139</w:t>
            </w:r>
          </w:p>
        </w:tc>
        <w:tc>
          <w:tcPr>
            <w:tcW w:w="200" w:type="dxa"/>
            <w:vAlign w:val="bottom"/>
          </w:tcPr>
          <w:p>
            <w:pPr>
              <w:spacing w:after="0"/>
              <w:rPr>
                <w:sz w:val="15"/>
                <w:szCs w:val="15"/>
                <w:color w:val="auto"/>
              </w:rPr>
            </w:pPr>
          </w:p>
        </w:tc>
        <w:tc>
          <w:tcPr>
            <w:tcW w:w="150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3,060,345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464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4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10,145,547</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7,234,155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400" w:type="dxa"/>
            <w:vAlign w:val="bottom"/>
            <w:gridSpan w:val="2"/>
          </w:tcPr>
          <w:p>
            <w:pPr>
              <w:ind w:left="296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464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Other liabilities -</w:t>
            </w:r>
          </w:p>
        </w:tc>
        <w:tc>
          <w:tcPr>
            <w:tcW w:w="296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464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b w:val="1"/>
                <w:bCs w:val="1"/>
                <w:color w:val="auto"/>
              </w:rPr>
              <w:t>Financial instruments:</w:t>
            </w:r>
          </w:p>
        </w:tc>
        <w:tc>
          <w:tcPr>
            <w:tcW w:w="2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Accounts payable (j)</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2,678,539</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2,366,147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Salaries and other personnel expenses</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1,746,168</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1,335,800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Derivatives payable (c)</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1,047,907</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819,473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Accounts payable for acquisitions of investments (d)</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657,417</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832,530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Allowance for indirect loan losses, Note 7(c)</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371,576</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383,918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Operations in process (f)</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158,178</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227,549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640" w:type="dxa"/>
            <w:vAlign w:val="bottom"/>
          </w:tcPr>
          <w:p>
            <w:pPr>
              <w:ind w:left="540"/>
              <w:spacing w:after="0"/>
              <w:rPr>
                <w:sz w:val="20"/>
                <w:szCs w:val="20"/>
                <w:color w:val="auto"/>
              </w:rPr>
            </w:pPr>
            <w:r>
              <w:rPr>
                <w:rFonts w:ascii="Arial" w:cs="Arial" w:eastAsia="Arial" w:hAnsi="Arial"/>
                <w:sz w:val="16"/>
                <w:szCs w:val="16"/>
                <w:color w:val="auto"/>
              </w:rPr>
              <w:t>Dividends payable</w:t>
            </w:r>
          </w:p>
        </w:tc>
        <w:tc>
          <w:tcPr>
            <w:tcW w:w="4600" w:type="dxa"/>
            <w:vAlign w:val="bottom"/>
            <w:gridSpan w:val="3"/>
          </w:tcPr>
          <w:p>
            <w:pPr>
              <w:jc w:val="right"/>
              <w:ind w:right="200"/>
              <w:spacing w:after="0"/>
              <w:rPr>
                <w:sz w:val="20"/>
                <w:szCs w:val="20"/>
                <w:color w:val="auto"/>
              </w:rPr>
            </w:pPr>
            <w:r>
              <w:rPr>
                <w:rFonts w:ascii="Arial" w:cs="Arial" w:eastAsia="Arial" w:hAnsi="Arial"/>
                <w:sz w:val="16"/>
                <w:szCs w:val="16"/>
                <w:color w:val="auto"/>
              </w:rPr>
              <w:t>88,219</w:t>
            </w:r>
          </w:p>
        </w:tc>
        <w:tc>
          <w:tcPr>
            <w:tcW w:w="1640" w:type="dxa"/>
            <w:vAlign w:val="bottom"/>
            <w:gridSpan w:val="3"/>
          </w:tcPr>
          <w:p>
            <w:pPr>
              <w:jc w:val="right"/>
              <w:ind w:right="160"/>
              <w:spacing w:after="0"/>
              <w:rPr>
                <w:sz w:val="20"/>
                <w:szCs w:val="20"/>
                <w:color w:val="auto"/>
              </w:rPr>
            </w:pPr>
            <w:r>
              <w:rPr>
                <w:rFonts w:ascii="Arial" w:cs="Arial" w:eastAsia="Arial" w:hAnsi="Arial"/>
                <w:sz w:val="16"/>
                <w:szCs w:val="16"/>
                <w:color w:val="auto"/>
              </w:rPr>
              <w:t>74,183</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64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Non-financial instruments:</w:t>
            </w:r>
          </w:p>
        </w:tc>
        <w:tc>
          <w:tcPr>
            <w:tcW w:w="2960" w:type="dxa"/>
            <w:vAlign w:val="bottom"/>
          </w:tcPr>
          <w:p>
            <w:pPr>
              <w:spacing w:after="0"/>
              <w:rPr>
                <w:sz w:val="15"/>
                <w:szCs w:val="15"/>
                <w:color w:val="auto"/>
              </w:rPr>
            </w:pPr>
          </w:p>
        </w:tc>
        <w:tc>
          <w:tcPr>
            <w:tcW w:w="14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6,748,004</w:t>
            </w:r>
          </w:p>
        </w:tc>
        <w:tc>
          <w:tcPr>
            <w:tcW w:w="200" w:type="dxa"/>
            <w:vAlign w:val="bottom"/>
          </w:tcPr>
          <w:p>
            <w:pPr>
              <w:spacing w:after="0"/>
              <w:rPr>
                <w:sz w:val="15"/>
                <w:szCs w:val="15"/>
                <w:color w:val="auto"/>
              </w:rPr>
            </w:pPr>
          </w:p>
        </w:tc>
        <w:tc>
          <w:tcPr>
            <w:tcW w:w="150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6,039,600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640" w:type="dxa"/>
            <w:vAlign w:val="bottom"/>
            <w:vMerge w:val="continue"/>
          </w:tcPr>
          <w:p>
            <w:pPr>
              <w:spacing w:after="0"/>
              <w:rPr>
                <w:sz w:val="13"/>
                <w:szCs w:val="13"/>
                <w:color w:val="auto"/>
              </w:rPr>
            </w:pPr>
          </w:p>
        </w:tc>
        <w:tc>
          <w:tcPr>
            <w:tcW w:w="296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Taxes</w:t>
            </w:r>
          </w:p>
        </w:tc>
        <w:tc>
          <w:tcPr>
            <w:tcW w:w="46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723,433</w:t>
            </w: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786,659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640" w:type="dxa"/>
            <w:vAlign w:val="bottom"/>
          </w:tcPr>
          <w:p>
            <w:pPr>
              <w:ind w:left="540"/>
              <w:spacing w:after="0" w:line="181" w:lineRule="exact"/>
              <w:rPr>
                <w:sz w:val="20"/>
                <w:szCs w:val="20"/>
                <w:color w:val="auto"/>
              </w:rPr>
            </w:pPr>
            <w:r>
              <w:rPr>
                <w:rFonts w:ascii="Arial" w:cs="Arial" w:eastAsia="Arial" w:hAnsi="Arial"/>
                <w:sz w:val="16"/>
                <w:szCs w:val="16"/>
                <w:color w:val="auto"/>
              </w:rPr>
              <w:t>Provision for sundry risks (k)</w:t>
            </w:r>
          </w:p>
        </w:tc>
        <w:tc>
          <w:tcPr>
            <w:tcW w:w="44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625,117</w:t>
            </w:r>
          </w:p>
        </w:tc>
        <w:tc>
          <w:tcPr>
            <w:tcW w:w="200" w:type="dxa"/>
            <w:vAlign w:val="bottom"/>
          </w:tcPr>
          <w:p>
            <w:pPr>
              <w:spacing w:after="0"/>
              <w:rPr>
                <w:sz w:val="15"/>
                <w:szCs w:val="15"/>
                <w:color w:val="auto"/>
              </w:rPr>
            </w:pPr>
          </w:p>
        </w:tc>
        <w:tc>
          <w:tcPr>
            <w:tcW w:w="15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646,739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640" w:type="dxa"/>
            <w:vAlign w:val="bottom"/>
          </w:tcPr>
          <w:p>
            <w:pPr>
              <w:ind w:left="540"/>
              <w:spacing w:after="0"/>
              <w:rPr>
                <w:sz w:val="20"/>
                <w:szCs w:val="20"/>
                <w:color w:val="auto"/>
              </w:rPr>
            </w:pPr>
            <w:r>
              <w:rPr>
                <w:rFonts w:ascii="Arial" w:cs="Arial" w:eastAsia="Arial" w:hAnsi="Arial"/>
                <w:sz w:val="16"/>
                <w:szCs w:val="16"/>
                <w:color w:val="auto"/>
              </w:rPr>
              <w:t>Others</w:t>
            </w:r>
          </w:p>
        </w:tc>
        <w:tc>
          <w:tcPr>
            <w:tcW w:w="4600" w:type="dxa"/>
            <w:vAlign w:val="bottom"/>
            <w:gridSpan w:val="3"/>
          </w:tcPr>
          <w:p>
            <w:pPr>
              <w:jc w:val="right"/>
              <w:ind w:right="200"/>
              <w:spacing w:after="0"/>
              <w:rPr>
                <w:sz w:val="20"/>
                <w:szCs w:val="20"/>
                <w:color w:val="auto"/>
              </w:rPr>
            </w:pPr>
            <w:r>
              <w:rPr>
                <w:rFonts w:ascii="Arial" w:cs="Arial" w:eastAsia="Arial" w:hAnsi="Arial"/>
                <w:sz w:val="16"/>
                <w:szCs w:val="16"/>
                <w:color w:val="auto"/>
              </w:rPr>
              <w:t>168,525</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147,308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64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Total</w:t>
            </w:r>
          </w:p>
        </w:tc>
        <w:tc>
          <w:tcPr>
            <w:tcW w:w="296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1,517,075</w:t>
            </w:r>
          </w:p>
        </w:tc>
        <w:tc>
          <w:tcPr>
            <w:tcW w:w="200" w:type="dxa"/>
            <w:vAlign w:val="bottom"/>
          </w:tcPr>
          <w:p>
            <w:pPr>
              <w:spacing w:after="0"/>
              <w:rPr>
                <w:sz w:val="15"/>
                <w:szCs w:val="15"/>
                <w:color w:val="auto"/>
              </w:rPr>
            </w:pPr>
          </w:p>
        </w:tc>
        <w:tc>
          <w:tcPr>
            <w:tcW w:w="150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1,580,706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464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440" w:type="dxa"/>
            <w:vAlign w:val="bottom"/>
          </w:tcPr>
          <w:p>
            <w:pPr>
              <w:jc w:val="right"/>
              <w:spacing w:after="0" w:line="173" w:lineRule="exact"/>
              <w:rPr>
                <w:sz w:val="20"/>
                <w:szCs w:val="20"/>
                <w:color w:val="auto"/>
              </w:rPr>
            </w:pPr>
            <w:r>
              <w:rPr>
                <w:rFonts w:ascii="Arial" w:cs="Arial" w:eastAsia="Arial" w:hAnsi="Arial"/>
                <w:sz w:val="16"/>
                <w:szCs w:val="16"/>
                <w:color w:val="auto"/>
              </w:rPr>
              <w:t>8,265,079</w:t>
            </w:r>
          </w:p>
        </w:tc>
        <w:tc>
          <w:tcPr>
            <w:tcW w:w="200" w:type="dxa"/>
            <w:vAlign w:val="bottom"/>
          </w:tcPr>
          <w:p>
            <w:pPr>
              <w:spacing w:after="0"/>
              <w:rPr>
                <w:sz w:val="15"/>
                <w:szCs w:val="15"/>
                <w:color w:val="auto"/>
              </w:rPr>
            </w:pPr>
          </w:p>
        </w:tc>
        <w:tc>
          <w:tcPr>
            <w:tcW w:w="150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7,620,306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960" w:type="dxa"/>
            <w:vAlign w:val="bottom"/>
          </w:tcPr>
          <w:p>
            <w:pPr>
              <w:jc w:val="right"/>
              <w:ind w:right="2100"/>
              <w:spacing w:after="0"/>
              <w:rPr>
                <w:sz w:val="20"/>
                <w:szCs w:val="20"/>
                <w:color w:val="auto"/>
              </w:rPr>
            </w:pPr>
            <w:r>
              <w:rPr>
                <w:rFonts w:ascii="Arial" w:cs="Arial" w:eastAsia="Arial" w:hAnsi="Arial"/>
                <w:sz w:val="16"/>
                <w:szCs w:val="16"/>
                <w:color w:val="auto"/>
              </w:rPr>
              <w:t>- 88 -</w:t>
            </w:r>
          </w:p>
        </w:tc>
        <w:tc>
          <w:tcPr>
            <w:tcW w:w="1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0" w:type="dxa"/>
            <w:vAlign w:val="bottom"/>
            <w:tcBorders>
              <w:bottom w:val="single" w:sz="8" w:color="auto"/>
            </w:tcBorders>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93" w:name="page94"/>
    <w:bookmarkEnd w:id="93"/>
    <w:p>
      <w:pPr>
        <w:jc w:val="both"/>
        <w:ind w:left="284" w:hanging="284"/>
        <w:spacing w:after="0" w:line="255" w:lineRule="auto"/>
        <w:tabs>
          <w:tab w:leader="none" w:pos="28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of December 31, 2025 and 2024, the balance is mainly composed of trade receivables from third parties arising from the sale of goods and services, receivables from payment operators related to credit and debit card transactions pending settlement, indemnities, third-party claims, commissions receivable, advances to employees, rental receivables, among others.</w:t>
      </w:r>
    </w:p>
    <w:p>
      <w:pPr>
        <w:spacing w:after="0" w:line="306" w:lineRule="exact"/>
        <w:rPr>
          <w:rFonts w:ascii="Arial" w:cs="Arial" w:eastAsia="Arial" w:hAnsi="Arial"/>
          <w:sz w:val="16"/>
          <w:szCs w:val="16"/>
          <w:color w:val="auto"/>
        </w:rPr>
      </w:pPr>
    </w:p>
    <w:p>
      <w:pPr>
        <w:ind w:left="4944" w:hanging="104"/>
        <w:spacing w:after="0"/>
        <w:tabs>
          <w:tab w:leader="none" w:pos="494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4"/>
          </w:cols>
          <w:pgMar w:left="896" w:top="316" w:right="639" w:bottom="1440" w:gutter="0" w:footer="0" w:header="0"/>
        </w:sectPr>
      </w:pPr>
    </w:p>
    <w:bookmarkStart w:id="94" w:name="page95"/>
    <w:bookmarkEnd w:id="94"/>
    <w:p>
      <w:pPr>
        <w:ind w:left="284" w:right="280" w:hanging="284"/>
        <w:spacing w:after="0" w:line="274" w:lineRule="auto"/>
        <w:tabs>
          <w:tab w:leader="none" w:pos="28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risk in derivative contracts arises from the possibility of the counterparty failing to comply with the terms and conditions agreed and that the reference rates at which the transactions took place change.</w:t>
      </w:r>
    </w:p>
    <w:p>
      <w:pPr>
        <w:spacing w:after="0" w:line="122" w:lineRule="exact"/>
        <w:rPr>
          <w:rFonts w:ascii="Arial" w:cs="Arial" w:eastAsia="Arial" w:hAnsi="Arial"/>
          <w:sz w:val="16"/>
          <w:szCs w:val="16"/>
          <w:color w:val="auto"/>
        </w:rPr>
      </w:pPr>
    </w:p>
    <w:p>
      <w:pPr>
        <w:ind w:left="284" w:right="240"/>
        <w:spacing w:after="0" w:line="255" w:lineRule="auto"/>
        <w:rPr>
          <w:rFonts w:ascii="Arial" w:cs="Arial" w:eastAsia="Arial" w:hAnsi="Arial"/>
          <w:sz w:val="16"/>
          <w:szCs w:val="16"/>
          <w:color w:val="auto"/>
        </w:rPr>
      </w:pPr>
      <w:r>
        <w:rPr>
          <w:rFonts w:ascii="Arial" w:cs="Arial" w:eastAsia="Arial" w:hAnsi="Arial"/>
          <w:sz w:val="16"/>
          <w:szCs w:val="16"/>
          <w:color w:val="auto"/>
        </w:rPr>
        <w:t>The table below shows as of December 31, 2025, and 2024 the fair value of derivative financial instruments, recorded as an asset or a liability, together with their notional amounts and maturities. The nominal amount, recorded gross, is the amount of a derivative’s underlying asset and is the basis upon which fair value of derivatives is measured.</w:t>
      </w:r>
    </w:p>
    <w:p>
      <w:pPr>
        <w:spacing w:after="0" w:line="142" w:lineRule="exact"/>
        <w:rPr>
          <w:sz w:val="20"/>
          <w:szCs w:val="20"/>
          <w:color w:val="auto"/>
        </w:rPr>
      </w:pPr>
    </w:p>
    <w:tbl>
      <w:tblPr>
        <w:tblLayout w:type="fixed"/>
        <w:tblInd w:w="344"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b w:val="1"/>
                <w:bCs w:val="1"/>
                <w:color w:val="auto"/>
              </w:rPr>
              <w:t>2025 and</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3"/>
                <w:szCs w:val="13"/>
                <w:b w:val="1"/>
                <w:bCs w:val="1"/>
                <w:color w:val="auto"/>
              </w:rPr>
              <w:t>Notional</w:t>
            </w:r>
          </w:p>
        </w:tc>
        <w:tc>
          <w:tcPr>
            <w:tcW w:w="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3"/>
                <w:szCs w:val="13"/>
                <w:b w:val="1"/>
                <w:bCs w:val="1"/>
                <w:color w:val="auto"/>
              </w:rPr>
              <w:t>Notional</w:t>
            </w:r>
          </w:p>
        </w:tc>
        <w:tc>
          <w:tcPr>
            <w:tcW w:w="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Note</w:t>
            </w: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Assets</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Liabilities</w:t>
            </w: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840" w:type="dxa"/>
            <w:vAlign w:val="bottom"/>
            <w:gridSpan w:val="2"/>
          </w:tcPr>
          <w:p>
            <w:pPr>
              <w:ind w:left="20"/>
              <w:spacing w:after="0"/>
              <w:rPr>
                <w:sz w:val="20"/>
                <w:szCs w:val="20"/>
                <w:color w:val="auto"/>
              </w:rPr>
            </w:pPr>
            <w:r>
              <w:rPr>
                <w:rFonts w:ascii="Arial" w:cs="Arial" w:eastAsia="Arial" w:hAnsi="Arial"/>
                <w:sz w:val="13"/>
                <w:szCs w:val="13"/>
                <w:b w:val="1"/>
                <w:bCs w:val="1"/>
                <w:color w:val="auto"/>
              </w:rPr>
              <w:t>Maturity</w:t>
            </w:r>
          </w:p>
        </w:tc>
        <w:tc>
          <w:tcPr>
            <w:tcW w:w="6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Assets</w:t>
            </w: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1600" w:type="dxa"/>
            <w:vAlign w:val="bottom"/>
            <w:gridSpan w:val="3"/>
          </w:tcPr>
          <w:p>
            <w:pPr>
              <w:jc w:val="right"/>
              <w:ind w:right="1040"/>
              <w:spacing w:after="0"/>
              <w:rPr>
                <w:sz w:val="20"/>
                <w:szCs w:val="20"/>
                <w:color w:val="auto"/>
              </w:rPr>
            </w:pPr>
            <w:r>
              <w:rPr>
                <w:rFonts w:ascii="Arial" w:cs="Arial" w:eastAsia="Arial" w:hAnsi="Arial"/>
                <w:sz w:val="13"/>
                <w:szCs w:val="13"/>
                <w:b w:val="1"/>
                <w:bCs w:val="1"/>
                <w:color w:val="auto"/>
              </w:rPr>
              <w:t>Maturity</w:t>
            </w:r>
          </w:p>
        </w:tc>
        <w:tc>
          <w:tcPr>
            <w:tcW w:w="740" w:type="dxa"/>
            <w:vAlign w:val="bottom"/>
          </w:tcPr>
          <w:p>
            <w:pPr>
              <w:spacing w:after="0"/>
              <w:rPr>
                <w:sz w:val="20"/>
                <w:szCs w:val="20"/>
                <w:color w:val="auto"/>
              </w:rPr>
            </w:pPr>
            <w:r>
              <w:rPr>
                <w:rFonts w:ascii="Arial" w:cs="Arial" w:eastAsia="Arial" w:hAnsi="Arial"/>
                <w:sz w:val="13"/>
                <w:szCs w:val="13"/>
                <w:b w:val="1"/>
                <w:bCs w:val="1"/>
                <w:color w:val="auto"/>
                <w:w w:val="96"/>
              </w:rPr>
              <w:t>instruments</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1660" w:type="dxa"/>
            <w:vAlign w:val="bottom"/>
          </w:tcPr>
          <w:p>
            <w:pPr>
              <w:spacing w:after="0"/>
              <w:rPr>
                <w:sz w:val="20"/>
                <w:szCs w:val="20"/>
                <w:color w:val="auto"/>
              </w:rPr>
            </w:pPr>
            <w:r>
              <w:rPr>
                <w:rFonts w:ascii="Arial" w:cs="Arial" w:eastAsia="Arial" w:hAnsi="Arial"/>
                <w:sz w:val="13"/>
                <w:szCs w:val="13"/>
                <w:color w:val="auto"/>
              </w:rPr>
              <w:t>Foreign currency forwards</w:t>
            </w:r>
          </w:p>
        </w:tc>
        <w:tc>
          <w:tcPr>
            <w:tcW w:w="54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546,954</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283,787</w:t>
            </w:r>
          </w:p>
        </w:tc>
        <w:tc>
          <w:tcPr>
            <w:tcW w:w="2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32,518,743</w:t>
            </w:r>
          </w:p>
        </w:tc>
        <w:tc>
          <w:tcPr>
            <w:tcW w:w="1840" w:type="dxa"/>
            <w:vAlign w:val="bottom"/>
            <w:gridSpan w:val="2"/>
          </w:tcPr>
          <w:p>
            <w:pPr>
              <w:ind w:left="20"/>
              <w:spacing w:after="0"/>
              <w:rPr>
                <w:sz w:val="20"/>
                <w:szCs w:val="20"/>
                <w:color w:val="auto"/>
              </w:rPr>
            </w:pPr>
            <w:r>
              <w:rPr>
                <w:rFonts w:ascii="Arial" w:cs="Arial" w:eastAsia="Arial" w:hAnsi="Arial"/>
                <w:sz w:val="13"/>
                <w:szCs w:val="13"/>
                <w:color w:val="auto"/>
                <w:w w:val="98"/>
              </w:rPr>
              <w:t>January 2026 / November 2037</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161,495</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210,947</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33,716,473</w:t>
            </w:r>
          </w:p>
        </w:tc>
        <w:tc>
          <w:tcPr>
            <w:tcW w:w="60" w:type="dxa"/>
            <w:vAlign w:val="bottom"/>
          </w:tcPr>
          <w:p>
            <w:pPr>
              <w:spacing w:after="0"/>
              <w:rPr>
                <w:sz w:val="24"/>
                <w:szCs w:val="2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3"/>
                <w:szCs w:val="13"/>
                <w:color w:val="auto"/>
                <w:w w:val="97"/>
              </w:rPr>
              <w:t>January 2025 / April 2027</w:t>
            </w:r>
          </w:p>
        </w:tc>
        <w:tc>
          <w:tcPr>
            <w:tcW w:w="7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January 2025 / January</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Interest rate swaps</w:t>
            </w:r>
          </w:p>
        </w:tc>
        <w:tc>
          <w:tcPr>
            <w:tcW w:w="540" w:type="dxa"/>
            <w:vAlign w:val="bottom"/>
          </w:tcPr>
          <w:p>
            <w:pPr>
              <w:spacing w:after="0"/>
              <w:rPr>
                <w:sz w:val="12"/>
                <w:szCs w:val="12"/>
                <w:color w:val="auto"/>
              </w:rPr>
            </w:pPr>
          </w:p>
        </w:tc>
        <w:tc>
          <w:tcPr>
            <w:tcW w:w="6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444,343</w:t>
            </w: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396,355</w:t>
            </w:r>
          </w:p>
        </w:tc>
        <w:tc>
          <w:tcPr>
            <w:tcW w:w="20" w:type="dxa"/>
            <w:vAlign w:val="bottom"/>
          </w:tcPr>
          <w:p>
            <w:pPr>
              <w:spacing w:after="0"/>
              <w:rPr>
                <w:sz w:val="12"/>
                <w:szCs w:val="12"/>
                <w:color w:val="auto"/>
              </w:rPr>
            </w:pPr>
          </w:p>
        </w:tc>
        <w:tc>
          <w:tcPr>
            <w:tcW w:w="74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53,011,798</w:t>
            </w: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98"/>
              </w:rPr>
              <w:t>January 2026 / November 2040</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456,575</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352,677</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48,119,429</w:t>
            </w:r>
          </w:p>
        </w:tc>
        <w:tc>
          <w:tcPr>
            <w:tcW w:w="16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2035</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January 2025 /</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Currency swaps</w:t>
            </w:r>
          </w:p>
        </w:tc>
        <w:tc>
          <w:tcPr>
            <w:tcW w:w="540" w:type="dxa"/>
            <w:vAlign w:val="bottom"/>
          </w:tcPr>
          <w:p>
            <w:pPr>
              <w:spacing w:after="0"/>
              <w:rPr>
                <w:sz w:val="12"/>
                <w:szCs w:val="12"/>
                <w:color w:val="auto"/>
              </w:rPr>
            </w:pPr>
          </w:p>
        </w:tc>
        <w:tc>
          <w:tcPr>
            <w:tcW w:w="6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223,448</w:t>
            </w: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346,591</w:t>
            </w:r>
          </w:p>
        </w:tc>
        <w:tc>
          <w:tcPr>
            <w:tcW w:w="20" w:type="dxa"/>
            <w:vAlign w:val="bottom"/>
          </w:tcPr>
          <w:p>
            <w:pPr>
              <w:spacing w:after="0"/>
              <w:rPr>
                <w:sz w:val="12"/>
                <w:szCs w:val="12"/>
                <w:color w:val="auto"/>
              </w:rPr>
            </w:pPr>
          </w:p>
        </w:tc>
        <w:tc>
          <w:tcPr>
            <w:tcW w:w="74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10,928,546</w:t>
            </w: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January 2026 / February 2037</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219,648</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230,848</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13,625,101</w:t>
            </w: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November 2034</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Foreign exchange options</w:t>
            </w:r>
          </w:p>
        </w:tc>
        <w:tc>
          <w:tcPr>
            <w:tcW w:w="540" w:type="dxa"/>
            <w:vAlign w:val="bottom"/>
          </w:tcPr>
          <w:p>
            <w:pPr>
              <w:spacing w:after="0"/>
              <w:rPr>
                <w:sz w:val="12"/>
                <w:szCs w:val="12"/>
                <w:color w:val="auto"/>
              </w:rPr>
            </w:pPr>
          </w:p>
        </w:tc>
        <w:tc>
          <w:tcPr>
            <w:tcW w:w="6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5,532</w:t>
            </w:r>
          </w:p>
        </w:tc>
        <w:tc>
          <w:tcPr>
            <w:tcW w:w="66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4,263</w:t>
            </w:r>
          </w:p>
        </w:tc>
        <w:tc>
          <w:tcPr>
            <w:tcW w:w="7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842,734</w:t>
            </w:r>
          </w:p>
        </w:tc>
        <w:tc>
          <w:tcPr>
            <w:tcW w:w="40" w:type="dxa"/>
            <w:vAlign w:val="bottom"/>
          </w:tcPr>
          <w:p>
            <w:pPr>
              <w:spacing w:after="0"/>
              <w:rPr>
                <w:sz w:val="12"/>
                <w:szCs w:val="12"/>
                <w:color w:val="auto"/>
              </w:rPr>
            </w:pP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98"/>
              </w:rPr>
              <w:t>January 2026 / December 2026</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3,018</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8,420</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743,202</w:t>
            </w: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w w:val="99"/>
              </w:rPr>
              <w:t>January 2025/ April 2026</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660" w:type="dxa"/>
            <w:vAlign w:val="bottom"/>
          </w:tcPr>
          <w:p>
            <w:pPr>
              <w:spacing w:after="0"/>
              <w:rPr>
                <w:sz w:val="20"/>
                <w:szCs w:val="20"/>
                <w:color w:val="auto"/>
              </w:rPr>
            </w:pPr>
            <w:r>
              <w:rPr>
                <w:rFonts w:ascii="Arial" w:cs="Arial" w:eastAsia="Arial" w:hAnsi="Arial"/>
                <w:sz w:val="13"/>
                <w:szCs w:val="13"/>
                <w:color w:val="auto"/>
              </w:rPr>
              <w:t>Futures</w:t>
            </w:r>
          </w:p>
        </w:tc>
        <w:tc>
          <w:tcPr>
            <w:tcW w:w="54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97</w:t>
            </w:r>
          </w:p>
        </w:tc>
        <w:tc>
          <w:tcPr>
            <w:tcW w:w="6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38,338</w:t>
            </w:r>
          </w:p>
        </w:tc>
        <w:tc>
          <w:tcPr>
            <w:tcW w:w="1840" w:type="dxa"/>
            <w:vAlign w:val="bottom"/>
            <w:gridSpan w:val="2"/>
          </w:tcPr>
          <w:p>
            <w:pPr>
              <w:ind w:left="20"/>
              <w:spacing w:after="0"/>
              <w:rPr>
                <w:sz w:val="20"/>
                <w:szCs w:val="20"/>
                <w:color w:val="auto"/>
              </w:rPr>
            </w:pPr>
            <w:r>
              <w:rPr>
                <w:rFonts w:ascii="Arial" w:cs="Arial" w:eastAsia="Arial" w:hAnsi="Arial"/>
                <w:sz w:val="13"/>
                <w:szCs w:val="13"/>
                <w:color w:val="auto"/>
              </w:rPr>
              <w:t>March 2026</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1,477</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120</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23,713</w:t>
            </w:r>
          </w:p>
        </w:tc>
        <w:tc>
          <w:tcPr>
            <w:tcW w:w="6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3"/>
                <w:szCs w:val="13"/>
                <w:color w:val="auto"/>
              </w:rPr>
              <w:t>March 2025</w:t>
            </w:r>
          </w:p>
        </w:tc>
        <w:tc>
          <w:tcPr>
            <w:tcW w:w="7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660" w:type="dxa"/>
            <w:vAlign w:val="bottom"/>
            <w:vMerge w:val="restart"/>
          </w:tcPr>
          <w:p>
            <w:pPr>
              <w:spacing w:after="0"/>
              <w:rPr>
                <w:sz w:val="20"/>
                <w:szCs w:val="20"/>
                <w:color w:val="auto"/>
              </w:rPr>
            </w:pPr>
            <w:r>
              <w:rPr>
                <w:rFonts w:ascii="Arial" w:cs="Arial" w:eastAsia="Arial" w:hAnsi="Arial"/>
                <w:sz w:val="13"/>
                <w:szCs w:val="13"/>
                <w:b w:val="1"/>
                <w:bCs w:val="1"/>
                <w:color w:val="auto"/>
                <w:w w:val="98"/>
              </w:rPr>
              <w:t>Derivatives held as hedges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1,220,374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1,030,999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98"/>
              </w:rPr>
              <w:t>97,340,159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97"/>
              </w:rPr>
              <w:t>842,213</w:t>
            </w: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803,012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w w:val="98"/>
              </w:rPr>
              <w:t>96,227,918</w:t>
            </w: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60" w:type="dxa"/>
            <w:vAlign w:val="bottom"/>
          </w:tcPr>
          <w:p>
            <w:pPr>
              <w:spacing w:after="0"/>
              <w:rPr>
                <w:sz w:val="20"/>
                <w:szCs w:val="20"/>
                <w:color w:val="auto"/>
              </w:rPr>
            </w:pPr>
            <w:r>
              <w:rPr>
                <w:rFonts w:ascii="Arial" w:cs="Arial" w:eastAsia="Arial" w:hAnsi="Arial"/>
                <w:sz w:val="13"/>
                <w:szCs w:val="13"/>
                <w:b w:val="1"/>
                <w:bCs w:val="1"/>
                <w:color w:val="auto"/>
              </w:rPr>
              <w:t>Cash flow hedges -</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Cash and</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Cross interest rate swaps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5" w:lineRule="exact"/>
              <w:rPr>
                <w:sz w:val="20"/>
                <w:szCs w:val="20"/>
                <w:color w:val="auto"/>
              </w:rPr>
            </w:pPr>
            <w:r>
              <w:rPr>
                <w:rFonts w:ascii="Arial" w:cs="Arial" w:eastAsia="Arial" w:hAnsi="Arial"/>
                <w:sz w:val="13"/>
                <w:szCs w:val="13"/>
                <w:color w:val="auto"/>
              </w:rPr>
              <w:t>due from</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(IRS)</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w w:val="97"/>
              </w:rPr>
              <w:t>4(b)(i)</w:t>
            </w:r>
          </w:p>
        </w:tc>
        <w:tc>
          <w:tcPr>
            <w:tcW w:w="6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677</w:t>
            </w:r>
          </w:p>
        </w:tc>
        <w:tc>
          <w:tcPr>
            <w:tcW w:w="20" w:type="dxa"/>
            <w:vAlign w:val="bottom"/>
          </w:tcPr>
          <w:p>
            <w:pPr>
              <w:spacing w:after="0"/>
              <w:rPr>
                <w:sz w:val="12"/>
                <w:szCs w:val="12"/>
                <w:color w:val="auto"/>
              </w:rPr>
            </w:pP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504,450</w:t>
            </w:r>
          </w:p>
        </w:tc>
        <w:tc>
          <w:tcPr>
            <w:tcW w:w="40" w:type="dxa"/>
            <w:vAlign w:val="bottom"/>
          </w:tcPr>
          <w:p>
            <w:pPr>
              <w:spacing w:after="0"/>
              <w:rPr>
                <w:sz w:val="12"/>
                <w:szCs w:val="12"/>
                <w:color w:val="auto"/>
              </w:rPr>
            </w:pP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April 2026 / May 2026</w:t>
            </w: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970</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564,600</w:t>
            </w: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April 2026 / May 2026</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banks</w:t>
            </w:r>
          </w:p>
        </w:tc>
        <w:tc>
          <w:tcPr>
            <w:tcW w:w="0" w:type="dxa"/>
            <w:vAlign w:val="bottom"/>
          </w:tcPr>
          <w:p>
            <w:pPr>
              <w:spacing w:after="0"/>
              <w:rPr>
                <w:sz w:val="1"/>
                <w:szCs w:val="1"/>
                <w:color w:val="auto"/>
              </w:rPr>
            </w:pPr>
          </w:p>
        </w:tc>
      </w:tr>
      <w:tr>
        <w:trPr>
          <w:trHeight w:val="145"/>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5" w:lineRule="exact"/>
              <w:rPr>
                <w:sz w:val="20"/>
                <w:szCs w:val="20"/>
                <w:color w:val="auto"/>
              </w:rPr>
            </w:pPr>
            <w:r>
              <w:rPr>
                <w:rFonts w:ascii="Arial" w:cs="Arial" w:eastAsia="Arial" w:hAnsi="Arial"/>
                <w:sz w:val="13"/>
                <w:szCs w:val="13"/>
                <w:color w:val="auto"/>
              </w:rPr>
              <w:t>Bonds</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Cross currency swaps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5" w:lineRule="exact"/>
              <w:rPr>
                <w:sz w:val="20"/>
                <w:szCs w:val="20"/>
                <w:color w:val="auto"/>
              </w:rPr>
            </w:pPr>
            <w:r>
              <w:rPr>
                <w:rFonts w:ascii="Arial" w:cs="Arial" w:eastAsia="Arial" w:hAnsi="Arial"/>
                <w:sz w:val="13"/>
                <w:szCs w:val="13"/>
                <w:color w:val="auto"/>
              </w:rPr>
              <w:t>issued /</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(CCS)</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rPr>
              <w:t>15(a)(iii)</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5,937</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71,940</w:t>
            </w: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November 2025</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Loans (**)</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Cross currency swaps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5" w:lineRule="exact"/>
              <w:rPr>
                <w:sz w:val="20"/>
                <w:szCs w:val="20"/>
                <w:color w:val="auto"/>
              </w:rPr>
            </w:pPr>
            <w:r>
              <w:rPr>
                <w:rFonts w:ascii="Arial" w:cs="Arial" w:eastAsia="Arial" w:hAnsi="Arial"/>
                <w:sz w:val="13"/>
                <w:szCs w:val="13"/>
                <w:color w:val="auto"/>
              </w:rPr>
              <w:t>Bonds</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(CCS)</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w w:val="99"/>
              </w:rPr>
              <w:t>15(a)(iv)</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18,993</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2,359</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828,080</w:t>
            </w: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January 2025</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issued</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Cross currency swaps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5" w:lineRule="exact"/>
              <w:rPr>
                <w:sz w:val="20"/>
                <w:szCs w:val="20"/>
                <w:color w:val="auto"/>
              </w:rPr>
            </w:pPr>
            <w:r>
              <w:rPr>
                <w:rFonts w:ascii="Arial" w:cs="Arial" w:eastAsia="Arial" w:hAnsi="Arial"/>
                <w:sz w:val="13"/>
                <w:szCs w:val="13"/>
                <w:color w:val="auto"/>
              </w:rPr>
              <w:t>Debts to</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(CCS)</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rPr>
              <w:t>14(b)(i)</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5,242</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225,840</w:t>
            </w: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May 2025 / June 2025</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bank</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Cross currency swaps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5"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20"/>
                <w:szCs w:val="20"/>
                <w:color w:val="auto"/>
              </w:rPr>
            </w:pPr>
            <w:r>
              <w:rPr>
                <w:rFonts w:ascii="Arial" w:cs="Arial" w:eastAsia="Arial" w:hAnsi="Arial"/>
                <w:sz w:val="13"/>
                <w:szCs w:val="13"/>
                <w:color w:val="auto"/>
              </w:rPr>
              <w:t>(CCS)</w:t>
            </w:r>
          </w:p>
        </w:tc>
        <w:tc>
          <w:tcPr>
            <w:tcW w:w="540" w:type="dxa"/>
            <w:vAlign w:val="bottom"/>
          </w:tcPr>
          <w:p>
            <w:pPr>
              <w:jc w:val="center"/>
              <w:spacing w:after="0"/>
              <w:rPr>
                <w:sz w:val="20"/>
                <w:szCs w:val="20"/>
                <w:color w:val="auto"/>
              </w:rPr>
            </w:pPr>
            <w:r>
              <w:rPr>
                <w:rFonts w:ascii="Arial" w:cs="Arial" w:eastAsia="Arial" w:hAnsi="Arial"/>
                <w:sz w:val="13"/>
                <w:szCs w:val="13"/>
                <w:color w:val="auto"/>
                <w:w w:val="97"/>
              </w:rPr>
              <w:t>6(b)(i)</w:t>
            </w:r>
          </w:p>
        </w:tc>
        <w:tc>
          <w:tcPr>
            <w:tcW w:w="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8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1,802</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1,852</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46,970</w:t>
            </w:r>
          </w:p>
        </w:tc>
        <w:tc>
          <w:tcPr>
            <w:tcW w:w="6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3"/>
                <w:szCs w:val="13"/>
                <w:color w:val="auto"/>
                <w:w w:val="97"/>
              </w:rPr>
              <w:t>January 2025 / April 2025</w:t>
            </w:r>
          </w:p>
        </w:tc>
        <w:tc>
          <w:tcPr>
            <w:tcW w:w="7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8"/>
        </w:trPr>
        <w:tc>
          <w:tcPr>
            <w:tcW w:w="1660" w:type="dxa"/>
            <w:vAlign w:val="bottom"/>
          </w:tcPr>
          <w:p>
            <w:pPr>
              <w:spacing w:after="0"/>
              <w:rPr>
                <w:sz w:val="20"/>
                <w:szCs w:val="20"/>
                <w:color w:val="auto"/>
              </w:rPr>
            </w:pPr>
            <w:r>
              <w:rPr>
                <w:rFonts w:ascii="Arial" w:cs="Arial" w:eastAsia="Arial" w:hAnsi="Arial"/>
                <w:sz w:val="13"/>
                <w:szCs w:val="13"/>
                <w:b w:val="1"/>
                <w:bCs w:val="1"/>
                <w:color w:val="auto"/>
              </w:rPr>
              <w:t>Fair value hedges -</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March 2025 / February</w:t>
            </w:r>
          </w:p>
        </w:tc>
        <w:tc>
          <w:tcPr>
            <w:tcW w:w="740" w:type="dxa"/>
            <w:vAlign w:val="bottom"/>
            <w:vMerge w:val="restart"/>
          </w:tcPr>
          <w:p>
            <w:pPr>
              <w:spacing w:after="0"/>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3"/>
        </w:trPr>
        <w:tc>
          <w:tcPr>
            <w:tcW w:w="1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Interest rate swaps (IRS)</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w w:val="97"/>
              </w:rPr>
              <w:t>6(b)(i)</w:t>
            </w:r>
          </w:p>
        </w:tc>
        <w:tc>
          <w:tcPr>
            <w:tcW w:w="6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10,593</w:t>
            </w:r>
          </w:p>
        </w:tc>
        <w:tc>
          <w:tcPr>
            <w:tcW w:w="20" w:type="dxa"/>
            <w:vAlign w:val="bottom"/>
          </w:tcPr>
          <w:p>
            <w:pPr>
              <w:spacing w:after="0"/>
              <w:rPr>
                <w:sz w:val="12"/>
                <w:szCs w:val="12"/>
                <w:color w:val="auto"/>
              </w:rPr>
            </w:pP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504,450</w:t>
            </w:r>
          </w:p>
        </w:tc>
        <w:tc>
          <w:tcPr>
            <w:tcW w:w="40" w:type="dxa"/>
            <w:vAlign w:val="bottom"/>
          </w:tcPr>
          <w:p>
            <w:pPr>
              <w:spacing w:after="0"/>
              <w:rPr>
                <w:sz w:val="12"/>
                <w:szCs w:val="12"/>
                <w:color w:val="auto"/>
              </w:rPr>
            </w:pP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May 2026 / February 2028</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33,027</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790,440</w:t>
            </w:r>
          </w:p>
        </w:tc>
        <w:tc>
          <w:tcPr>
            <w:tcW w:w="16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2028</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January 2025 / February</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3"/>
                <w:szCs w:val="13"/>
                <w:color w:val="auto"/>
              </w:rPr>
              <w:t>Foreign currency forwards</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w w:val="97"/>
              </w:rPr>
              <w:t>6(b)(i)</w:t>
            </w:r>
          </w:p>
        </w:tc>
        <w:tc>
          <w:tcPr>
            <w:tcW w:w="6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193</w:t>
            </w:r>
          </w:p>
        </w:tc>
        <w:tc>
          <w:tcPr>
            <w:tcW w:w="66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14,839</w:t>
            </w:r>
          </w:p>
        </w:tc>
        <w:tc>
          <w:tcPr>
            <w:tcW w:w="7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167,286</w:t>
            </w:r>
          </w:p>
        </w:tc>
        <w:tc>
          <w:tcPr>
            <w:tcW w:w="40" w:type="dxa"/>
            <w:vAlign w:val="bottom"/>
          </w:tcPr>
          <w:p>
            <w:pPr>
              <w:spacing w:after="0"/>
              <w:rPr>
                <w:sz w:val="12"/>
                <w:szCs w:val="12"/>
                <w:color w:val="auto"/>
              </w:rPr>
            </w:pPr>
          </w:p>
        </w:tc>
        <w:tc>
          <w:tcPr>
            <w:tcW w:w="18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January 2026 / July 2026</w:t>
            </w:r>
          </w:p>
        </w:tc>
        <w:tc>
          <w:tcPr>
            <w:tcW w:w="6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5,597</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98</w:t>
            </w:r>
          </w:p>
        </w:tc>
        <w:tc>
          <w:tcPr>
            <w:tcW w:w="7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125,173</w:t>
            </w:r>
          </w:p>
        </w:tc>
        <w:tc>
          <w:tcPr>
            <w:tcW w:w="16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2026</w:t>
            </w:r>
          </w:p>
        </w:tc>
        <w:tc>
          <w:tcPr>
            <w:tcW w:w="7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660" w:type="dxa"/>
            <w:vAlign w:val="bottom"/>
            <w:vMerge w:val="restart"/>
          </w:tcPr>
          <w:p>
            <w:pPr>
              <w:spacing w:after="0"/>
              <w:rPr>
                <w:sz w:val="20"/>
                <w:szCs w:val="20"/>
                <w:color w:val="auto"/>
              </w:rPr>
            </w:pPr>
            <w:r>
              <w:rPr>
                <w:rFonts w:ascii="Arial" w:cs="Arial" w:eastAsia="Arial" w:hAnsi="Arial"/>
                <w:sz w:val="13"/>
                <w:szCs w:val="13"/>
                <w:color w:val="auto"/>
              </w:rPr>
              <w:t>Foreign currency forwards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March 2025 / December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60" w:type="dxa"/>
            <w:vAlign w:val="bottom"/>
            <w:vMerge w:val="continue"/>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rPr>
              <w:t>7(g)</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28</w:t>
            </w:r>
          </w:p>
        </w:tc>
        <w:tc>
          <w:tcPr>
            <w:tcW w:w="660" w:type="dxa"/>
            <w:vAlign w:val="bottom"/>
            <w:gridSpan w:val="3"/>
          </w:tcPr>
          <w:p>
            <w:pPr>
              <w:jc w:val="right"/>
              <w:ind w:right="20"/>
              <w:spacing w:after="0"/>
              <w:rPr>
                <w:sz w:val="20"/>
                <w:szCs w:val="20"/>
                <w:color w:val="auto"/>
              </w:rPr>
            </w:pPr>
            <w:r>
              <w:rPr>
                <w:rFonts w:ascii="Arial" w:cs="Arial" w:eastAsia="Arial" w:hAnsi="Arial"/>
                <w:sz w:val="13"/>
                <w:szCs w:val="13"/>
                <w:color w:val="auto"/>
              </w:rPr>
              <w:t>2,069</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44,858</w:t>
            </w:r>
          </w:p>
        </w:tc>
        <w:tc>
          <w:tcPr>
            <w:tcW w:w="1840" w:type="dxa"/>
            <w:vAlign w:val="bottom"/>
            <w:gridSpan w:val="2"/>
          </w:tcPr>
          <w:p>
            <w:pPr>
              <w:ind w:left="20"/>
              <w:spacing w:after="0"/>
              <w:rPr>
                <w:sz w:val="20"/>
                <w:szCs w:val="20"/>
                <w:color w:val="auto"/>
              </w:rPr>
            </w:pPr>
            <w:r>
              <w:rPr>
                <w:rFonts w:ascii="Arial" w:cs="Arial" w:eastAsia="Arial" w:hAnsi="Arial"/>
                <w:sz w:val="13"/>
                <w:szCs w:val="13"/>
                <w:color w:val="auto"/>
                <w:w w:val="98"/>
              </w:rPr>
              <w:t>January 2026 / December 2026</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3,159</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136,603</w:t>
            </w:r>
          </w:p>
        </w:tc>
        <w:tc>
          <w:tcPr>
            <w:tcW w:w="1600" w:type="dxa"/>
            <w:vAlign w:val="bottom"/>
            <w:gridSpan w:val="3"/>
          </w:tcPr>
          <w:p>
            <w:pPr>
              <w:jc w:val="right"/>
              <w:ind w:right="80"/>
              <w:spacing w:after="0"/>
              <w:rPr>
                <w:sz w:val="20"/>
                <w:szCs w:val="20"/>
                <w:color w:val="auto"/>
              </w:rPr>
            </w:pPr>
            <w:r>
              <w:rPr>
                <w:rFonts w:ascii="Arial" w:cs="Arial" w:eastAsia="Arial" w:hAnsi="Arial"/>
                <w:sz w:val="13"/>
                <w:szCs w:val="13"/>
                <w:color w:val="auto"/>
              </w:rPr>
              <w:t>2025</w:t>
            </w:r>
          </w:p>
        </w:tc>
        <w:tc>
          <w:tcPr>
            <w:tcW w:w="740" w:type="dxa"/>
            <w:vAlign w:val="bottom"/>
          </w:tcPr>
          <w:p>
            <w:pPr>
              <w:spacing w:after="0"/>
              <w:rPr>
                <w:sz w:val="20"/>
                <w:szCs w:val="20"/>
                <w:color w:val="auto"/>
              </w:rPr>
            </w:pPr>
            <w:r>
              <w:rPr>
                <w:rFonts w:ascii="Arial" w:cs="Arial" w:eastAsia="Arial" w:hAnsi="Arial"/>
                <w:sz w:val="13"/>
                <w:szCs w:val="13"/>
                <w:color w:val="auto"/>
              </w:rPr>
              <w:t>Loans</w:t>
            </w: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11,491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16,908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1,221,044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62,578</w:t>
            </w:r>
          </w:p>
        </w:tc>
        <w:tc>
          <w:tcPr>
            <w:tcW w:w="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16,461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2,789,646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1,231,865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1,047,907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8"/>
              </w:rPr>
              <w:t>98,561,203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7"/>
              </w:rPr>
              <w:t>904,791</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819,473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8"/>
              </w:rPr>
              <w:t>99,017,564</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584" w:right="80" w:hanging="295"/>
        <w:spacing w:after="0" w:line="274" w:lineRule="auto"/>
        <w:tabs>
          <w:tab w:leader="none" w:pos="58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Corresponds to investments classified at the fair value through other comprehensive income under IFRS 9 as of December 31, 2025 and 2024.</w:t>
      </w:r>
    </w:p>
    <w:p>
      <w:pPr>
        <w:spacing w:after="0" w:line="123" w:lineRule="exact"/>
        <w:rPr>
          <w:sz w:val="20"/>
          <w:szCs w:val="20"/>
          <w:color w:val="auto"/>
        </w:rPr>
      </w:pPr>
    </w:p>
    <w:p>
      <w:pPr>
        <w:jc w:val="both"/>
        <w:ind w:left="584" w:right="80" w:hanging="295"/>
        <w:spacing w:after="0" w:line="248" w:lineRule="auto"/>
        <w:tabs>
          <w:tab w:leader="none" w:pos="58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As of December 31, 2025, the cross-currency swap (CCS) contracts held by the Group expired. As of December 31, 2024, the Group held cross-currency swap contracts for a notional amount of ¥3,000.0 million, equivalent to $19.1 million), which were decomposed by risk variables into two cross-currency swaps (CCS) for the purpose of being designated as cash flow hedges and re-expressing the initial exposures in the functional currency, as follows:</w:t>
      </w:r>
    </w:p>
    <w:p>
      <w:pPr>
        <w:spacing w:after="0" w:line="144" w:lineRule="exact"/>
        <w:rPr>
          <w:rFonts w:ascii="Arial" w:cs="Arial" w:eastAsia="Arial" w:hAnsi="Arial"/>
          <w:sz w:val="16"/>
          <w:szCs w:val="16"/>
          <w:color w:val="auto"/>
        </w:rPr>
      </w:pPr>
    </w:p>
    <w:p>
      <w:pPr>
        <w:ind w:left="864" w:right="80" w:hanging="285"/>
        <w:spacing w:after="0" w:line="274" w:lineRule="auto"/>
        <w:tabs>
          <w:tab w:leader="none" w:pos="86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JPY-PEN for ¥3,000.0 million, equivalent to S/71.9 million as of December 31, 2024, designated for cash flow hedges of bonds issued in yen.</w:t>
      </w:r>
    </w:p>
    <w:p>
      <w:pPr>
        <w:spacing w:after="0" w:line="122" w:lineRule="exact"/>
        <w:rPr>
          <w:rFonts w:ascii="Arial" w:cs="Arial" w:eastAsia="Arial" w:hAnsi="Arial"/>
          <w:sz w:val="16"/>
          <w:szCs w:val="16"/>
          <w:color w:val="auto"/>
        </w:rPr>
      </w:pPr>
    </w:p>
    <w:p>
      <w:pPr>
        <w:ind w:left="864" w:right="80" w:hanging="285"/>
        <w:spacing w:after="0" w:line="274" w:lineRule="auto"/>
        <w:tabs>
          <w:tab w:leader="none" w:pos="86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PEN-USD for $20.3 million equivalent to S/76.4 million as of December 31, 2024, designated for cash flow hedging of U.S. Dollar placements up to that amount.</w:t>
      </w:r>
    </w:p>
    <w:p>
      <w:pPr>
        <w:spacing w:after="0" w:line="291" w:lineRule="exact"/>
        <w:rPr>
          <w:rFonts w:ascii="Arial" w:cs="Arial" w:eastAsia="Arial" w:hAnsi="Arial"/>
          <w:sz w:val="16"/>
          <w:szCs w:val="16"/>
          <w:color w:val="auto"/>
        </w:rPr>
      </w:pPr>
    </w:p>
    <w:p>
      <w:pPr>
        <w:ind w:left="4944" w:hanging="104"/>
        <w:spacing w:after="0"/>
        <w:tabs>
          <w:tab w:leader="none" w:pos="4944" w:val="left"/>
        </w:tabs>
        <w:numPr>
          <w:ilvl w:val="2"/>
          <w:numId w:val="105"/>
        </w:numPr>
        <w:rPr>
          <w:rFonts w:ascii="Arial" w:cs="Arial" w:eastAsia="Arial" w:hAnsi="Arial"/>
          <w:sz w:val="16"/>
          <w:szCs w:val="16"/>
          <w:color w:val="auto"/>
        </w:rPr>
      </w:pPr>
      <w:r>
        <w:rPr>
          <w:rFonts w:ascii="Arial" w:cs="Arial" w:eastAsia="Arial" w:hAnsi="Arial"/>
          <w:sz w:val="16"/>
          <w:szCs w:val="16"/>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744"/>
          </w:cols>
          <w:pgMar w:left="896" w:top="316" w:right="259" w:bottom="1440" w:gutter="0" w:footer="0" w:header="0"/>
        </w:sectPr>
      </w:pPr>
    </w:p>
    <w:bookmarkStart w:id="95" w:name="page96"/>
    <w:bookmarkEnd w:id="95"/>
    <w:p>
      <w:pPr>
        <w:jc w:val="both"/>
        <w:ind w:left="284" w:right="120" w:hanging="284"/>
        <w:spacing w:after="0" w:line="255" w:lineRule="auto"/>
        <w:tabs>
          <w:tab w:leader="none" w:pos="28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Held-for-trading derivatives are principally negotiated to satisfy customers’ needs. On the other hand, the Group may also take positions with the expectation of profiting from favorable movements in prices or rates. Also, this caption includes any derivatives which do not comply with IFRS 9 hedge accounting requirements. Fair value of derivatives held for trading classified by contractual maturity is as follows:</w:t>
      </w:r>
    </w:p>
    <w:p>
      <w:pPr>
        <w:spacing w:after="0" w:line="158" w:lineRule="exact"/>
        <w:rPr>
          <w:sz w:val="20"/>
          <w:szCs w:val="20"/>
          <w:color w:val="auto"/>
        </w:rPr>
      </w:pPr>
    </w:p>
    <w:tbl>
      <w:tblPr>
        <w:tblLayout w:type="fixed"/>
        <w:tblInd w:w="344" w:type="dxa"/>
        <w:tblCellMar>
          <w:top w:w="0" w:type="dxa"/>
          <w:left w:w="0" w:type="dxa"/>
          <w:bottom w:w="0" w:type="dxa"/>
          <w:right w:w="0" w:type="dxa"/>
        </w:tblCellMar>
      </w:tblPr>
      <w:tr>
        <w:trPr>
          <w:trHeight w:val="153"/>
        </w:trPr>
        <w:tc>
          <w:tcPr>
            <w:tcW w:w="172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17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rPr>
              <w:t>From 3</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From 1</w:t>
            </w:r>
          </w:p>
        </w:tc>
        <w:tc>
          <w:tcPr>
            <w:tcW w:w="84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rPr>
              <w:t>From 3</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From 3</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From 1</w:t>
            </w:r>
          </w:p>
        </w:tc>
        <w:tc>
          <w:tcPr>
            <w:tcW w:w="70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3"/>
                <w:szCs w:val="13"/>
                <w:b w:val="1"/>
                <w:bCs w:val="1"/>
                <w:color w:val="auto"/>
              </w:rPr>
              <w:t>From 3</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7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Up to 3</w:t>
            </w:r>
          </w:p>
        </w:tc>
        <w:tc>
          <w:tcPr>
            <w:tcW w:w="880" w:type="dxa"/>
            <w:vAlign w:val="bottom"/>
            <w:gridSpan w:val="3"/>
          </w:tcPr>
          <w:p>
            <w:pPr>
              <w:ind w:left="120"/>
              <w:spacing w:after="0"/>
              <w:rPr>
                <w:sz w:val="20"/>
                <w:szCs w:val="20"/>
                <w:color w:val="auto"/>
              </w:rPr>
            </w:pPr>
            <w:r>
              <w:rPr>
                <w:rFonts w:ascii="Arial" w:cs="Arial" w:eastAsia="Arial" w:hAnsi="Arial"/>
                <w:sz w:val="13"/>
                <w:szCs w:val="13"/>
                <w:b w:val="1"/>
                <w:bCs w:val="1"/>
                <w:color w:val="auto"/>
              </w:rPr>
              <w:t>months</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to 3</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to 5</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Over 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Up to 3</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months</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to 3</w:t>
            </w:r>
          </w:p>
        </w:tc>
        <w:tc>
          <w:tcPr>
            <w:tcW w:w="700" w:type="dxa"/>
            <w:vAlign w:val="bottom"/>
            <w:gridSpan w:val="3"/>
          </w:tcPr>
          <w:p>
            <w:pPr>
              <w:ind w:left="100"/>
              <w:spacing w:after="0"/>
              <w:rPr>
                <w:sz w:val="20"/>
                <w:szCs w:val="20"/>
                <w:color w:val="auto"/>
              </w:rPr>
            </w:pPr>
            <w:r>
              <w:rPr>
                <w:rFonts w:ascii="Arial" w:cs="Arial" w:eastAsia="Arial" w:hAnsi="Arial"/>
                <w:sz w:val="13"/>
                <w:szCs w:val="13"/>
                <w:b w:val="1"/>
                <w:bCs w:val="1"/>
                <w:color w:val="auto"/>
              </w:rPr>
              <w:t>to 5</w:t>
            </w:r>
          </w:p>
        </w:tc>
        <w:tc>
          <w:tcPr>
            <w:tcW w:w="800" w:type="dxa"/>
            <w:vAlign w:val="bottom"/>
            <w:gridSpan w:val="3"/>
          </w:tcPr>
          <w:p>
            <w:pPr>
              <w:ind w:left="100"/>
              <w:spacing w:after="0"/>
              <w:rPr>
                <w:sz w:val="20"/>
                <w:szCs w:val="20"/>
                <w:color w:val="auto"/>
              </w:rPr>
            </w:pPr>
            <w:r>
              <w:rPr>
                <w:rFonts w:ascii="Arial" w:cs="Arial" w:eastAsia="Arial" w:hAnsi="Arial"/>
                <w:sz w:val="13"/>
                <w:szCs w:val="13"/>
                <w:b w:val="1"/>
                <w:bCs w:val="1"/>
                <w:color w:val="auto"/>
              </w:rPr>
              <w:t>Over 5</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7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months</w:t>
            </w:r>
          </w:p>
        </w:tc>
        <w:tc>
          <w:tcPr>
            <w:tcW w:w="880" w:type="dxa"/>
            <w:vAlign w:val="bottom"/>
            <w:gridSpan w:val="3"/>
          </w:tcPr>
          <w:p>
            <w:pPr>
              <w:ind w:left="120"/>
              <w:spacing w:after="0"/>
              <w:rPr>
                <w:sz w:val="20"/>
                <w:szCs w:val="20"/>
                <w:color w:val="auto"/>
              </w:rPr>
            </w:pPr>
            <w:r>
              <w:rPr>
                <w:rFonts w:ascii="Arial" w:cs="Arial" w:eastAsia="Arial" w:hAnsi="Arial"/>
                <w:sz w:val="13"/>
                <w:szCs w:val="13"/>
                <w:b w:val="1"/>
                <w:bCs w:val="1"/>
                <w:color w:val="auto"/>
              </w:rPr>
              <w:t>to 1 year</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years</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78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months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to 1 year</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70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80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r>
      <w:tr>
        <w:trPr>
          <w:trHeight w:val="129"/>
        </w:trPr>
        <w:tc>
          <w:tcPr>
            <w:tcW w:w="172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r>
      <w:tr>
        <w:trPr>
          <w:trHeight w:val="145"/>
        </w:trPr>
        <w:tc>
          <w:tcPr>
            <w:tcW w:w="1720" w:type="dxa"/>
            <w:vAlign w:val="bottom"/>
          </w:tcPr>
          <w:p>
            <w:pPr>
              <w:spacing w:after="0" w:line="145" w:lineRule="exact"/>
              <w:rPr>
                <w:sz w:val="20"/>
                <w:szCs w:val="20"/>
                <w:color w:val="auto"/>
              </w:rPr>
            </w:pPr>
            <w:r>
              <w:rPr>
                <w:rFonts w:ascii="Arial" w:cs="Arial" w:eastAsia="Arial" w:hAnsi="Arial"/>
                <w:sz w:val="13"/>
                <w:szCs w:val="13"/>
                <w:color w:val="auto"/>
              </w:rPr>
              <w:t>Foreign currency forwards</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349,599</w:t>
            </w:r>
          </w:p>
        </w:tc>
        <w:tc>
          <w:tcPr>
            <w:tcW w:w="88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196,334</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1,021</w:t>
            </w: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546,954</w:t>
            </w:r>
          </w:p>
        </w:tc>
        <w:tc>
          <w:tcPr>
            <w:tcW w:w="7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106,414</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53,498</w:t>
            </w: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1,583</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161,495</w:t>
            </w:r>
          </w:p>
        </w:tc>
        <w:tc>
          <w:tcPr>
            <w:tcW w:w="20" w:type="dxa"/>
            <w:vAlign w:val="bottom"/>
          </w:tcPr>
          <w:p>
            <w:pPr>
              <w:spacing w:after="0"/>
              <w:rPr>
                <w:sz w:val="12"/>
                <w:szCs w:val="12"/>
                <w:color w:val="auto"/>
              </w:rPr>
            </w:pPr>
          </w:p>
        </w:tc>
      </w:tr>
      <w:tr>
        <w:trPr>
          <w:trHeight w:val="145"/>
        </w:trPr>
        <w:tc>
          <w:tcPr>
            <w:tcW w:w="1720" w:type="dxa"/>
            <w:vAlign w:val="bottom"/>
          </w:tcPr>
          <w:p>
            <w:pPr>
              <w:spacing w:after="0" w:line="145" w:lineRule="exact"/>
              <w:rPr>
                <w:sz w:val="20"/>
                <w:szCs w:val="20"/>
                <w:color w:val="auto"/>
              </w:rPr>
            </w:pPr>
            <w:r>
              <w:rPr>
                <w:rFonts w:ascii="Arial" w:cs="Arial" w:eastAsia="Arial" w:hAnsi="Arial"/>
                <w:sz w:val="13"/>
                <w:szCs w:val="13"/>
                <w:color w:val="auto"/>
              </w:rPr>
              <w:t>Interest rate swaps</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32,636</w:t>
            </w:r>
          </w:p>
        </w:tc>
        <w:tc>
          <w:tcPr>
            <w:tcW w:w="88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30,009</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99,905</w:t>
            </w:r>
          </w:p>
        </w:tc>
        <w:tc>
          <w:tcPr>
            <w:tcW w:w="84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78,043</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203,750</w:t>
            </w:r>
          </w:p>
        </w:tc>
        <w:tc>
          <w:tcPr>
            <w:tcW w:w="100" w:type="dxa"/>
            <w:vAlign w:val="bottom"/>
          </w:tcPr>
          <w:p>
            <w:pPr>
              <w:spacing w:after="0"/>
              <w:rPr>
                <w:sz w:val="12"/>
                <w:szCs w:val="12"/>
                <w:color w:val="auto"/>
              </w:rPr>
            </w:pP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444,343</w:t>
            </w:r>
          </w:p>
        </w:tc>
        <w:tc>
          <w:tcPr>
            <w:tcW w:w="7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22,151</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33,774</w:t>
            </w: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141,134</w:t>
            </w:r>
          </w:p>
        </w:tc>
        <w:tc>
          <w:tcPr>
            <w:tcW w:w="7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82,228</w:t>
            </w:r>
          </w:p>
        </w:tc>
        <w:tc>
          <w:tcPr>
            <w:tcW w:w="8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177,288</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456,575</w:t>
            </w:r>
          </w:p>
        </w:tc>
        <w:tc>
          <w:tcPr>
            <w:tcW w:w="20" w:type="dxa"/>
            <w:vAlign w:val="bottom"/>
          </w:tcPr>
          <w:p>
            <w:pPr>
              <w:spacing w:after="0"/>
              <w:rPr>
                <w:sz w:val="12"/>
                <w:szCs w:val="12"/>
                <w:color w:val="auto"/>
              </w:rPr>
            </w:pPr>
          </w:p>
        </w:tc>
      </w:tr>
      <w:tr>
        <w:trPr>
          <w:trHeight w:val="145"/>
        </w:trPr>
        <w:tc>
          <w:tcPr>
            <w:tcW w:w="1720" w:type="dxa"/>
            <w:vAlign w:val="bottom"/>
          </w:tcPr>
          <w:p>
            <w:pPr>
              <w:spacing w:after="0" w:line="145" w:lineRule="exact"/>
              <w:rPr>
                <w:sz w:val="20"/>
                <w:szCs w:val="20"/>
                <w:color w:val="auto"/>
              </w:rPr>
            </w:pPr>
            <w:r>
              <w:rPr>
                <w:rFonts w:ascii="Arial" w:cs="Arial" w:eastAsia="Arial" w:hAnsi="Arial"/>
                <w:sz w:val="13"/>
                <w:szCs w:val="13"/>
                <w:color w:val="auto"/>
              </w:rPr>
              <w:t>Currency swaps</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5,077</w:t>
            </w:r>
          </w:p>
        </w:tc>
        <w:tc>
          <w:tcPr>
            <w:tcW w:w="88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46,348</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98,221</w:t>
            </w:r>
          </w:p>
        </w:tc>
        <w:tc>
          <w:tcPr>
            <w:tcW w:w="84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44,115</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29,687</w:t>
            </w: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223,448</w:t>
            </w:r>
          </w:p>
        </w:tc>
        <w:tc>
          <w:tcPr>
            <w:tcW w:w="7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43,713</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31,998</w:t>
            </w: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72,826</w:t>
            </w:r>
          </w:p>
        </w:tc>
        <w:tc>
          <w:tcPr>
            <w:tcW w:w="7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56,141</w:t>
            </w:r>
          </w:p>
        </w:tc>
        <w:tc>
          <w:tcPr>
            <w:tcW w:w="8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14,970</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219,648</w:t>
            </w:r>
          </w:p>
        </w:tc>
        <w:tc>
          <w:tcPr>
            <w:tcW w:w="20" w:type="dxa"/>
            <w:vAlign w:val="bottom"/>
          </w:tcPr>
          <w:p>
            <w:pPr>
              <w:spacing w:after="0"/>
              <w:rPr>
                <w:sz w:val="12"/>
                <w:szCs w:val="12"/>
                <w:color w:val="auto"/>
              </w:rPr>
            </w:pPr>
          </w:p>
        </w:tc>
      </w:tr>
      <w:tr>
        <w:trPr>
          <w:trHeight w:val="145"/>
        </w:trPr>
        <w:tc>
          <w:tcPr>
            <w:tcW w:w="1720" w:type="dxa"/>
            <w:vAlign w:val="bottom"/>
          </w:tcPr>
          <w:p>
            <w:pPr>
              <w:spacing w:after="0" w:line="145" w:lineRule="exact"/>
              <w:rPr>
                <w:sz w:val="20"/>
                <w:szCs w:val="20"/>
                <w:color w:val="auto"/>
              </w:rPr>
            </w:pPr>
            <w:r>
              <w:rPr>
                <w:rFonts w:ascii="Arial" w:cs="Arial" w:eastAsia="Arial" w:hAnsi="Arial"/>
                <w:sz w:val="13"/>
                <w:szCs w:val="13"/>
                <w:color w:val="auto"/>
              </w:rPr>
              <w:t>Foreign exchange options</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2,948</w:t>
            </w:r>
          </w:p>
        </w:tc>
        <w:tc>
          <w:tcPr>
            <w:tcW w:w="88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2,584</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5,532</w:t>
            </w:r>
          </w:p>
        </w:tc>
        <w:tc>
          <w:tcPr>
            <w:tcW w:w="7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1,175</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1,369</w:t>
            </w: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474</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3,018</w:t>
            </w:r>
          </w:p>
        </w:tc>
      </w:tr>
      <w:tr>
        <w:trPr>
          <w:trHeight w:val="165"/>
        </w:trPr>
        <w:tc>
          <w:tcPr>
            <w:tcW w:w="1720" w:type="dxa"/>
            <w:vAlign w:val="bottom"/>
          </w:tcPr>
          <w:p>
            <w:pPr>
              <w:spacing w:after="0"/>
              <w:rPr>
                <w:sz w:val="20"/>
                <w:szCs w:val="20"/>
                <w:color w:val="auto"/>
              </w:rPr>
            </w:pPr>
            <w:r>
              <w:rPr>
                <w:rFonts w:ascii="Arial" w:cs="Arial" w:eastAsia="Arial" w:hAnsi="Arial"/>
                <w:sz w:val="13"/>
                <w:szCs w:val="13"/>
                <w:color w:val="auto"/>
              </w:rPr>
              <w:t>Futures</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97</w:t>
            </w: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1,477</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1,477</w:t>
            </w:r>
          </w:p>
        </w:tc>
      </w:tr>
      <w:tr>
        <w:trPr>
          <w:trHeight w:val="141"/>
        </w:trPr>
        <w:tc>
          <w:tcPr>
            <w:tcW w:w="1720" w:type="dxa"/>
            <w:vAlign w:val="bottom"/>
          </w:tcPr>
          <w:p>
            <w:pPr>
              <w:spacing w:after="0" w:line="137" w:lineRule="exact"/>
              <w:rPr>
                <w:sz w:val="20"/>
                <w:szCs w:val="20"/>
                <w:color w:val="auto"/>
              </w:rPr>
            </w:pPr>
            <w:r>
              <w:rPr>
                <w:rFonts w:ascii="Arial" w:cs="Arial" w:eastAsia="Arial" w:hAnsi="Arial"/>
                <w:sz w:val="13"/>
                <w:szCs w:val="13"/>
                <w:b w:val="1"/>
                <w:bCs w:val="1"/>
                <w:color w:val="auto"/>
              </w:rPr>
              <w:t>Total assets</w:t>
            </w: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390,357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275,275</w:t>
            </w:r>
          </w:p>
        </w:tc>
        <w:tc>
          <w:tcPr>
            <w:tcW w:w="2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199,147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122,158</w:t>
            </w:r>
          </w:p>
        </w:tc>
        <w:tc>
          <w:tcPr>
            <w:tcW w:w="2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233,437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1,220,374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174,930</w:t>
            </w: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120,639</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216,017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138,369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192,258</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842,213</w:t>
            </w:r>
          </w:p>
        </w:tc>
        <w:tc>
          <w:tcPr>
            <w:tcW w:w="20" w:type="dxa"/>
            <w:vAlign w:val="bottom"/>
            <w:tcBorders>
              <w:top w:val="single" w:sz="8" w:color="auto"/>
            </w:tcBorders>
          </w:tcPr>
          <w:p>
            <w:pPr>
              <w:spacing w:after="0"/>
              <w:rPr>
                <w:sz w:val="12"/>
                <w:szCs w:val="12"/>
                <w:color w:val="auto"/>
              </w:rPr>
            </w:pPr>
          </w:p>
        </w:tc>
      </w:tr>
      <w:tr>
        <w:trPr>
          <w:trHeight w:val="302"/>
        </w:trPr>
        <w:tc>
          <w:tcPr>
            <w:tcW w:w="172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2024</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7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From 3</w:t>
            </w: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From 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From 3</w:t>
            </w: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From 3</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From 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From 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7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Up to 3</w:t>
            </w:r>
          </w:p>
        </w:tc>
        <w:tc>
          <w:tcPr>
            <w:tcW w:w="880" w:type="dxa"/>
            <w:vAlign w:val="bottom"/>
            <w:gridSpan w:val="3"/>
          </w:tcPr>
          <w:p>
            <w:pPr>
              <w:ind w:left="120"/>
              <w:spacing w:after="0"/>
              <w:rPr>
                <w:sz w:val="20"/>
                <w:szCs w:val="20"/>
                <w:color w:val="auto"/>
              </w:rPr>
            </w:pPr>
            <w:r>
              <w:rPr>
                <w:rFonts w:ascii="Arial" w:cs="Arial" w:eastAsia="Arial" w:hAnsi="Arial"/>
                <w:sz w:val="13"/>
                <w:szCs w:val="13"/>
                <w:b w:val="1"/>
                <w:bCs w:val="1"/>
                <w:color w:val="auto"/>
              </w:rPr>
              <w:t>months</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to 3</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to 5</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Over 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Up to 3</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months</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to 3</w:t>
            </w:r>
          </w:p>
        </w:tc>
        <w:tc>
          <w:tcPr>
            <w:tcW w:w="700" w:type="dxa"/>
            <w:vAlign w:val="bottom"/>
            <w:gridSpan w:val="3"/>
          </w:tcPr>
          <w:p>
            <w:pPr>
              <w:ind w:left="100"/>
              <w:spacing w:after="0"/>
              <w:rPr>
                <w:sz w:val="20"/>
                <w:szCs w:val="20"/>
                <w:color w:val="auto"/>
              </w:rPr>
            </w:pPr>
            <w:r>
              <w:rPr>
                <w:rFonts w:ascii="Arial" w:cs="Arial" w:eastAsia="Arial" w:hAnsi="Arial"/>
                <w:sz w:val="13"/>
                <w:szCs w:val="13"/>
                <w:b w:val="1"/>
                <w:bCs w:val="1"/>
                <w:color w:val="auto"/>
              </w:rPr>
              <w:t>to 5</w:t>
            </w:r>
          </w:p>
        </w:tc>
        <w:tc>
          <w:tcPr>
            <w:tcW w:w="800" w:type="dxa"/>
            <w:vAlign w:val="bottom"/>
            <w:gridSpan w:val="3"/>
          </w:tcPr>
          <w:p>
            <w:pPr>
              <w:ind w:left="100"/>
              <w:spacing w:after="0"/>
              <w:rPr>
                <w:sz w:val="20"/>
                <w:szCs w:val="20"/>
                <w:color w:val="auto"/>
              </w:rPr>
            </w:pPr>
            <w:r>
              <w:rPr>
                <w:rFonts w:ascii="Arial" w:cs="Arial" w:eastAsia="Arial" w:hAnsi="Arial"/>
                <w:sz w:val="13"/>
                <w:szCs w:val="13"/>
                <w:b w:val="1"/>
                <w:bCs w:val="1"/>
                <w:color w:val="auto"/>
              </w:rPr>
              <w:t>Over 5</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7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months</w:t>
            </w:r>
          </w:p>
        </w:tc>
        <w:tc>
          <w:tcPr>
            <w:tcW w:w="880" w:type="dxa"/>
            <w:vAlign w:val="bottom"/>
            <w:gridSpan w:val="3"/>
          </w:tcPr>
          <w:p>
            <w:pPr>
              <w:ind w:left="120"/>
              <w:spacing w:after="0"/>
              <w:rPr>
                <w:sz w:val="20"/>
                <w:szCs w:val="20"/>
                <w:color w:val="auto"/>
              </w:rPr>
            </w:pPr>
            <w:r>
              <w:rPr>
                <w:rFonts w:ascii="Arial" w:cs="Arial" w:eastAsia="Arial" w:hAnsi="Arial"/>
                <w:sz w:val="13"/>
                <w:szCs w:val="13"/>
                <w:b w:val="1"/>
                <w:bCs w:val="1"/>
                <w:color w:val="auto"/>
              </w:rPr>
              <w:t>to 1 year</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years</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78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months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to 1 year</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70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80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r>
      <w:tr>
        <w:trPr>
          <w:trHeight w:val="129"/>
        </w:trPr>
        <w:tc>
          <w:tcPr>
            <w:tcW w:w="172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r>
      <w:tr>
        <w:trPr>
          <w:trHeight w:val="145"/>
        </w:trPr>
        <w:tc>
          <w:tcPr>
            <w:tcW w:w="1720" w:type="dxa"/>
            <w:vAlign w:val="bottom"/>
          </w:tcPr>
          <w:p>
            <w:pPr>
              <w:spacing w:after="0" w:line="145" w:lineRule="exact"/>
              <w:rPr>
                <w:sz w:val="20"/>
                <w:szCs w:val="20"/>
                <w:color w:val="auto"/>
              </w:rPr>
            </w:pPr>
            <w:r>
              <w:rPr>
                <w:rFonts w:ascii="Arial" w:cs="Arial" w:eastAsia="Arial" w:hAnsi="Arial"/>
                <w:sz w:val="13"/>
                <w:szCs w:val="13"/>
                <w:color w:val="auto"/>
              </w:rPr>
              <w:t>Foreign currency forwards</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167,894</w:t>
            </w:r>
          </w:p>
        </w:tc>
        <w:tc>
          <w:tcPr>
            <w:tcW w:w="88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111,108</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4,785</w:t>
            </w: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283,787</w:t>
            </w:r>
          </w:p>
        </w:tc>
        <w:tc>
          <w:tcPr>
            <w:tcW w:w="7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141,078</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67,531</w:t>
            </w: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2,338</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210,947</w:t>
            </w:r>
          </w:p>
        </w:tc>
        <w:tc>
          <w:tcPr>
            <w:tcW w:w="20" w:type="dxa"/>
            <w:vAlign w:val="bottom"/>
          </w:tcPr>
          <w:p>
            <w:pPr>
              <w:spacing w:after="0"/>
              <w:rPr>
                <w:sz w:val="12"/>
                <w:szCs w:val="12"/>
                <w:color w:val="auto"/>
              </w:rPr>
            </w:pPr>
          </w:p>
        </w:tc>
      </w:tr>
      <w:tr>
        <w:trPr>
          <w:trHeight w:val="145"/>
        </w:trPr>
        <w:tc>
          <w:tcPr>
            <w:tcW w:w="1720" w:type="dxa"/>
            <w:vAlign w:val="bottom"/>
          </w:tcPr>
          <w:p>
            <w:pPr>
              <w:spacing w:after="0" w:line="145" w:lineRule="exact"/>
              <w:rPr>
                <w:sz w:val="20"/>
                <w:szCs w:val="20"/>
                <w:color w:val="auto"/>
              </w:rPr>
            </w:pPr>
            <w:r>
              <w:rPr>
                <w:rFonts w:ascii="Arial" w:cs="Arial" w:eastAsia="Arial" w:hAnsi="Arial"/>
                <w:sz w:val="13"/>
                <w:szCs w:val="13"/>
                <w:color w:val="auto"/>
              </w:rPr>
              <w:t>Interest rate swaps</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25,645</w:t>
            </w:r>
          </w:p>
        </w:tc>
        <w:tc>
          <w:tcPr>
            <w:tcW w:w="88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23,324</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60,152</w:t>
            </w:r>
          </w:p>
        </w:tc>
        <w:tc>
          <w:tcPr>
            <w:tcW w:w="84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87,809</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199,425</w:t>
            </w:r>
          </w:p>
        </w:tc>
        <w:tc>
          <w:tcPr>
            <w:tcW w:w="100" w:type="dxa"/>
            <w:vAlign w:val="bottom"/>
          </w:tcPr>
          <w:p>
            <w:pPr>
              <w:spacing w:after="0"/>
              <w:rPr>
                <w:sz w:val="12"/>
                <w:szCs w:val="12"/>
                <w:color w:val="auto"/>
              </w:rPr>
            </w:pP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396,355</w:t>
            </w:r>
          </w:p>
        </w:tc>
        <w:tc>
          <w:tcPr>
            <w:tcW w:w="7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21,591</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50,376</w:t>
            </w: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88,792</w:t>
            </w:r>
          </w:p>
        </w:tc>
        <w:tc>
          <w:tcPr>
            <w:tcW w:w="7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29,965</w:t>
            </w:r>
          </w:p>
        </w:tc>
        <w:tc>
          <w:tcPr>
            <w:tcW w:w="8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161,953</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352,677</w:t>
            </w:r>
          </w:p>
        </w:tc>
        <w:tc>
          <w:tcPr>
            <w:tcW w:w="20" w:type="dxa"/>
            <w:vAlign w:val="bottom"/>
          </w:tcPr>
          <w:p>
            <w:pPr>
              <w:spacing w:after="0"/>
              <w:rPr>
                <w:sz w:val="12"/>
                <w:szCs w:val="12"/>
                <w:color w:val="auto"/>
              </w:rPr>
            </w:pPr>
          </w:p>
        </w:tc>
      </w:tr>
      <w:tr>
        <w:trPr>
          <w:trHeight w:val="145"/>
        </w:trPr>
        <w:tc>
          <w:tcPr>
            <w:tcW w:w="1720" w:type="dxa"/>
            <w:vAlign w:val="bottom"/>
          </w:tcPr>
          <w:p>
            <w:pPr>
              <w:spacing w:after="0" w:line="145" w:lineRule="exact"/>
              <w:rPr>
                <w:sz w:val="20"/>
                <w:szCs w:val="20"/>
                <w:color w:val="auto"/>
              </w:rPr>
            </w:pPr>
            <w:r>
              <w:rPr>
                <w:rFonts w:ascii="Arial" w:cs="Arial" w:eastAsia="Arial" w:hAnsi="Arial"/>
                <w:sz w:val="13"/>
                <w:szCs w:val="13"/>
                <w:color w:val="auto"/>
              </w:rPr>
              <w:t>Currency swaps</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101,725</w:t>
            </w:r>
          </w:p>
        </w:tc>
        <w:tc>
          <w:tcPr>
            <w:tcW w:w="88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64,491</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88,744</w:t>
            </w:r>
          </w:p>
        </w:tc>
        <w:tc>
          <w:tcPr>
            <w:tcW w:w="84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50,879</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40,752</w:t>
            </w: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346,591</w:t>
            </w:r>
          </w:p>
        </w:tc>
        <w:tc>
          <w:tcPr>
            <w:tcW w:w="7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26,293</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25,499</w:t>
            </w: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79,045</w:t>
            </w:r>
          </w:p>
        </w:tc>
        <w:tc>
          <w:tcPr>
            <w:tcW w:w="7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71,857</w:t>
            </w:r>
          </w:p>
        </w:tc>
        <w:tc>
          <w:tcPr>
            <w:tcW w:w="8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28,154</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230,848</w:t>
            </w:r>
          </w:p>
        </w:tc>
        <w:tc>
          <w:tcPr>
            <w:tcW w:w="20" w:type="dxa"/>
            <w:vAlign w:val="bottom"/>
          </w:tcPr>
          <w:p>
            <w:pPr>
              <w:spacing w:after="0"/>
              <w:rPr>
                <w:sz w:val="12"/>
                <w:szCs w:val="12"/>
                <w:color w:val="auto"/>
              </w:rPr>
            </w:pPr>
          </w:p>
        </w:tc>
      </w:tr>
      <w:tr>
        <w:trPr>
          <w:trHeight w:val="145"/>
        </w:trPr>
        <w:tc>
          <w:tcPr>
            <w:tcW w:w="1720" w:type="dxa"/>
            <w:vAlign w:val="bottom"/>
          </w:tcPr>
          <w:p>
            <w:pPr>
              <w:spacing w:after="0" w:line="145" w:lineRule="exact"/>
              <w:rPr>
                <w:sz w:val="20"/>
                <w:szCs w:val="20"/>
                <w:color w:val="auto"/>
              </w:rPr>
            </w:pPr>
            <w:r>
              <w:rPr>
                <w:rFonts w:ascii="Arial" w:cs="Arial" w:eastAsia="Arial" w:hAnsi="Arial"/>
                <w:sz w:val="13"/>
                <w:szCs w:val="13"/>
                <w:color w:val="auto"/>
              </w:rPr>
              <w:t>Foreign exchange options</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1,706</w:t>
            </w:r>
          </w:p>
        </w:tc>
        <w:tc>
          <w:tcPr>
            <w:tcW w:w="88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2,557</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4,263</w:t>
            </w:r>
          </w:p>
        </w:tc>
        <w:tc>
          <w:tcPr>
            <w:tcW w:w="7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3,175</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4,075</w:t>
            </w: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1,170</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8,420</w:t>
            </w:r>
          </w:p>
        </w:tc>
      </w:tr>
      <w:tr>
        <w:trPr>
          <w:trHeight w:val="165"/>
        </w:trPr>
        <w:tc>
          <w:tcPr>
            <w:tcW w:w="1720" w:type="dxa"/>
            <w:vAlign w:val="bottom"/>
          </w:tcPr>
          <w:p>
            <w:pPr>
              <w:spacing w:after="0"/>
              <w:rPr>
                <w:sz w:val="20"/>
                <w:szCs w:val="20"/>
                <w:color w:val="auto"/>
              </w:rPr>
            </w:pPr>
            <w:r>
              <w:rPr>
                <w:rFonts w:ascii="Arial" w:cs="Arial" w:eastAsia="Arial" w:hAnsi="Arial"/>
                <w:sz w:val="13"/>
                <w:szCs w:val="13"/>
                <w:color w:val="auto"/>
              </w:rPr>
              <w:t>Futures</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3</w:t>
            </w: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120</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120</w:t>
            </w:r>
          </w:p>
        </w:tc>
      </w:tr>
      <w:tr>
        <w:trPr>
          <w:trHeight w:val="141"/>
        </w:trPr>
        <w:tc>
          <w:tcPr>
            <w:tcW w:w="1720" w:type="dxa"/>
            <w:vAlign w:val="bottom"/>
          </w:tcPr>
          <w:p>
            <w:pPr>
              <w:spacing w:after="0" w:line="137" w:lineRule="exact"/>
              <w:rPr>
                <w:sz w:val="20"/>
                <w:szCs w:val="20"/>
                <w:color w:val="auto"/>
              </w:rPr>
            </w:pPr>
            <w:r>
              <w:rPr>
                <w:rFonts w:ascii="Arial" w:cs="Arial" w:eastAsia="Arial" w:hAnsi="Arial"/>
                <w:sz w:val="13"/>
                <w:szCs w:val="13"/>
                <w:b w:val="1"/>
                <w:bCs w:val="1"/>
                <w:color w:val="auto"/>
              </w:rPr>
              <w:t>Total liabilities</w:t>
            </w: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296,973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201,480</w:t>
            </w:r>
          </w:p>
        </w:tc>
        <w:tc>
          <w:tcPr>
            <w:tcW w:w="2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153,681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138,688</w:t>
            </w:r>
          </w:p>
        </w:tc>
        <w:tc>
          <w:tcPr>
            <w:tcW w:w="2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240,177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1,030,999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192,257</w:t>
            </w: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147,481</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171,345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101,822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190,107</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803,012</w:t>
            </w:r>
          </w:p>
        </w:tc>
        <w:tc>
          <w:tcPr>
            <w:tcW w:w="20" w:type="dxa"/>
            <w:vAlign w:val="bottom"/>
            <w:tcBorders>
              <w:top w:val="single" w:sz="8" w:color="auto"/>
              <w:bottom w:val="single" w:sz="8" w:color="auto"/>
            </w:tcBorders>
          </w:tcPr>
          <w:p>
            <w:pPr>
              <w:spacing w:after="0"/>
              <w:rPr>
                <w:sz w:val="12"/>
                <w:szCs w:val="12"/>
                <w:color w:val="auto"/>
              </w:rPr>
            </w:pPr>
          </w:p>
        </w:tc>
      </w:tr>
    </w:tbl>
    <w:p>
      <w:pPr>
        <w:spacing w:after="0" w:line="152" w:lineRule="exact"/>
        <w:rPr>
          <w:sz w:val="20"/>
          <w:szCs w:val="20"/>
          <w:color w:val="auto"/>
        </w:rPr>
      </w:pPr>
    </w:p>
    <w:p>
      <w:pPr>
        <w:ind w:left="284" w:hanging="284"/>
        <w:spacing w:after="0" w:line="255" w:lineRule="auto"/>
        <w:tabs>
          <w:tab w:leader="none" w:pos="28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Group is exposed to variability in future cash flows on assets and liabilities in foreign currency and/or those that bear interest at variable rates. The Group uses derivative financial instruments as cash flow hedges to cover these risks. A schedule indicating the periods when the current cash flow hedges are expected to occur and affect the consolidated statement of income, net of deferred income tax is presented below:</w:t>
      </w:r>
    </w:p>
    <w:p>
      <w:pPr>
        <w:spacing w:after="0" w:line="158" w:lineRule="exact"/>
        <w:rPr>
          <w:sz w:val="20"/>
          <w:szCs w:val="20"/>
          <w:color w:val="auto"/>
        </w:rPr>
      </w:pPr>
    </w:p>
    <w:tbl>
      <w:tblPr>
        <w:tblLayout w:type="fixed"/>
        <w:tblInd w:w="344" w:type="dxa"/>
        <w:tblCellMar>
          <w:top w:w="0" w:type="dxa"/>
          <w:left w:w="0" w:type="dxa"/>
          <w:bottom w:w="0" w:type="dxa"/>
          <w:right w:w="0" w:type="dxa"/>
        </w:tblCellMar>
      </w:tblPr>
      <w:tr>
        <w:trPr>
          <w:trHeight w:val="153"/>
        </w:trPr>
        <w:tc>
          <w:tcPr>
            <w:tcW w:w="21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9"/>
        </w:trPr>
        <w:tc>
          <w:tcPr>
            <w:tcW w:w="2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From 1 to</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From 3 to</w:t>
            </w: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From 1 to</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From 3 to</w:t>
            </w: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5"/>
        </w:trPr>
        <w:tc>
          <w:tcPr>
            <w:tcW w:w="2120" w:type="dxa"/>
            <w:vAlign w:val="bottom"/>
          </w:tcPr>
          <w:p>
            <w:pPr>
              <w:spacing w:after="0"/>
              <w:rPr>
                <w:sz w:val="12"/>
                <w:szCs w:val="12"/>
                <w:color w:val="auto"/>
              </w:rPr>
            </w:pPr>
          </w:p>
        </w:tc>
        <w:tc>
          <w:tcPr>
            <w:tcW w:w="8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Up to 1</w:t>
            </w:r>
          </w:p>
        </w:tc>
        <w:tc>
          <w:tcPr>
            <w:tcW w:w="620" w:type="dxa"/>
            <w:vAlign w:val="bottom"/>
          </w:tcPr>
          <w:p>
            <w:pPr>
              <w:spacing w:after="0" w:line="145" w:lineRule="exact"/>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2"/>
                <w:szCs w:val="12"/>
                <w:color w:val="auto"/>
              </w:rPr>
            </w:pPr>
          </w:p>
        </w:tc>
        <w:tc>
          <w:tcPr>
            <w:tcW w:w="620" w:type="dxa"/>
            <w:vAlign w:val="bottom"/>
          </w:tcPr>
          <w:p>
            <w:pPr>
              <w:spacing w:after="0" w:line="145" w:lineRule="exact"/>
              <w:rPr>
                <w:sz w:val="20"/>
                <w:szCs w:val="20"/>
                <w:color w:val="auto"/>
              </w:rPr>
            </w:pPr>
            <w:r>
              <w:rPr>
                <w:rFonts w:ascii="Arial" w:cs="Arial" w:eastAsia="Arial" w:hAnsi="Arial"/>
                <w:sz w:val="13"/>
                <w:szCs w:val="13"/>
                <w:b w:val="1"/>
                <w:bCs w:val="1"/>
                <w:color w:val="auto"/>
              </w:rPr>
              <w:t>5</w:t>
            </w:r>
          </w:p>
        </w:tc>
        <w:tc>
          <w:tcPr>
            <w:tcW w:w="220" w:type="dxa"/>
            <w:vAlign w:val="bottom"/>
          </w:tcPr>
          <w:p>
            <w:pPr>
              <w:spacing w:after="0"/>
              <w:rPr>
                <w:sz w:val="12"/>
                <w:szCs w:val="12"/>
                <w:color w:val="auto"/>
              </w:rPr>
            </w:pPr>
          </w:p>
        </w:tc>
        <w:tc>
          <w:tcPr>
            <w:tcW w:w="500" w:type="dxa"/>
            <w:vAlign w:val="bottom"/>
          </w:tcPr>
          <w:p>
            <w:pPr>
              <w:spacing w:after="0" w:line="145" w:lineRule="exact"/>
              <w:rPr>
                <w:sz w:val="20"/>
                <w:szCs w:val="20"/>
                <w:color w:val="auto"/>
              </w:rPr>
            </w:pPr>
            <w:r>
              <w:rPr>
                <w:rFonts w:ascii="Arial" w:cs="Arial" w:eastAsia="Arial" w:hAnsi="Arial"/>
                <w:sz w:val="13"/>
                <w:szCs w:val="13"/>
                <w:b w:val="1"/>
                <w:bCs w:val="1"/>
                <w:color w:val="auto"/>
              </w:rPr>
              <w:t>Over 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Up to 1</w:t>
            </w:r>
          </w:p>
        </w:tc>
        <w:tc>
          <w:tcPr>
            <w:tcW w:w="700" w:type="dxa"/>
            <w:vAlign w:val="bottom"/>
            <w:gridSpan w:val="2"/>
          </w:tcPr>
          <w:p>
            <w:pPr>
              <w:ind w:left="80"/>
              <w:spacing w:after="0" w:line="145" w:lineRule="exact"/>
              <w:rPr>
                <w:sz w:val="20"/>
                <w:szCs w:val="20"/>
                <w:color w:val="auto"/>
              </w:rPr>
            </w:pPr>
            <w:r>
              <w:rPr>
                <w:rFonts w:ascii="Arial" w:cs="Arial" w:eastAsia="Arial" w:hAnsi="Arial"/>
                <w:sz w:val="13"/>
                <w:szCs w:val="13"/>
                <w:b w:val="1"/>
                <w:bCs w:val="1"/>
                <w:color w:val="auto"/>
              </w:rPr>
              <w:t>3</w:t>
            </w:r>
          </w:p>
        </w:tc>
        <w:tc>
          <w:tcPr>
            <w:tcW w:w="180" w:type="dxa"/>
            <w:vAlign w:val="bottom"/>
          </w:tcPr>
          <w:p>
            <w:pPr>
              <w:spacing w:after="0"/>
              <w:rPr>
                <w:sz w:val="12"/>
                <w:szCs w:val="12"/>
                <w:color w:val="auto"/>
              </w:rPr>
            </w:pPr>
          </w:p>
        </w:tc>
        <w:tc>
          <w:tcPr>
            <w:tcW w:w="620" w:type="dxa"/>
            <w:vAlign w:val="bottom"/>
          </w:tcPr>
          <w:p>
            <w:pPr>
              <w:spacing w:after="0" w:line="145" w:lineRule="exact"/>
              <w:rPr>
                <w:sz w:val="20"/>
                <w:szCs w:val="20"/>
                <w:color w:val="auto"/>
              </w:rPr>
            </w:pPr>
            <w:r>
              <w:rPr>
                <w:rFonts w:ascii="Arial" w:cs="Arial" w:eastAsia="Arial" w:hAnsi="Arial"/>
                <w:sz w:val="13"/>
                <w:szCs w:val="13"/>
                <w:b w:val="1"/>
                <w:bCs w:val="1"/>
                <w:color w:val="auto"/>
              </w:rPr>
              <w:t>5</w:t>
            </w:r>
          </w:p>
        </w:tc>
        <w:tc>
          <w:tcPr>
            <w:tcW w:w="20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Over 5</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1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500" w:type="dxa"/>
            <w:vAlign w:val="bottom"/>
          </w:tcPr>
          <w:p>
            <w:pPr>
              <w:spacing w:after="0"/>
              <w:rPr>
                <w:sz w:val="20"/>
                <w:szCs w:val="20"/>
                <w:color w:val="auto"/>
              </w:rPr>
            </w:pPr>
            <w:r>
              <w:rPr>
                <w:rFonts w:ascii="Arial" w:cs="Arial" w:eastAsia="Arial" w:hAnsi="Arial"/>
                <w:sz w:val="13"/>
                <w:szCs w:val="13"/>
                <w:b w:val="1"/>
                <w:bCs w:val="1"/>
                <w:color w:val="auto"/>
              </w:rPr>
              <w:t>years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w:t>
            </w: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years</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r>
      <w:tr>
        <w:trPr>
          <w:trHeight w:val="129"/>
        </w:trPr>
        <w:tc>
          <w:tcPr>
            <w:tcW w:w="212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Cash inflows (assets)</w:t>
            </w:r>
          </w:p>
        </w:tc>
        <w:tc>
          <w:tcPr>
            <w:tcW w:w="8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506,116</w:t>
            </w:r>
          </w:p>
        </w:tc>
        <w:tc>
          <w:tcPr>
            <w:tcW w:w="840" w:type="dxa"/>
            <w:vAlign w:val="bottom"/>
            <w:gridSpan w:val="2"/>
          </w:tcPr>
          <w:p>
            <w:pPr>
              <w:ind w:left="54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2"/>
                <w:szCs w:val="12"/>
                <w:color w:val="auto"/>
              </w:rPr>
            </w:pPr>
          </w:p>
        </w:tc>
        <w:tc>
          <w:tcPr>
            <w:tcW w:w="2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506,116</w:t>
            </w:r>
          </w:p>
        </w:tc>
        <w:tc>
          <w:tcPr>
            <w:tcW w:w="7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1,202,322</w:t>
            </w:r>
          </w:p>
        </w:tc>
        <w:tc>
          <w:tcPr>
            <w:tcW w:w="120" w:type="dxa"/>
            <w:vAlign w:val="bottom"/>
          </w:tcPr>
          <w:p>
            <w:pPr>
              <w:spacing w:after="0"/>
              <w:rPr>
                <w:sz w:val="12"/>
                <w:szCs w:val="12"/>
                <w:color w:val="auto"/>
              </w:rPr>
            </w:pPr>
          </w:p>
        </w:tc>
        <w:tc>
          <w:tcPr>
            <w:tcW w:w="8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568,812</w:t>
            </w:r>
          </w:p>
        </w:tc>
        <w:tc>
          <w:tcPr>
            <w:tcW w:w="82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54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1,771,134</w:t>
            </w:r>
          </w:p>
        </w:tc>
      </w:tr>
      <w:tr>
        <w:trPr>
          <w:trHeight w:val="145"/>
        </w:trPr>
        <w:tc>
          <w:tcPr>
            <w:tcW w:w="2120" w:type="dxa"/>
            <w:vAlign w:val="bottom"/>
          </w:tcPr>
          <w:p>
            <w:pPr>
              <w:spacing w:after="0" w:line="145" w:lineRule="exact"/>
              <w:rPr>
                <w:sz w:val="20"/>
                <w:szCs w:val="20"/>
                <w:color w:val="auto"/>
              </w:rPr>
            </w:pPr>
            <w:r>
              <w:rPr>
                <w:rFonts w:ascii="Arial" w:cs="Arial" w:eastAsia="Arial" w:hAnsi="Arial"/>
                <w:sz w:val="13"/>
                <w:szCs w:val="13"/>
                <w:color w:val="auto"/>
              </w:rPr>
              <w:t>Cash outflows (liabilities)</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(506,042)</w:t>
            </w:r>
          </w:p>
        </w:tc>
        <w:tc>
          <w:tcPr>
            <w:tcW w:w="840" w:type="dxa"/>
            <w:vAlign w:val="bottom"/>
            <w:gridSpan w:val="2"/>
          </w:tcPr>
          <w:p>
            <w:pPr>
              <w:ind w:left="54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2"/>
                <w:szCs w:val="12"/>
                <w:color w:val="auto"/>
              </w:rPr>
            </w:pPr>
          </w:p>
        </w:tc>
        <w:tc>
          <w:tcPr>
            <w:tcW w:w="2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(506,042)</w:t>
            </w:r>
          </w:p>
        </w:tc>
        <w:tc>
          <w:tcPr>
            <w:tcW w:w="8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(1,190,257)</w:t>
            </w:r>
          </w:p>
        </w:tc>
        <w:tc>
          <w:tcPr>
            <w:tcW w:w="88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(566,730)</w:t>
            </w:r>
          </w:p>
        </w:tc>
        <w:tc>
          <w:tcPr>
            <w:tcW w:w="82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54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w w:val="96"/>
              </w:rPr>
              <w:t>(1,756,987)</w:t>
            </w: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rPr>
              <w:t>Consolidated statement of income</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448</w:t>
            </w: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448</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2,764</w:t>
            </w:r>
          </w:p>
        </w:tc>
        <w:tc>
          <w:tcPr>
            <w:tcW w:w="880" w:type="dxa"/>
            <w:vAlign w:val="bottom"/>
            <w:gridSpan w:val="3"/>
          </w:tcPr>
          <w:p>
            <w:pPr>
              <w:jc w:val="right"/>
              <w:ind w:right="180"/>
              <w:spacing w:after="0"/>
              <w:rPr>
                <w:sz w:val="20"/>
                <w:szCs w:val="20"/>
                <w:color w:val="auto"/>
              </w:rPr>
            </w:pPr>
            <w:r>
              <w:rPr>
                <w:rFonts w:ascii="Arial" w:cs="Arial" w:eastAsia="Arial" w:hAnsi="Arial"/>
                <w:sz w:val="13"/>
                <w:szCs w:val="13"/>
                <w:color w:val="auto"/>
              </w:rPr>
              <w:t>1,845</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4,609</w:t>
            </w:r>
          </w:p>
        </w:tc>
      </w:tr>
    </w:tbl>
    <w:p>
      <w:pPr>
        <w:spacing w:after="0" w:line="317" w:lineRule="exact"/>
        <w:rPr>
          <w:sz w:val="20"/>
          <w:szCs w:val="20"/>
          <w:color w:val="auto"/>
        </w:rPr>
      </w:pPr>
    </w:p>
    <w:p>
      <w:pPr>
        <w:ind w:left="4844"/>
        <w:spacing w:after="0"/>
        <w:rPr>
          <w:sz w:val="20"/>
          <w:szCs w:val="20"/>
          <w:color w:val="auto"/>
        </w:rPr>
      </w:pPr>
      <w:r>
        <w:rPr>
          <w:rFonts w:ascii="Arial" w:cs="Arial" w:eastAsia="Arial" w:hAnsi="Arial"/>
          <w:sz w:val="16"/>
          <w:szCs w:val="16"/>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96" w:name="page97"/>
    <w:bookmarkEnd w:id="96"/>
    <w:p>
      <w:pPr>
        <w:ind w:left="284" w:right="680" w:hanging="284"/>
        <w:spacing w:after="0" w:line="274" w:lineRule="auto"/>
        <w:tabs>
          <w:tab w:leader="none" w:pos="2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As of December 31, 2025, and 2024, this balance corresponds to accounts receivable and payable for the sale and purchase of financial investments negotiated during the last days of the month, which were settled during the first days of the following month.</w:t>
      </w:r>
    </w:p>
    <w:p>
      <w:pPr>
        <w:spacing w:after="0" w:line="122" w:lineRule="exact"/>
        <w:rPr>
          <w:rFonts w:ascii="Arial" w:cs="Arial" w:eastAsia="Arial" w:hAnsi="Arial"/>
          <w:sz w:val="16"/>
          <w:szCs w:val="16"/>
          <w:color w:val="auto"/>
        </w:rPr>
      </w:pPr>
    </w:p>
    <w:p>
      <w:pPr>
        <w:ind w:left="284" w:right="140" w:hanging="284"/>
        <w:spacing w:after="0" w:line="248" w:lineRule="auto"/>
        <w:tabs>
          <w:tab w:leader="none" w:pos="2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As of December 31, 2025 and 2024, this balance mainly corresponds to (i) collateral delivered in connection with derivative financial instruments transactions, which are primarily executed through central clearing counterparties such as Chicago Mercantile Exchange (CME) and London Clearing House (LCH); (ii) collateral provided for repurchase agreement transactions; and (iii) funds held at the Central Reserve Bank of Peru (BCRP) to conduct immediate interbank transfer clearing services among different banks within the Peruvian financial system</w:t>
      </w:r>
    </w:p>
    <w:p>
      <w:pPr>
        <w:spacing w:after="0" w:line="144" w:lineRule="exact"/>
        <w:rPr>
          <w:rFonts w:ascii="Arial" w:cs="Arial" w:eastAsia="Arial" w:hAnsi="Arial"/>
          <w:sz w:val="16"/>
          <w:szCs w:val="16"/>
          <w:color w:val="auto"/>
        </w:rPr>
      </w:pPr>
    </w:p>
    <w:p>
      <w:pPr>
        <w:jc w:val="both"/>
        <w:ind w:left="284" w:right="40" w:hanging="284"/>
        <w:spacing w:after="0" w:line="255" w:lineRule="auto"/>
        <w:tabs>
          <w:tab w:leader="none" w:pos="2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Operations in process include deposits received, granted and collected loans, funds transferred and other similar types of transactions, which are made in the final days of the month and not reclassified to their final accounts in the consolidated statement of financial position until the first days of the following month. The regularization of these transactions does not affect the Group’s net income.</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Investment properties -</w:t>
      </w:r>
    </w:p>
    <w:p>
      <w:pPr>
        <w:spacing w:after="0" w:line="17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The movement of investment properties is as follows:</w:t>
      </w:r>
    </w:p>
    <w:p>
      <w:pPr>
        <w:spacing w:after="0" w:line="190" w:lineRule="exact"/>
        <w:rPr>
          <w:sz w:val="20"/>
          <w:szCs w:val="20"/>
          <w:color w:val="auto"/>
        </w:rPr>
      </w:pPr>
    </w:p>
    <w:tbl>
      <w:tblPr>
        <w:tblLayout w:type="fixed"/>
        <w:tblInd w:w="5784" w:type="dxa"/>
        <w:tblCellMar>
          <w:top w:w="0" w:type="dxa"/>
          <w:left w:w="0" w:type="dxa"/>
          <w:bottom w:w="0" w:type="dxa"/>
          <w:right w:w="0" w:type="dxa"/>
        </w:tblCellMar>
      </w:tblPr>
      <w:tr>
        <w:trPr>
          <w:trHeight w:val="198"/>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6"/>
                <w:szCs w:val="16"/>
                <w:b w:val="1"/>
                <w:bCs w:val="1"/>
                <w:color w:val="auto"/>
              </w:rPr>
              <w:t>2024</w:t>
            </w:r>
          </w:p>
        </w:tc>
      </w:tr>
      <w:tr>
        <w:trPr>
          <w:trHeight w:val="185"/>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Land</w:t>
            </w:r>
          </w:p>
        </w:tc>
        <w:tc>
          <w:tcPr>
            <w:tcW w:w="126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Buildings</w:t>
            </w:r>
          </w:p>
        </w:tc>
        <w:tc>
          <w:tcPr>
            <w:tcW w:w="124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w:t>
            </w:r>
          </w:p>
        </w:tc>
      </w:tr>
      <w:tr>
        <w:trPr>
          <w:trHeight w:val="172"/>
        </w:trPr>
        <w:tc>
          <w:tcPr>
            <w:tcW w:w="20" w:type="dxa"/>
            <w:vAlign w:val="bottom"/>
          </w:tcPr>
          <w:p>
            <w:pPr>
              <w:spacing w:after="0"/>
              <w:rPr>
                <w:sz w:val="14"/>
                <w:szCs w:val="14"/>
                <w:color w:val="auto"/>
              </w:rPr>
            </w:pPr>
          </w:p>
        </w:tc>
        <w:tc>
          <w:tcPr>
            <w:tcW w:w="1020" w:type="dxa"/>
            <w:vAlign w:val="bottom"/>
            <w:tcBorders>
              <w:top w:val="single" w:sz="8" w:color="auto"/>
            </w:tcBorders>
          </w:tcPr>
          <w:p>
            <w:pPr>
              <w:spacing w:after="0" w:line="172"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4"/>
                <w:szCs w:val="14"/>
                <w:color w:val="auto"/>
              </w:rPr>
            </w:pPr>
          </w:p>
        </w:tc>
        <w:tc>
          <w:tcPr>
            <w:tcW w:w="1040" w:type="dxa"/>
            <w:vAlign w:val="bottom"/>
            <w:tcBorders>
              <w:top w:val="single" w:sz="8" w:color="auto"/>
            </w:tcBorders>
          </w:tcPr>
          <w:p>
            <w:pPr>
              <w:spacing w:after="0" w:line="172"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line="172"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4"/>
                <w:szCs w:val="14"/>
                <w:color w:val="auto"/>
              </w:rPr>
            </w:pPr>
          </w:p>
        </w:tc>
        <w:tc>
          <w:tcPr>
            <w:tcW w:w="1020" w:type="dxa"/>
            <w:vAlign w:val="bottom"/>
            <w:tcBorders>
              <w:top w:val="single" w:sz="8" w:color="auto"/>
            </w:tcBorders>
          </w:tcPr>
          <w:p>
            <w:pPr>
              <w:spacing w:after="0" w:line="172"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344" w:type="dxa"/>
        <w:tblCellMar>
          <w:top w:w="0" w:type="dxa"/>
          <w:left w:w="0" w:type="dxa"/>
          <w:bottom w:w="0" w:type="dxa"/>
          <w:right w:w="0" w:type="dxa"/>
        </w:tblCellMar>
      </w:tblPr>
      <w:tr>
        <w:trPr>
          <w:trHeight w:val="165"/>
        </w:trPr>
        <w:tc>
          <w:tcPr>
            <w:tcW w:w="5440" w:type="dxa"/>
            <w:vAlign w:val="bottom"/>
          </w:tcPr>
          <w:p>
            <w:pPr>
              <w:spacing w:after="0" w:line="165" w:lineRule="exact"/>
              <w:rPr>
                <w:sz w:val="20"/>
                <w:szCs w:val="20"/>
                <w:color w:val="auto"/>
              </w:rPr>
            </w:pPr>
            <w:r>
              <w:rPr>
                <w:rFonts w:ascii="Arial" w:cs="Arial" w:eastAsia="Arial" w:hAnsi="Arial"/>
                <w:sz w:val="16"/>
                <w:szCs w:val="16"/>
                <w:b w:val="1"/>
                <w:bCs w:val="1"/>
                <w:color w:val="auto"/>
              </w:rPr>
              <w:t>Cost</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40" w:type="dxa"/>
            <w:vAlign w:val="bottom"/>
          </w:tcPr>
          <w:p>
            <w:pPr>
              <w:spacing w:after="0" w:line="181" w:lineRule="exact"/>
              <w:rPr>
                <w:sz w:val="20"/>
                <w:szCs w:val="20"/>
                <w:color w:val="auto"/>
              </w:rPr>
            </w:pPr>
            <w:r>
              <w:rPr>
                <w:rFonts w:ascii="Arial" w:cs="Arial" w:eastAsia="Arial" w:hAnsi="Arial"/>
                <w:sz w:val="16"/>
                <w:szCs w:val="16"/>
                <w:color w:val="auto"/>
              </w:rPr>
              <w:t>Balance at January 1</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371,671</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336,265</w:t>
            </w: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707,936</w:t>
            </w:r>
          </w:p>
        </w:tc>
        <w:tc>
          <w:tcPr>
            <w:tcW w:w="2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639,693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40" w:type="dxa"/>
            <w:vAlign w:val="bottom"/>
          </w:tcPr>
          <w:p>
            <w:pPr>
              <w:spacing w:after="0" w:line="181" w:lineRule="exact"/>
              <w:rPr>
                <w:sz w:val="20"/>
                <w:szCs w:val="20"/>
                <w:color w:val="auto"/>
              </w:rPr>
            </w:pPr>
            <w:r>
              <w:rPr>
                <w:rFonts w:ascii="Arial" w:cs="Arial" w:eastAsia="Arial" w:hAnsi="Arial"/>
                <w:sz w:val="16"/>
                <w:szCs w:val="16"/>
                <w:color w:val="auto"/>
              </w:rPr>
              <w:t>Additions</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96,603</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86,960</w:t>
            </w: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183,563</w:t>
            </w:r>
          </w:p>
        </w:tc>
        <w:tc>
          <w:tcPr>
            <w:tcW w:w="200" w:type="dxa"/>
            <w:vAlign w:val="bottom"/>
          </w:tcPr>
          <w:p>
            <w:pPr>
              <w:spacing w:after="0"/>
              <w:rPr>
                <w:sz w:val="15"/>
                <w:szCs w:val="15"/>
                <w:color w:val="auto"/>
              </w:rPr>
            </w:pP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70,399</w:t>
            </w:r>
          </w:p>
        </w:tc>
        <w:tc>
          <w:tcPr>
            <w:tcW w:w="0" w:type="dxa"/>
            <w:vAlign w:val="bottom"/>
          </w:tcPr>
          <w:p>
            <w:pPr>
              <w:spacing w:after="0"/>
              <w:rPr>
                <w:sz w:val="1"/>
                <w:szCs w:val="1"/>
                <w:color w:val="auto"/>
              </w:rPr>
            </w:pPr>
          </w:p>
        </w:tc>
      </w:tr>
      <w:tr>
        <w:trPr>
          <w:trHeight w:val="181"/>
        </w:trPr>
        <w:tc>
          <w:tcPr>
            <w:tcW w:w="5440" w:type="dxa"/>
            <w:vAlign w:val="bottom"/>
          </w:tcPr>
          <w:p>
            <w:pPr>
              <w:spacing w:after="0" w:line="181" w:lineRule="exact"/>
              <w:rPr>
                <w:sz w:val="20"/>
                <w:szCs w:val="20"/>
                <w:color w:val="auto"/>
              </w:rPr>
            </w:pPr>
            <w:r>
              <w:rPr>
                <w:rFonts w:ascii="Arial" w:cs="Arial" w:eastAsia="Arial" w:hAnsi="Arial"/>
                <w:sz w:val="16"/>
                <w:szCs w:val="16"/>
                <w:color w:val="auto"/>
              </w:rPr>
              <w:t>Acquisition of Pacifico EPS shares, Note 2(a)</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427</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526</w:t>
            </w: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953</w:t>
            </w:r>
          </w:p>
        </w:tc>
        <w:tc>
          <w:tcPr>
            <w:tcW w:w="200" w:type="dxa"/>
            <w:vAlign w:val="bottom"/>
          </w:tcPr>
          <w:p>
            <w:pPr>
              <w:spacing w:after="0"/>
              <w:rPr>
                <w:sz w:val="15"/>
                <w:szCs w:val="15"/>
                <w:color w:val="auto"/>
              </w:rPr>
            </w:pP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440" w:type="dxa"/>
            <w:vAlign w:val="bottom"/>
          </w:tcPr>
          <w:p>
            <w:pPr>
              <w:spacing w:after="0"/>
              <w:rPr>
                <w:sz w:val="20"/>
                <w:szCs w:val="20"/>
                <w:color w:val="auto"/>
              </w:rPr>
            </w:pPr>
            <w:r>
              <w:rPr>
                <w:rFonts w:ascii="Arial" w:cs="Arial" w:eastAsia="Arial" w:hAnsi="Arial"/>
                <w:sz w:val="16"/>
                <w:szCs w:val="16"/>
                <w:color w:val="auto"/>
              </w:rPr>
              <w:t>Disposals and others</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(2,686)</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(3,851)</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(6,537)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181"/>
        </w:trPr>
        <w:tc>
          <w:tcPr>
            <w:tcW w:w="5440" w:type="dxa"/>
            <w:vAlign w:val="bottom"/>
          </w:tcPr>
          <w:p>
            <w:pPr>
              <w:spacing w:after="0" w:line="181" w:lineRule="exact"/>
              <w:rPr>
                <w:sz w:val="20"/>
                <w:szCs w:val="20"/>
                <w:color w:val="auto"/>
              </w:rPr>
            </w:pPr>
            <w:r>
              <w:rPr>
                <w:rFonts w:ascii="Arial" w:cs="Arial" w:eastAsia="Arial" w:hAnsi="Arial"/>
                <w:sz w:val="16"/>
                <w:szCs w:val="16"/>
                <w:b w:val="1"/>
                <w:bCs w:val="1"/>
                <w:color w:val="auto"/>
              </w:rPr>
              <w:t>Ending period</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466,015</w:t>
            </w:r>
          </w:p>
        </w:tc>
        <w:tc>
          <w:tcPr>
            <w:tcW w:w="2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419,900</w:t>
            </w:r>
          </w:p>
        </w:tc>
        <w:tc>
          <w:tcPr>
            <w:tcW w:w="2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885,915</w:t>
            </w:r>
          </w:p>
        </w:tc>
        <w:tc>
          <w:tcPr>
            <w:tcW w:w="2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707,936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5440" w:type="dxa"/>
            <w:vAlign w:val="bottom"/>
          </w:tcPr>
          <w:p>
            <w:pPr>
              <w:spacing w:after="0"/>
              <w:rPr>
                <w:sz w:val="20"/>
                <w:szCs w:val="20"/>
                <w:color w:val="auto"/>
              </w:rPr>
            </w:pPr>
            <w:r>
              <w:rPr>
                <w:rFonts w:ascii="Arial" w:cs="Arial" w:eastAsia="Arial" w:hAnsi="Arial"/>
                <w:sz w:val="16"/>
                <w:szCs w:val="16"/>
                <w:b w:val="1"/>
                <w:bCs w:val="1"/>
                <w:color w:val="auto"/>
              </w:rPr>
              <w:t>Accumulated depreciation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440" w:type="dxa"/>
            <w:vAlign w:val="bottom"/>
          </w:tcPr>
          <w:p>
            <w:pPr>
              <w:spacing w:after="0" w:line="181" w:lineRule="exact"/>
              <w:rPr>
                <w:sz w:val="20"/>
                <w:szCs w:val="20"/>
                <w:color w:val="auto"/>
              </w:rPr>
            </w:pPr>
            <w:r>
              <w:rPr>
                <w:rFonts w:ascii="Arial" w:cs="Arial" w:eastAsia="Arial" w:hAnsi="Arial"/>
                <w:sz w:val="16"/>
                <w:szCs w:val="16"/>
                <w:color w:val="auto"/>
              </w:rPr>
              <w:t>Balance at January 1</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81,704</w:t>
            </w:r>
          </w:p>
        </w:tc>
        <w:tc>
          <w:tcPr>
            <w:tcW w:w="12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81,704</w:t>
            </w: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73,009</w:t>
            </w:r>
          </w:p>
        </w:tc>
        <w:tc>
          <w:tcPr>
            <w:tcW w:w="0" w:type="dxa"/>
            <w:vAlign w:val="bottom"/>
          </w:tcPr>
          <w:p>
            <w:pPr>
              <w:spacing w:after="0"/>
              <w:rPr>
                <w:sz w:val="1"/>
                <w:szCs w:val="1"/>
                <w:color w:val="auto"/>
              </w:rPr>
            </w:pPr>
          </w:p>
        </w:tc>
      </w:tr>
      <w:tr>
        <w:trPr>
          <w:trHeight w:val="181"/>
        </w:trPr>
        <w:tc>
          <w:tcPr>
            <w:tcW w:w="5440" w:type="dxa"/>
            <w:vAlign w:val="bottom"/>
          </w:tcPr>
          <w:p>
            <w:pPr>
              <w:spacing w:after="0" w:line="181" w:lineRule="exact"/>
              <w:rPr>
                <w:sz w:val="20"/>
                <w:szCs w:val="20"/>
                <w:color w:val="auto"/>
              </w:rPr>
            </w:pPr>
            <w:r>
              <w:rPr>
                <w:rFonts w:ascii="Arial" w:cs="Arial" w:eastAsia="Arial" w:hAnsi="Arial"/>
                <w:sz w:val="16"/>
                <w:szCs w:val="16"/>
                <w:color w:val="auto"/>
              </w:rPr>
              <w:t>Depreciation for the period</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8,803</w:t>
            </w:r>
          </w:p>
        </w:tc>
        <w:tc>
          <w:tcPr>
            <w:tcW w:w="12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8,803</w:t>
            </w: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9,098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rPr>
                <w:sz w:val="20"/>
                <w:szCs w:val="20"/>
                <w:color w:val="auto"/>
              </w:rPr>
            </w:pPr>
            <w:r>
              <w:rPr>
                <w:rFonts w:ascii="Arial" w:cs="Arial" w:eastAsia="Arial" w:hAnsi="Arial"/>
                <w:sz w:val="16"/>
                <w:szCs w:val="16"/>
                <w:color w:val="auto"/>
              </w:rPr>
              <w:t>Disposals and others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(1,176)</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(1,176)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81"/>
        </w:trPr>
        <w:tc>
          <w:tcPr>
            <w:tcW w:w="5440" w:type="dxa"/>
            <w:vAlign w:val="bottom"/>
          </w:tcPr>
          <w:p>
            <w:pPr>
              <w:spacing w:after="0" w:line="181" w:lineRule="exact"/>
              <w:rPr>
                <w:sz w:val="20"/>
                <w:szCs w:val="20"/>
                <w:color w:val="auto"/>
              </w:rPr>
            </w:pPr>
            <w:r>
              <w:rPr>
                <w:rFonts w:ascii="Arial" w:cs="Arial" w:eastAsia="Arial" w:hAnsi="Arial"/>
                <w:sz w:val="16"/>
                <w:szCs w:val="16"/>
                <w:b w:val="1"/>
                <w:bCs w:val="1"/>
                <w:color w:val="auto"/>
              </w:rPr>
              <w:t>Ending period</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89,331</w:t>
            </w:r>
          </w:p>
        </w:tc>
        <w:tc>
          <w:tcPr>
            <w:tcW w:w="2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89,331</w:t>
            </w:r>
          </w:p>
        </w:tc>
        <w:tc>
          <w:tcPr>
            <w:tcW w:w="2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81,704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Impairment losses</w:t>
            </w:r>
          </w:p>
        </w:tc>
        <w:tc>
          <w:tcPr>
            <w:tcW w:w="104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vMerge w:val="restart"/>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689</w:t>
            </w:r>
          </w:p>
        </w:tc>
        <w:tc>
          <w:tcPr>
            <w:tcW w:w="22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389</w:t>
            </w:r>
          </w:p>
        </w:tc>
        <w:tc>
          <w:tcPr>
            <w:tcW w:w="220" w:type="dxa"/>
            <w:vAlign w:val="bottom"/>
            <w:vMerge w:val="continue"/>
          </w:tcPr>
          <w:p>
            <w:pPr>
              <w:spacing w:after="0"/>
              <w:rPr>
                <w:sz w:val="15"/>
                <w:szCs w:val="15"/>
                <w:color w:val="auto"/>
              </w:rPr>
            </w:pPr>
          </w:p>
        </w:tc>
        <w:tc>
          <w:tcPr>
            <w:tcW w:w="10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1,078</w:t>
            </w:r>
          </w:p>
        </w:tc>
        <w:tc>
          <w:tcPr>
            <w:tcW w:w="200" w:type="dxa"/>
            <w:vAlign w:val="bottom"/>
            <w:vMerge w:val="continue"/>
          </w:tcPr>
          <w:p>
            <w:pPr>
              <w:spacing w:after="0"/>
              <w:rPr>
                <w:sz w:val="15"/>
                <w:szCs w:val="15"/>
                <w:color w:val="auto"/>
              </w:rPr>
            </w:pPr>
          </w:p>
        </w:tc>
        <w:tc>
          <w:tcPr>
            <w:tcW w:w="10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1,127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Net carrying amount</w:t>
            </w:r>
          </w:p>
        </w:tc>
        <w:tc>
          <w:tcPr>
            <w:tcW w:w="104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4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465,326</w:t>
            </w:r>
          </w:p>
        </w:tc>
        <w:tc>
          <w:tcPr>
            <w:tcW w:w="22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330,180</w:t>
            </w:r>
          </w:p>
        </w:tc>
        <w:tc>
          <w:tcPr>
            <w:tcW w:w="220" w:type="dxa"/>
            <w:vAlign w:val="bottom"/>
            <w:vMerge w:val="continue"/>
          </w:tcPr>
          <w:p>
            <w:pPr>
              <w:spacing w:after="0"/>
              <w:rPr>
                <w:sz w:val="15"/>
                <w:szCs w:val="15"/>
                <w:color w:val="auto"/>
              </w:rPr>
            </w:pPr>
          </w:p>
        </w:tc>
        <w:tc>
          <w:tcPr>
            <w:tcW w:w="10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795,506</w:t>
            </w: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625,105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Land and buildings are mainly used for office rental, which are free of all encumbrances.</w:t>
      </w:r>
    </w:p>
    <w:p>
      <w:pPr>
        <w:spacing w:after="0" w:line="178" w:lineRule="exact"/>
        <w:rPr>
          <w:sz w:val="20"/>
          <w:szCs w:val="20"/>
          <w:color w:val="auto"/>
        </w:rPr>
      </w:pPr>
    </w:p>
    <w:p>
      <w:pPr>
        <w:ind w:left="284"/>
        <w:spacing w:after="0" w:line="274" w:lineRule="auto"/>
        <w:rPr>
          <w:sz w:val="20"/>
          <w:szCs w:val="20"/>
          <w:color w:val="auto"/>
        </w:rPr>
      </w:pPr>
      <w:r>
        <w:rPr>
          <w:rFonts w:ascii="Arial" w:cs="Arial" w:eastAsia="Arial" w:hAnsi="Arial"/>
          <w:sz w:val="16"/>
          <w:szCs w:val="16"/>
          <w:color w:val="auto"/>
        </w:rPr>
        <w:t>As of December 31, 2025 and 2024, the market value of the properties amounts to approximately S/1,322.3 million and S/1,235.1 million, respectively; which was determined through a valuation made by an independent appraisers.</w:t>
      </w:r>
    </w:p>
    <w:p>
      <w:pPr>
        <w:spacing w:after="0" w:line="123" w:lineRule="exact"/>
        <w:rPr>
          <w:sz w:val="20"/>
          <w:szCs w:val="20"/>
          <w:color w:val="auto"/>
        </w:rPr>
      </w:pPr>
    </w:p>
    <w:p>
      <w:pPr>
        <w:ind w:left="284" w:right="200" w:hanging="284"/>
        <w:spacing w:after="0" w:line="248" w:lineRule="auto"/>
        <w:tabs>
          <w:tab w:leader="none" w:pos="28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As of December 31, 2025, this balance relates mainly to system programming and maintenance services amounting to S/221.8 million, and to payments under the mileage-based loyalty program that the Bank grants to its customers for the use of their cards, amounting to S/22.6 million. (As of December 31, 2024, it related mainly to payments under the mileage-based loyalty program that the Bank grants to its customers for the use of their cards, as well as other financial products, amounting to S/363.6 million).</w:t>
      </w:r>
    </w:p>
    <w:p>
      <w:pPr>
        <w:spacing w:after="0" w:line="313" w:lineRule="exact"/>
        <w:rPr>
          <w:rFonts w:ascii="Arial" w:cs="Arial" w:eastAsia="Arial" w:hAnsi="Arial"/>
          <w:sz w:val="16"/>
          <w:szCs w:val="16"/>
          <w:color w:val="auto"/>
        </w:rPr>
      </w:pPr>
    </w:p>
    <w:p>
      <w:pPr>
        <w:ind w:left="4944" w:hanging="104"/>
        <w:spacing w:after="0"/>
        <w:tabs>
          <w:tab w:leader="none" w:pos="494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97" w:name="page98"/>
    <w:bookmarkEnd w:id="97"/>
    <w:p>
      <w:pPr>
        <w:ind w:left="284" w:hanging="284"/>
        <w:spacing w:after="0" w:line="255" w:lineRule="auto"/>
        <w:tabs>
          <w:tab w:leader="none" w:pos="28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of December 31, 2025, the decrease in the investment in associates is due to the acquisition of the remaining 50.00 percent interest in Pacifico EPS, see Note 2. As of December 31, of 2024, Credicorp’s main associate was Pacífico S.A Entidad Prestadora de Salud (Pacífico EPS), whose balance amounts to S/692.1 million.</w:t>
      </w:r>
    </w:p>
    <w:p>
      <w:pPr>
        <w:spacing w:after="0" w:line="137" w:lineRule="exact"/>
        <w:rPr>
          <w:rFonts w:ascii="Arial" w:cs="Arial" w:eastAsia="Arial" w:hAnsi="Arial"/>
          <w:sz w:val="16"/>
          <w:szCs w:val="16"/>
          <w:color w:val="auto"/>
        </w:rPr>
      </w:pPr>
    </w:p>
    <w:p>
      <w:pPr>
        <w:ind w:left="284" w:right="80" w:hanging="284"/>
        <w:spacing w:after="0" w:line="255" w:lineRule="auto"/>
        <w:tabs>
          <w:tab w:leader="none" w:pos="28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of December 31, 2025 and December 31, 2024, the balance mainly corresponds to accounts payable to suppliers for goods and services, accounts payable to merchants for customer purchases made with credit and debit cards, accounts payable to insurance policyholders, accounts payable related to insurance premiums to the Deposit Insurance Fund, among others.</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movement of the provision for sundry risks for the years ended December 31, 2025, 2024 and 2023 was as follows:</w:t>
      </w:r>
    </w:p>
    <w:p>
      <w:pPr>
        <w:spacing w:after="0" w:line="190" w:lineRule="exact"/>
        <w:rPr>
          <w:sz w:val="20"/>
          <w:szCs w:val="20"/>
          <w:color w:val="auto"/>
        </w:rPr>
      </w:pPr>
    </w:p>
    <w:tbl>
      <w:tblPr>
        <w:tblLayout w:type="fixed"/>
        <w:tblInd w:w="344" w:type="dxa"/>
        <w:tblCellMar>
          <w:top w:w="0" w:type="dxa"/>
          <w:left w:w="0" w:type="dxa"/>
          <w:bottom w:w="0" w:type="dxa"/>
          <w:right w:w="0" w:type="dxa"/>
        </w:tblCellMar>
      </w:tblPr>
      <w:tr>
        <w:trPr>
          <w:trHeight w:val="198"/>
        </w:trPr>
        <w:tc>
          <w:tcPr>
            <w:tcW w:w="6680" w:type="dxa"/>
            <w:vAlign w:val="bottom"/>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668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8"/>
                <w:szCs w:val="18"/>
                <w:color w:val="auto"/>
              </w:rPr>
            </w:pPr>
          </w:p>
        </w:tc>
      </w:tr>
      <w:tr>
        <w:trPr>
          <w:trHeight w:val="305"/>
        </w:trPr>
        <w:tc>
          <w:tcPr>
            <w:tcW w:w="6680" w:type="dxa"/>
            <w:vAlign w:val="bottom"/>
          </w:tcPr>
          <w:p>
            <w:pPr>
              <w:spacing w:after="0"/>
              <w:rPr>
                <w:sz w:val="20"/>
                <w:szCs w:val="20"/>
                <w:color w:val="auto"/>
              </w:rPr>
            </w:pPr>
            <w:r>
              <w:rPr>
                <w:rFonts w:ascii="Arial" w:cs="Arial" w:eastAsia="Arial" w:hAnsi="Arial"/>
                <w:sz w:val="16"/>
                <w:szCs w:val="16"/>
                <w:b w:val="1"/>
                <w:bCs w:val="1"/>
                <w:color w:val="auto"/>
              </w:rPr>
              <w:t>Balance at the beginning of the year</w:t>
            </w:r>
          </w:p>
        </w:tc>
        <w:tc>
          <w:tcPr>
            <w:tcW w:w="1040" w:type="dxa"/>
            <w:vAlign w:val="bottom"/>
          </w:tcPr>
          <w:p>
            <w:pPr>
              <w:jc w:val="right"/>
              <w:spacing w:after="0"/>
              <w:rPr>
                <w:sz w:val="20"/>
                <w:szCs w:val="20"/>
                <w:color w:val="auto"/>
              </w:rPr>
            </w:pPr>
            <w:r>
              <w:rPr>
                <w:rFonts w:ascii="Arial" w:cs="Arial" w:eastAsia="Arial" w:hAnsi="Arial"/>
                <w:sz w:val="16"/>
                <w:szCs w:val="16"/>
                <w:color w:val="auto"/>
              </w:rPr>
              <w:t>646,739</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642,520</w:t>
            </w: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624,149</w:t>
            </w:r>
          </w:p>
        </w:tc>
        <w:tc>
          <w:tcPr>
            <w:tcW w:w="40" w:type="dxa"/>
            <w:vAlign w:val="bottom"/>
          </w:tcPr>
          <w:p>
            <w:pPr>
              <w:spacing w:after="0"/>
              <w:rPr>
                <w:sz w:val="24"/>
                <w:szCs w:val="24"/>
                <w:color w:val="auto"/>
              </w:rPr>
            </w:pPr>
          </w:p>
        </w:tc>
      </w:tr>
      <w:tr>
        <w:trPr>
          <w:trHeight w:val="181"/>
        </w:trPr>
        <w:tc>
          <w:tcPr>
            <w:tcW w:w="6680" w:type="dxa"/>
            <w:vAlign w:val="bottom"/>
          </w:tcPr>
          <w:p>
            <w:pPr>
              <w:spacing w:after="0" w:line="181" w:lineRule="exact"/>
              <w:rPr>
                <w:sz w:val="20"/>
                <w:szCs w:val="20"/>
                <w:color w:val="auto"/>
              </w:rPr>
            </w:pPr>
            <w:r>
              <w:rPr>
                <w:rFonts w:ascii="Arial" w:cs="Arial" w:eastAsia="Arial" w:hAnsi="Arial"/>
                <w:sz w:val="16"/>
                <w:szCs w:val="16"/>
                <w:color w:val="auto"/>
              </w:rPr>
              <w:t>Provision, see Note 25</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149,651</w:t>
            </w:r>
          </w:p>
        </w:tc>
        <w:tc>
          <w:tcPr>
            <w:tcW w:w="22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315,214</w:t>
            </w:r>
          </w:p>
        </w:tc>
        <w:tc>
          <w:tcPr>
            <w:tcW w:w="200" w:type="dxa"/>
            <w:vAlign w:val="bottom"/>
          </w:tcPr>
          <w:p>
            <w:pPr>
              <w:spacing w:after="0"/>
              <w:rPr>
                <w:sz w:val="15"/>
                <w:szCs w:val="15"/>
                <w:color w:val="auto"/>
              </w:rPr>
            </w:pPr>
          </w:p>
        </w:tc>
        <w:tc>
          <w:tcPr>
            <w:tcW w:w="108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95,873</w:t>
            </w:r>
          </w:p>
        </w:tc>
      </w:tr>
      <w:tr>
        <w:trPr>
          <w:trHeight w:val="202"/>
        </w:trPr>
        <w:tc>
          <w:tcPr>
            <w:tcW w:w="6680" w:type="dxa"/>
            <w:vAlign w:val="bottom"/>
          </w:tcPr>
          <w:p>
            <w:pPr>
              <w:spacing w:after="0"/>
              <w:rPr>
                <w:sz w:val="20"/>
                <w:szCs w:val="20"/>
                <w:color w:val="auto"/>
              </w:rPr>
            </w:pPr>
            <w:r>
              <w:rPr>
                <w:rFonts w:ascii="Arial" w:cs="Arial" w:eastAsia="Arial" w:hAnsi="Arial"/>
                <w:sz w:val="16"/>
                <w:szCs w:val="16"/>
                <w:color w:val="auto"/>
              </w:rPr>
              <w:t>Decrease, net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(171,273)</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(310,995)</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(77,502)</w:t>
            </w:r>
          </w:p>
        </w:tc>
      </w:tr>
      <w:tr>
        <w:trPr>
          <w:trHeight w:val="185"/>
        </w:trPr>
        <w:tc>
          <w:tcPr>
            <w:tcW w:w="6680" w:type="dxa"/>
            <w:vAlign w:val="bottom"/>
          </w:tcPr>
          <w:p>
            <w:pPr>
              <w:spacing w:after="0" w:line="181" w:lineRule="exact"/>
              <w:rPr>
                <w:sz w:val="20"/>
                <w:szCs w:val="20"/>
                <w:color w:val="auto"/>
              </w:rPr>
            </w:pPr>
            <w:r>
              <w:rPr>
                <w:rFonts w:ascii="Arial" w:cs="Arial" w:eastAsia="Arial" w:hAnsi="Arial"/>
                <w:sz w:val="16"/>
                <w:szCs w:val="16"/>
                <w:b w:val="1"/>
                <w:bCs w:val="1"/>
                <w:color w:val="auto"/>
              </w:rPr>
              <w:t>Balances at the end of the year</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625,117</w:t>
            </w:r>
          </w:p>
        </w:tc>
        <w:tc>
          <w:tcPr>
            <w:tcW w:w="2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646,739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642,520</w:t>
            </w:r>
          </w:p>
        </w:tc>
        <w:tc>
          <w:tcPr>
            <w:tcW w:w="40" w:type="dxa"/>
            <w:vAlign w:val="bottom"/>
          </w:tcPr>
          <w:p>
            <w:pPr>
              <w:spacing w:after="0"/>
              <w:rPr>
                <w:sz w:val="16"/>
                <w:szCs w:val="16"/>
                <w:color w:val="auto"/>
              </w:rPr>
            </w:pPr>
          </w:p>
        </w:tc>
      </w:tr>
    </w:tbl>
    <w:p>
      <w:pPr>
        <w:spacing w:after="0" w:line="164" w:lineRule="exact"/>
        <w:rPr>
          <w:sz w:val="20"/>
          <w:szCs w:val="20"/>
          <w:color w:val="auto"/>
        </w:rPr>
      </w:pPr>
    </w:p>
    <w:p>
      <w:pPr>
        <w:ind w:left="284" w:right="120"/>
        <w:spacing w:after="0" w:line="245" w:lineRule="auto"/>
        <w:rPr>
          <w:sz w:val="20"/>
          <w:szCs w:val="20"/>
          <w:color w:val="auto"/>
        </w:rPr>
      </w:pPr>
      <w:r>
        <w:rPr>
          <w:rFonts w:ascii="Arial" w:cs="Arial" w:eastAsia="Arial" w:hAnsi="Arial"/>
          <w:sz w:val="16"/>
          <w:szCs w:val="16"/>
          <w:color w:val="auto"/>
        </w:rPr>
        <w:t>Because of the nature of its business, the Group has various pending lawsuits, which provisions are recorded when, in Management's and its in-house legal advisors opinion, it is likely that these may result in an additional liability and such amount can be reliably estimated. Regarding lawsuits against the Group which have not been recorded as a provision, in Management’s and its in-house legal advisors opinion, they will not result in an additional liability other than those recorded previously and they will not have a material effect on the Group’s consolidated financial statements.</w:t>
      </w:r>
    </w:p>
    <w:p>
      <w:pPr>
        <w:spacing w:after="0" w:line="147" w:lineRule="exact"/>
        <w:rPr>
          <w:sz w:val="20"/>
          <w:szCs w:val="20"/>
          <w:color w:val="auto"/>
        </w:rPr>
      </w:pPr>
    </w:p>
    <w:p>
      <w:pPr>
        <w:ind w:left="284" w:right="60" w:hanging="284"/>
        <w:spacing w:after="0" w:line="274" w:lineRule="auto"/>
        <w:tabs>
          <w:tab w:leader="none" w:pos="28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amount corresponds to the Assessment and Penalty Resolutions issued by SUNAT to Grupo Crédito on June 27, 2025, for S/1,568.0 million, plus accrued interest from the date of issuance of the resolutions up to the settlement date amounting to S/9.2 million.</w:t>
      </w:r>
    </w:p>
    <w:p>
      <w:pPr>
        <w:spacing w:after="0" w:line="291" w:lineRule="exact"/>
        <w:rPr>
          <w:rFonts w:ascii="Arial" w:cs="Arial" w:eastAsia="Arial" w:hAnsi="Arial"/>
          <w:sz w:val="16"/>
          <w:szCs w:val="16"/>
          <w:color w:val="auto"/>
        </w:rPr>
      </w:pPr>
    </w:p>
    <w:p>
      <w:pPr>
        <w:ind w:left="4944" w:hanging="104"/>
        <w:spacing w:after="0"/>
        <w:tabs>
          <w:tab w:leader="none" w:pos="4944" w:val="left"/>
        </w:tabs>
        <w:numPr>
          <w:ilvl w:val="1"/>
          <w:numId w:val="111"/>
        </w:numPr>
        <w:rPr>
          <w:rFonts w:ascii="Arial" w:cs="Arial" w:eastAsia="Arial" w:hAnsi="Arial"/>
          <w:sz w:val="16"/>
          <w:szCs w:val="16"/>
          <w:color w:val="auto"/>
        </w:rPr>
      </w:pPr>
      <w:r>
        <w:rPr>
          <w:rFonts w:ascii="Arial" w:cs="Arial" w:eastAsia="Arial" w:hAnsi="Arial"/>
          <w:sz w:val="16"/>
          <w:szCs w:val="16"/>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98" w:name="page99"/>
    <w:bookmarkEnd w:id="98"/>
    <w:p>
      <w:pPr>
        <w:ind w:left="583" w:hanging="583"/>
        <w:spacing w:after="0"/>
        <w:tabs>
          <w:tab w:leader="none" w:pos="583"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DEPOSITS AND OBLIGATIONS</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90" w:lineRule="exact"/>
        <w:rPr>
          <w:sz w:val="20"/>
          <w:szCs w:val="20"/>
          <w:color w:val="auto"/>
        </w:rPr>
      </w:pPr>
    </w:p>
    <w:tbl>
      <w:tblPr>
        <w:tblLayout w:type="fixed"/>
        <w:tblInd w:w="923" w:type="dxa"/>
        <w:tblCellMar>
          <w:top w:w="0" w:type="dxa"/>
          <w:left w:w="0" w:type="dxa"/>
          <w:bottom w:w="0" w:type="dxa"/>
          <w:right w:w="0" w:type="dxa"/>
        </w:tblCellMar>
      </w:tblPr>
      <w:tr>
        <w:trPr>
          <w:trHeight w:val="198"/>
        </w:trPr>
        <w:tc>
          <w:tcPr>
            <w:tcW w:w="4500" w:type="dxa"/>
            <w:vAlign w:val="bottom"/>
          </w:tcPr>
          <w:p>
            <w:pPr>
              <w:spacing w:after="0"/>
              <w:rPr>
                <w:sz w:val="17"/>
                <w:szCs w:val="17"/>
                <w:color w:val="auto"/>
              </w:rPr>
            </w:pPr>
          </w:p>
        </w:tc>
        <w:tc>
          <w:tcPr>
            <w:tcW w:w="3280" w:type="dxa"/>
            <w:vAlign w:val="bottom"/>
            <w:gridSpan w:val="2"/>
          </w:tcPr>
          <w:p>
            <w:pPr>
              <w:ind w:left="238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4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4500" w:type="dxa"/>
            <w:vAlign w:val="bottom"/>
          </w:tcPr>
          <w:p>
            <w:pPr>
              <w:spacing w:after="0"/>
              <w:rPr>
                <w:sz w:val="20"/>
                <w:szCs w:val="20"/>
                <w:color w:val="auto"/>
              </w:rPr>
            </w:pPr>
            <w:r>
              <w:rPr>
                <w:rFonts w:ascii="Arial" w:cs="Arial" w:eastAsia="Arial" w:hAnsi="Arial"/>
                <w:sz w:val="16"/>
                <w:szCs w:val="16"/>
                <w:color w:val="auto"/>
              </w:rPr>
              <w:t>Saving deposits</w:t>
            </w:r>
          </w:p>
        </w:tc>
        <w:tc>
          <w:tcPr>
            <w:tcW w:w="3460" w:type="dxa"/>
            <w:vAlign w:val="bottom"/>
            <w:gridSpan w:val="3"/>
          </w:tcPr>
          <w:p>
            <w:pPr>
              <w:jc w:val="right"/>
              <w:ind w:right="180"/>
              <w:spacing w:after="0"/>
              <w:rPr>
                <w:sz w:val="20"/>
                <w:szCs w:val="20"/>
                <w:color w:val="auto"/>
              </w:rPr>
            </w:pPr>
            <w:r>
              <w:rPr>
                <w:rFonts w:ascii="Arial" w:cs="Arial" w:eastAsia="Arial" w:hAnsi="Arial"/>
                <w:sz w:val="16"/>
                <w:szCs w:val="16"/>
                <w:color w:val="auto"/>
              </w:rPr>
              <w:t>67,811,945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59,757,825</w:t>
            </w:r>
          </w:p>
        </w:tc>
        <w:tc>
          <w:tcPr>
            <w:tcW w:w="20" w:type="dxa"/>
            <w:vAlign w:val="bottom"/>
          </w:tcPr>
          <w:p>
            <w:pPr>
              <w:spacing w:after="0"/>
              <w:rPr>
                <w:sz w:val="24"/>
                <w:szCs w:val="24"/>
                <w:color w:val="auto"/>
              </w:rPr>
            </w:pPr>
          </w:p>
        </w:tc>
      </w:tr>
      <w:tr>
        <w:trPr>
          <w:trHeight w:val="181"/>
        </w:trPr>
        <w:tc>
          <w:tcPr>
            <w:tcW w:w="4500" w:type="dxa"/>
            <w:vAlign w:val="bottom"/>
          </w:tcPr>
          <w:p>
            <w:pPr>
              <w:spacing w:after="0" w:line="181" w:lineRule="exact"/>
              <w:rPr>
                <w:sz w:val="20"/>
                <w:szCs w:val="20"/>
                <w:color w:val="auto"/>
              </w:rPr>
            </w:pPr>
            <w:r>
              <w:rPr>
                <w:rFonts w:ascii="Arial" w:cs="Arial" w:eastAsia="Arial" w:hAnsi="Arial"/>
                <w:sz w:val="16"/>
                <w:szCs w:val="16"/>
                <w:color w:val="auto"/>
              </w:rPr>
              <w:t>Demand deposits</w:t>
            </w:r>
          </w:p>
        </w:tc>
        <w:tc>
          <w:tcPr>
            <w:tcW w:w="34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57,051,970</w:t>
            </w:r>
          </w:p>
        </w:tc>
        <w:tc>
          <w:tcPr>
            <w:tcW w:w="9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52,590,952</w:t>
            </w:r>
          </w:p>
        </w:tc>
        <w:tc>
          <w:tcPr>
            <w:tcW w:w="20" w:type="dxa"/>
            <w:vAlign w:val="bottom"/>
          </w:tcPr>
          <w:p>
            <w:pPr>
              <w:spacing w:after="0"/>
              <w:rPr>
                <w:sz w:val="15"/>
                <w:szCs w:val="15"/>
                <w:color w:val="auto"/>
              </w:rPr>
            </w:pPr>
          </w:p>
        </w:tc>
      </w:tr>
      <w:tr>
        <w:trPr>
          <w:trHeight w:val="181"/>
        </w:trPr>
        <w:tc>
          <w:tcPr>
            <w:tcW w:w="4500" w:type="dxa"/>
            <w:vAlign w:val="bottom"/>
          </w:tcPr>
          <w:p>
            <w:pPr>
              <w:spacing w:after="0" w:line="181" w:lineRule="exact"/>
              <w:rPr>
                <w:sz w:val="20"/>
                <w:szCs w:val="20"/>
                <w:color w:val="auto"/>
              </w:rPr>
            </w:pPr>
            <w:r>
              <w:rPr>
                <w:rFonts w:ascii="Arial" w:cs="Arial" w:eastAsia="Arial" w:hAnsi="Arial"/>
                <w:sz w:val="16"/>
                <w:szCs w:val="16"/>
                <w:color w:val="auto"/>
              </w:rPr>
              <w:t>Time deposits (c)</w:t>
            </w:r>
          </w:p>
        </w:tc>
        <w:tc>
          <w:tcPr>
            <w:tcW w:w="34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40,362,433</w:t>
            </w:r>
          </w:p>
        </w:tc>
        <w:tc>
          <w:tcPr>
            <w:tcW w:w="9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44,116,438</w:t>
            </w:r>
          </w:p>
        </w:tc>
      </w:tr>
      <w:tr>
        <w:trPr>
          <w:trHeight w:val="181"/>
        </w:trPr>
        <w:tc>
          <w:tcPr>
            <w:tcW w:w="4500" w:type="dxa"/>
            <w:vAlign w:val="bottom"/>
          </w:tcPr>
          <w:p>
            <w:pPr>
              <w:spacing w:after="0" w:line="181" w:lineRule="exact"/>
              <w:rPr>
                <w:sz w:val="20"/>
                <w:szCs w:val="20"/>
                <w:color w:val="auto"/>
              </w:rPr>
            </w:pPr>
            <w:r>
              <w:rPr>
                <w:rFonts w:ascii="Arial" w:cs="Arial" w:eastAsia="Arial" w:hAnsi="Arial"/>
                <w:sz w:val="16"/>
                <w:szCs w:val="16"/>
                <w:color w:val="auto"/>
              </w:rPr>
              <w:t>Severance indemnity deposits</w:t>
            </w:r>
          </w:p>
        </w:tc>
        <w:tc>
          <w:tcPr>
            <w:tcW w:w="34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3,192,564</w:t>
            </w:r>
          </w:p>
        </w:tc>
        <w:tc>
          <w:tcPr>
            <w:tcW w:w="9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2,996,020</w:t>
            </w:r>
          </w:p>
        </w:tc>
      </w:tr>
      <w:tr>
        <w:trPr>
          <w:trHeight w:val="210"/>
        </w:trPr>
        <w:tc>
          <w:tcPr>
            <w:tcW w:w="4500" w:type="dxa"/>
            <w:vAlign w:val="bottom"/>
          </w:tcPr>
          <w:p>
            <w:pPr>
              <w:spacing w:after="0"/>
              <w:rPr>
                <w:sz w:val="20"/>
                <w:szCs w:val="20"/>
                <w:color w:val="auto"/>
              </w:rPr>
            </w:pPr>
            <w:r>
              <w:rPr>
                <w:rFonts w:ascii="Arial" w:cs="Arial" w:eastAsia="Arial" w:hAnsi="Arial"/>
                <w:sz w:val="16"/>
                <w:szCs w:val="16"/>
                <w:color w:val="auto"/>
              </w:rPr>
              <w:t>Bank’s negotiable certificates</w:t>
            </w:r>
          </w:p>
        </w:tc>
        <w:tc>
          <w:tcPr>
            <w:tcW w:w="3460" w:type="dxa"/>
            <w:vAlign w:val="bottom"/>
            <w:gridSpan w:val="3"/>
          </w:tcPr>
          <w:p>
            <w:pPr>
              <w:jc w:val="right"/>
              <w:ind w:right="180"/>
              <w:spacing w:after="0"/>
              <w:rPr>
                <w:sz w:val="20"/>
                <w:szCs w:val="20"/>
                <w:color w:val="auto"/>
              </w:rPr>
            </w:pPr>
            <w:r>
              <w:rPr>
                <w:rFonts w:ascii="Arial" w:cs="Arial" w:eastAsia="Arial" w:hAnsi="Arial"/>
                <w:sz w:val="16"/>
                <w:szCs w:val="16"/>
                <w:color w:val="auto"/>
              </w:rPr>
              <w:t>981,822</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1,101,347</w:t>
            </w:r>
          </w:p>
        </w:tc>
      </w:tr>
      <w:tr>
        <w:trPr>
          <w:trHeight w:val="156"/>
        </w:trPr>
        <w:tc>
          <w:tcPr>
            <w:tcW w:w="4500" w:type="dxa"/>
            <w:vAlign w:val="bottom"/>
          </w:tcPr>
          <w:p>
            <w:pPr>
              <w:spacing w:after="0" w:line="156" w:lineRule="exact"/>
              <w:rPr>
                <w:sz w:val="20"/>
                <w:szCs w:val="20"/>
                <w:color w:val="auto"/>
              </w:rPr>
            </w:pPr>
            <w:r>
              <w:rPr>
                <w:rFonts w:ascii="Arial" w:cs="Arial" w:eastAsia="Arial" w:hAnsi="Arial"/>
                <w:sz w:val="16"/>
                <w:szCs w:val="16"/>
                <w:b w:val="1"/>
                <w:bCs w:val="1"/>
                <w:color w:val="auto"/>
              </w:rPr>
              <w:t>Total</w:t>
            </w:r>
          </w:p>
        </w:tc>
        <w:tc>
          <w:tcPr>
            <w:tcW w:w="2380" w:type="dxa"/>
            <w:vAlign w:val="bottom"/>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w w:val="98"/>
              </w:rPr>
              <w:t>169,400,734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w w:val="96"/>
              </w:rPr>
              <w:t>160,562,582</w:t>
            </w:r>
          </w:p>
        </w:tc>
        <w:tc>
          <w:tcPr>
            <w:tcW w:w="20" w:type="dxa"/>
            <w:vAlign w:val="bottom"/>
            <w:tcBorders>
              <w:top w:val="single" w:sz="8" w:color="auto"/>
            </w:tcBorders>
          </w:tcPr>
          <w:p>
            <w:pPr>
              <w:spacing w:after="0"/>
              <w:rPr>
                <w:sz w:val="13"/>
                <w:szCs w:val="13"/>
                <w:color w:val="auto"/>
              </w:rPr>
            </w:pPr>
          </w:p>
        </w:tc>
      </w:tr>
      <w:tr>
        <w:trPr>
          <w:trHeight w:val="202"/>
        </w:trPr>
        <w:tc>
          <w:tcPr>
            <w:tcW w:w="4500" w:type="dxa"/>
            <w:vAlign w:val="bottom"/>
          </w:tcPr>
          <w:p>
            <w:pPr>
              <w:spacing w:after="0"/>
              <w:rPr>
                <w:sz w:val="20"/>
                <w:szCs w:val="20"/>
                <w:color w:val="auto"/>
              </w:rPr>
            </w:pPr>
            <w:r>
              <w:rPr>
                <w:rFonts w:ascii="Arial" w:cs="Arial" w:eastAsia="Arial" w:hAnsi="Arial"/>
                <w:sz w:val="16"/>
                <w:szCs w:val="16"/>
                <w:color w:val="auto"/>
              </w:rPr>
              <w:t>Interest payable</w:t>
            </w:r>
          </w:p>
        </w:tc>
        <w:tc>
          <w:tcPr>
            <w:tcW w:w="3460" w:type="dxa"/>
            <w:vAlign w:val="bottom"/>
            <w:gridSpan w:val="3"/>
          </w:tcPr>
          <w:p>
            <w:pPr>
              <w:jc w:val="right"/>
              <w:ind w:right="180"/>
              <w:spacing w:after="0"/>
              <w:rPr>
                <w:sz w:val="20"/>
                <w:szCs w:val="20"/>
                <w:color w:val="auto"/>
              </w:rPr>
            </w:pPr>
            <w:r>
              <w:rPr>
                <w:rFonts w:ascii="Arial" w:cs="Arial" w:eastAsia="Arial" w:hAnsi="Arial"/>
                <w:sz w:val="16"/>
                <w:szCs w:val="16"/>
                <w:color w:val="auto"/>
              </w:rPr>
              <w:t>1,000,899</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1,279,484</w:t>
            </w:r>
          </w:p>
        </w:tc>
      </w:tr>
      <w:tr>
        <w:trPr>
          <w:trHeight w:val="185"/>
        </w:trPr>
        <w:tc>
          <w:tcPr>
            <w:tcW w:w="450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23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8"/>
              </w:rPr>
              <w:t>170,401,633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6"/>
              </w:rPr>
              <w:t>161,842,066</w:t>
            </w:r>
          </w:p>
        </w:tc>
        <w:tc>
          <w:tcPr>
            <w:tcW w:w="20" w:type="dxa"/>
            <w:vAlign w:val="bottom"/>
            <w:tcBorders>
              <w:top w:val="single" w:sz="8" w:color="auto"/>
              <w:bottom w:val="single" w:sz="8" w:color="auto"/>
            </w:tcBorders>
          </w:tcPr>
          <w:p>
            <w:pPr>
              <w:spacing w:after="0"/>
              <w:rPr>
                <w:sz w:val="16"/>
                <w:szCs w:val="16"/>
                <w:color w:val="auto"/>
              </w:rPr>
            </w:pPr>
          </w:p>
        </w:tc>
      </w:tr>
    </w:tbl>
    <w:p>
      <w:pPr>
        <w:spacing w:after="0" w:line="164" w:lineRule="exact"/>
        <w:rPr>
          <w:sz w:val="20"/>
          <w:szCs w:val="20"/>
          <w:color w:val="auto"/>
        </w:rPr>
      </w:pPr>
    </w:p>
    <w:p>
      <w:pPr>
        <w:ind w:left="863" w:right="120"/>
        <w:spacing w:after="0" w:line="255" w:lineRule="auto"/>
        <w:rPr>
          <w:sz w:val="20"/>
          <w:szCs w:val="20"/>
          <w:color w:val="auto"/>
        </w:rPr>
      </w:pPr>
      <w:r>
        <w:rPr>
          <w:rFonts w:ascii="Arial" w:cs="Arial" w:eastAsia="Arial" w:hAnsi="Arial"/>
          <w:sz w:val="16"/>
          <w:szCs w:val="16"/>
          <w:color w:val="auto"/>
        </w:rPr>
        <w:t>The Group has established a policy to remunerate demand deposits and savings accounts according to a growing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137" w:lineRule="exact"/>
        <w:rPr>
          <w:sz w:val="20"/>
          <w:szCs w:val="20"/>
          <w:color w:val="auto"/>
        </w:rPr>
      </w:pPr>
    </w:p>
    <w:p>
      <w:pPr>
        <w:ind w:left="863"/>
        <w:spacing w:after="0" w:line="274" w:lineRule="auto"/>
        <w:rPr>
          <w:sz w:val="20"/>
          <w:szCs w:val="20"/>
          <w:color w:val="auto"/>
        </w:rPr>
      </w:pPr>
      <w:r>
        <w:rPr>
          <w:rFonts w:ascii="Arial" w:cs="Arial" w:eastAsia="Arial" w:hAnsi="Arial"/>
          <w:sz w:val="16"/>
          <w:szCs w:val="16"/>
          <w:color w:val="auto"/>
        </w:rPr>
        <w:t>Interest rates are determined by the Group considering the interest rates prevailing in the market in which each of the Group’s subsidiaries operates.</w:t>
      </w:r>
    </w:p>
    <w:p>
      <w:pPr>
        <w:spacing w:after="0" w:line="123" w:lineRule="exact"/>
        <w:rPr>
          <w:sz w:val="20"/>
          <w:szCs w:val="20"/>
          <w:color w:val="auto"/>
        </w:rPr>
      </w:pPr>
    </w:p>
    <w:p>
      <w:pPr>
        <w:jc w:val="center"/>
        <w:ind w:right="17"/>
        <w:spacing w:after="0"/>
        <w:tabs>
          <w:tab w:leader="none" w:pos="120" w:val="left"/>
        </w:tabs>
        <w:rPr>
          <w:sz w:val="20"/>
          <w:szCs w:val="20"/>
          <w:color w:val="auto"/>
        </w:rPr>
      </w:pPr>
      <w:r>
        <w:rPr>
          <w:rFonts w:ascii="Arial" w:cs="Arial" w:eastAsia="Arial" w:hAnsi="Arial"/>
          <w:sz w:val="16"/>
          <w:szCs w:val="16"/>
          <w:color w:val="auto"/>
        </w:rPr>
        <w:t>b)</w:t>
        <w:tab/>
        <w:t>The amounts of non-interest-bearing and interest-bearing deposits and obligations without consider accrued interest are presented below:</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4700" w:type="dxa"/>
            <w:vAlign w:val="bottom"/>
            <w:gridSpan w:val="2"/>
          </w:tcPr>
          <w:p>
            <w:pPr>
              <w:ind w:left="380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4"/>
        </w:trPr>
        <w:tc>
          <w:tcPr>
            <w:tcW w:w="40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480" w:type="dxa"/>
            <w:vAlign w:val="bottom"/>
            <w:gridSpan w:val="2"/>
          </w:tcPr>
          <w:p>
            <w:pPr>
              <w:spacing w:after="0"/>
              <w:rPr>
                <w:sz w:val="18"/>
                <w:szCs w:val="18"/>
                <w:color w:val="auto"/>
              </w:rPr>
            </w:pPr>
          </w:p>
        </w:tc>
      </w:tr>
      <w:tr>
        <w:trPr>
          <w:trHeight w:val="305"/>
        </w:trPr>
        <w:tc>
          <w:tcPr>
            <w:tcW w:w="4000" w:type="dxa"/>
            <w:vAlign w:val="bottom"/>
          </w:tcPr>
          <w:p>
            <w:pPr>
              <w:ind w:left="920"/>
              <w:spacing w:after="0"/>
              <w:rPr>
                <w:sz w:val="20"/>
                <w:szCs w:val="20"/>
                <w:color w:val="auto"/>
              </w:rPr>
            </w:pPr>
            <w:r>
              <w:rPr>
                <w:rFonts w:ascii="Arial" w:cs="Arial" w:eastAsia="Arial" w:hAnsi="Arial"/>
                <w:sz w:val="16"/>
                <w:szCs w:val="16"/>
                <w:b w:val="1"/>
                <w:bCs w:val="1"/>
                <w:color w:val="auto"/>
              </w:rPr>
              <w:t>Non-interest-bearing -</w:t>
            </w:r>
          </w:p>
        </w:tc>
        <w:tc>
          <w:tcPr>
            <w:tcW w:w="3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1"/>
        </w:trPr>
        <w:tc>
          <w:tcPr>
            <w:tcW w:w="4000" w:type="dxa"/>
            <w:vAlign w:val="bottom"/>
          </w:tcPr>
          <w:p>
            <w:pPr>
              <w:ind w:left="1040"/>
              <w:spacing w:after="0" w:line="181" w:lineRule="exact"/>
              <w:rPr>
                <w:sz w:val="20"/>
                <w:szCs w:val="20"/>
                <w:color w:val="auto"/>
              </w:rPr>
            </w:pPr>
            <w:r>
              <w:rPr>
                <w:rFonts w:ascii="Arial" w:cs="Arial" w:eastAsia="Arial" w:hAnsi="Arial"/>
                <w:sz w:val="16"/>
                <w:szCs w:val="16"/>
                <w:color w:val="auto"/>
              </w:rPr>
              <w:t>In Peru</w:t>
            </w:r>
          </w:p>
        </w:tc>
        <w:tc>
          <w:tcPr>
            <w:tcW w:w="48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46,864,322</w:t>
            </w:r>
          </w:p>
        </w:tc>
        <w:tc>
          <w:tcPr>
            <w:tcW w:w="9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42,057,905</w:t>
            </w:r>
          </w:p>
        </w:tc>
        <w:tc>
          <w:tcPr>
            <w:tcW w:w="1460" w:type="dxa"/>
            <w:vAlign w:val="bottom"/>
          </w:tcPr>
          <w:p>
            <w:pPr>
              <w:spacing w:after="0"/>
              <w:rPr>
                <w:sz w:val="15"/>
                <w:szCs w:val="15"/>
                <w:color w:val="auto"/>
              </w:rPr>
            </w:pPr>
          </w:p>
        </w:tc>
      </w:tr>
      <w:tr>
        <w:trPr>
          <w:trHeight w:val="210"/>
        </w:trPr>
        <w:tc>
          <w:tcPr>
            <w:tcW w:w="4000" w:type="dxa"/>
            <w:vAlign w:val="bottom"/>
          </w:tcPr>
          <w:p>
            <w:pPr>
              <w:ind w:left="1040"/>
              <w:spacing w:after="0"/>
              <w:rPr>
                <w:sz w:val="20"/>
                <w:szCs w:val="20"/>
                <w:color w:val="auto"/>
              </w:rPr>
            </w:pPr>
            <w:r>
              <w:rPr>
                <w:rFonts w:ascii="Arial" w:cs="Arial" w:eastAsia="Arial" w:hAnsi="Arial"/>
                <w:sz w:val="16"/>
                <w:szCs w:val="16"/>
                <w:color w:val="auto"/>
              </w:rPr>
              <w:t>In other countries</w:t>
            </w:r>
          </w:p>
        </w:tc>
        <w:tc>
          <w:tcPr>
            <w:tcW w:w="4880" w:type="dxa"/>
            <w:vAlign w:val="bottom"/>
            <w:gridSpan w:val="3"/>
          </w:tcPr>
          <w:p>
            <w:pPr>
              <w:jc w:val="right"/>
              <w:ind w:right="180"/>
              <w:spacing w:after="0"/>
              <w:rPr>
                <w:sz w:val="20"/>
                <w:szCs w:val="20"/>
                <w:color w:val="auto"/>
              </w:rPr>
            </w:pPr>
            <w:r>
              <w:rPr>
                <w:rFonts w:ascii="Arial" w:cs="Arial" w:eastAsia="Arial" w:hAnsi="Arial"/>
                <w:sz w:val="16"/>
                <w:szCs w:val="16"/>
                <w:color w:val="auto"/>
              </w:rPr>
              <w:t>5,352,964</w:t>
            </w:r>
          </w:p>
        </w:tc>
        <w:tc>
          <w:tcPr>
            <w:tcW w:w="2380" w:type="dxa"/>
            <w:vAlign w:val="bottom"/>
            <w:gridSpan w:val="4"/>
          </w:tcPr>
          <w:p>
            <w:pPr>
              <w:jc w:val="right"/>
              <w:ind w:right="1480"/>
              <w:spacing w:after="0"/>
              <w:rPr>
                <w:sz w:val="20"/>
                <w:szCs w:val="20"/>
                <w:color w:val="auto"/>
              </w:rPr>
            </w:pPr>
            <w:r>
              <w:rPr>
                <w:rFonts w:ascii="Arial" w:cs="Arial" w:eastAsia="Arial" w:hAnsi="Arial"/>
                <w:sz w:val="16"/>
                <w:szCs w:val="16"/>
                <w:color w:val="auto"/>
              </w:rPr>
              <w:t>5,102,286</w:t>
            </w:r>
          </w:p>
        </w:tc>
      </w:tr>
      <w:tr>
        <w:trPr>
          <w:trHeight w:val="173"/>
        </w:trPr>
        <w:tc>
          <w:tcPr>
            <w:tcW w:w="40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9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52,217,286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47,160,191</w:t>
            </w:r>
          </w:p>
        </w:tc>
        <w:tc>
          <w:tcPr>
            <w:tcW w:w="1460" w:type="dxa"/>
            <w:vAlign w:val="bottom"/>
          </w:tcPr>
          <w:p>
            <w:pPr>
              <w:spacing w:after="0"/>
              <w:rPr>
                <w:sz w:val="15"/>
                <w:szCs w:val="15"/>
                <w:color w:val="auto"/>
              </w:rPr>
            </w:pPr>
          </w:p>
        </w:tc>
      </w:tr>
      <w:tr>
        <w:trPr>
          <w:trHeight w:val="337"/>
        </w:trPr>
        <w:tc>
          <w:tcPr>
            <w:tcW w:w="4000" w:type="dxa"/>
            <w:vAlign w:val="bottom"/>
          </w:tcPr>
          <w:p>
            <w:pPr>
              <w:ind w:left="920"/>
              <w:spacing w:after="0"/>
              <w:rPr>
                <w:sz w:val="20"/>
                <w:szCs w:val="20"/>
                <w:color w:val="auto"/>
              </w:rPr>
            </w:pPr>
            <w:r>
              <w:rPr>
                <w:rFonts w:ascii="Arial" w:cs="Arial" w:eastAsia="Arial" w:hAnsi="Arial"/>
                <w:sz w:val="16"/>
                <w:szCs w:val="16"/>
                <w:b w:val="1"/>
                <w:bCs w:val="1"/>
                <w:color w:val="auto"/>
              </w:rPr>
              <w:t>Interest-bearing -</w:t>
            </w:r>
          </w:p>
        </w:tc>
        <w:tc>
          <w:tcPr>
            <w:tcW w:w="38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1"/>
        </w:trPr>
        <w:tc>
          <w:tcPr>
            <w:tcW w:w="4000" w:type="dxa"/>
            <w:vAlign w:val="bottom"/>
          </w:tcPr>
          <w:p>
            <w:pPr>
              <w:ind w:left="1040"/>
              <w:spacing w:after="0" w:line="181" w:lineRule="exact"/>
              <w:rPr>
                <w:sz w:val="20"/>
                <w:szCs w:val="20"/>
                <w:color w:val="auto"/>
              </w:rPr>
            </w:pPr>
            <w:r>
              <w:rPr>
                <w:rFonts w:ascii="Arial" w:cs="Arial" w:eastAsia="Arial" w:hAnsi="Arial"/>
                <w:sz w:val="16"/>
                <w:szCs w:val="16"/>
                <w:color w:val="auto"/>
              </w:rPr>
              <w:t>In Peru</w:t>
            </w:r>
          </w:p>
        </w:tc>
        <w:tc>
          <w:tcPr>
            <w:tcW w:w="48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110,071,732</w:t>
            </w:r>
          </w:p>
        </w:tc>
        <w:tc>
          <w:tcPr>
            <w:tcW w:w="9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w w:val="98"/>
              </w:rPr>
              <w:t>104,085,586</w:t>
            </w:r>
          </w:p>
        </w:tc>
        <w:tc>
          <w:tcPr>
            <w:tcW w:w="1460" w:type="dxa"/>
            <w:vAlign w:val="bottom"/>
          </w:tcPr>
          <w:p>
            <w:pPr>
              <w:spacing w:after="0"/>
              <w:rPr>
                <w:sz w:val="15"/>
                <w:szCs w:val="15"/>
                <w:color w:val="auto"/>
              </w:rPr>
            </w:pPr>
          </w:p>
        </w:tc>
      </w:tr>
      <w:tr>
        <w:trPr>
          <w:trHeight w:val="210"/>
        </w:trPr>
        <w:tc>
          <w:tcPr>
            <w:tcW w:w="4000" w:type="dxa"/>
            <w:vAlign w:val="bottom"/>
          </w:tcPr>
          <w:p>
            <w:pPr>
              <w:ind w:left="1040"/>
              <w:spacing w:after="0"/>
              <w:rPr>
                <w:sz w:val="20"/>
                <w:szCs w:val="20"/>
                <w:color w:val="auto"/>
              </w:rPr>
            </w:pPr>
            <w:r>
              <w:rPr>
                <w:rFonts w:ascii="Arial" w:cs="Arial" w:eastAsia="Arial" w:hAnsi="Arial"/>
                <w:sz w:val="16"/>
                <w:szCs w:val="16"/>
                <w:color w:val="auto"/>
              </w:rPr>
              <w:t>In other countries</w:t>
            </w:r>
          </w:p>
        </w:tc>
        <w:tc>
          <w:tcPr>
            <w:tcW w:w="4880" w:type="dxa"/>
            <w:vAlign w:val="bottom"/>
            <w:gridSpan w:val="3"/>
          </w:tcPr>
          <w:p>
            <w:pPr>
              <w:jc w:val="right"/>
              <w:ind w:right="180"/>
              <w:spacing w:after="0"/>
              <w:rPr>
                <w:sz w:val="20"/>
                <w:szCs w:val="20"/>
                <w:color w:val="auto"/>
              </w:rPr>
            </w:pPr>
            <w:r>
              <w:rPr>
                <w:rFonts w:ascii="Arial" w:cs="Arial" w:eastAsia="Arial" w:hAnsi="Arial"/>
                <w:sz w:val="16"/>
                <w:szCs w:val="16"/>
                <w:color w:val="auto"/>
              </w:rPr>
              <w:t>7,111,716</w:t>
            </w:r>
          </w:p>
        </w:tc>
        <w:tc>
          <w:tcPr>
            <w:tcW w:w="2380" w:type="dxa"/>
            <w:vAlign w:val="bottom"/>
            <w:gridSpan w:val="4"/>
          </w:tcPr>
          <w:p>
            <w:pPr>
              <w:jc w:val="right"/>
              <w:ind w:right="1480"/>
              <w:spacing w:after="0"/>
              <w:rPr>
                <w:sz w:val="20"/>
                <w:szCs w:val="20"/>
                <w:color w:val="auto"/>
              </w:rPr>
            </w:pPr>
            <w:r>
              <w:rPr>
                <w:rFonts w:ascii="Arial" w:cs="Arial" w:eastAsia="Arial" w:hAnsi="Arial"/>
                <w:sz w:val="16"/>
                <w:szCs w:val="16"/>
                <w:color w:val="auto"/>
              </w:rPr>
              <w:t>9,316,805</w:t>
            </w:r>
          </w:p>
        </w:tc>
      </w:tr>
      <w:tr>
        <w:trPr>
          <w:trHeight w:val="173"/>
        </w:trPr>
        <w:tc>
          <w:tcPr>
            <w:tcW w:w="40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w w:val="98"/>
              </w:rPr>
              <w:t>117,183,448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w w:val="96"/>
              </w:rPr>
              <w:t>113,402,391</w:t>
            </w:r>
          </w:p>
        </w:tc>
        <w:tc>
          <w:tcPr>
            <w:tcW w:w="1460" w:type="dxa"/>
            <w:vAlign w:val="bottom"/>
          </w:tcPr>
          <w:p>
            <w:pPr>
              <w:spacing w:after="0"/>
              <w:rPr>
                <w:sz w:val="15"/>
                <w:szCs w:val="15"/>
                <w:color w:val="auto"/>
              </w:rPr>
            </w:pPr>
          </w:p>
        </w:tc>
      </w:tr>
      <w:tr>
        <w:trPr>
          <w:trHeight w:val="370"/>
        </w:trPr>
        <w:tc>
          <w:tcPr>
            <w:tcW w:w="4000" w:type="dxa"/>
            <w:vAlign w:val="bottom"/>
          </w:tcPr>
          <w:p>
            <w:pPr>
              <w:ind w:left="920"/>
              <w:spacing w:after="0"/>
              <w:rPr>
                <w:sz w:val="20"/>
                <w:szCs w:val="20"/>
                <w:color w:val="auto"/>
              </w:rPr>
            </w:pPr>
            <w:r>
              <w:rPr>
                <w:rFonts w:ascii="Arial" w:cs="Arial" w:eastAsia="Arial" w:hAnsi="Arial"/>
                <w:sz w:val="16"/>
                <w:szCs w:val="16"/>
                <w:b w:val="1"/>
                <w:bCs w:val="1"/>
                <w:color w:val="auto"/>
              </w:rPr>
              <w:t>Total</w:t>
            </w:r>
          </w:p>
        </w:tc>
        <w:tc>
          <w:tcPr>
            <w:tcW w:w="4880" w:type="dxa"/>
            <w:vAlign w:val="bottom"/>
            <w:gridSpan w:val="3"/>
          </w:tcPr>
          <w:p>
            <w:pPr>
              <w:jc w:val="right"/>
              <w:ind w:right="180"/>
              <w:spacing w:after="0"/>
              <w:rPr>
                <w:sz w:val="20"/>
                <w:szCs w:val="20"/>
                <w:color w:val="auto"/>
              </w:rPr>
            </w:pPr>
            <w:r>
              <w:rPr>
                <w:rFonts w:ascii="Arial" w:cs="Arial" w:eastAsia="Arial" w:hAnsi="Arial"/>
                <w:sz w:val="16"/>
                <w:szCs w:val="16"/>
                <w:color w:val="auto"/>
              </w:rPr>
              <w:t>169,400,734</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160,562,582</w:t>
            </w:r>
          </w:p>
        </w:tc>
        <w:tc>
          <w:tcPr>
            <w:tcW w:w="1460" w:type="dxa"/>
            <w:vAlign w:val="bottom"/>
          </w:tcPr>
          <w:p>
            <w:pPr>
              <w:spacing w:after="0"/>
              <w:rPr>
                <w:sz w:val="24"/>
                <w:szCs w:val="24"/>
                <w:color w:val="auto"/>
              </w:rPr>
            </w:pPr>
          </w:p>
        </w:tc>
      </w:tr>
      <w:tr>
        <w:trPr>
          <w:trHeight w:val="547"/>
        </w:trPr>
        <w:tc>
          <w:tcPr>
            <w:tcW w:w="4000" w:type="dxa"/>
            <w:vAlign w:val="bottom"/>
          </w:tcPr>
          <w:p>
            <w:pPr>
              <w:spacing w:after="0"/>
              <w:rPr>
                <w:sz w:val="24"/>
                <w:szCs w:val="24"/>
                <w:color w:val="auto"/>
              </w:rPr>
            </w:pPr>
          </w:p>
        </w:tc>
        <w:tc>
          <w:tcPr>
            <w:tcW w:w="3800" w:type="dxa"/>
            <w:vAlign w:val="bottom"/>
          </w:tcPr>
          <w:p>
            <w:pPr>
              <w:jc w:val="right"/>
              <w:ind w:right="1920"/>
              <w:spacing w:after="0"/>
              <w:rPr>
                <w:sz w:val="20"/>
                <w:szCs w:val="20"/>
                <w:color w:val="auto"/>
              </w:rPr>
            </w:pPr>
            <w:r>
              <w:rPr>
                <w:rFonts w:ascii="Arial" w:cs="Arial" w:eastAsia="Arial" w:hAnsi="Arial"/>
                <w:sz w:val="16"/>
                <w:szCs w:val="16"/>
                <w:color w:val="auto"/>
              </w:rPr>
              <w:t>- 94 -</w:t>
            </w: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
        </w:trPr>
        <w:tc>
          <w:tcPr>
            <w:tcW w:w="400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316" w:right="31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20" w:type="dxa"/>
            <w:vAlign w:val="bottom"/>
          </w:tcPr>
          <w:p>
            <w:pPr>
              <w:spacing w:after="0"/>
              <w:rPr>
                <w:sz w:val="20"/>
                <w:szCs w:val="20"/>
                <w:color w:val="auto"/>
              </w:rPr>
            </w:pPr>
            <w:r>
              <w:rPr>
                <w:rFonts w:ascii="Arial" w:cs="Arial" w:eastAsia="Arial" w:hAnsi="Arial"/>
                <w:sz w:val="16"/>
                <w:szCs w:val="16"/>
                <w:color w:val="auto"/>
              </w:rPr>
              <w:t>c)  The balance of time deposits classified by maturity is as follows: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8"/>
        </w:trPr>
        <w:tc>
          <w:tcPr>
            <w:tcW w:w="6020" w:type="dxa"/>
            <w:vAlign w:val="bottom"/>
          </w:tcPr>
          <w:p>
            <w:pPr>
              <w:spacing w:after="0"/>
              <w:rPr>
                <w:sz w:val="24"/>
                <w:szCs w:val="24"/>
                <w:color w:val="auto"/>
              </w:rPr>
            </w:pPr>
          </w:p>
        </w:tc>
        <w:tc>
          <w:tcPr>
            <w:tcW w:w="2100" w:type="dxa"/>
            <w:vAlign w:val="bottom"/>
            <w:gridSpan w:val="2"/>
          </w:tcPr>
          <w:p>
            <w:pPr>
              <w:ind w:left="120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r>
      <w:tr>
        <w:trPr>
          <w:trHeight w:val="214"/>
        </w:trPr>
        <w:tc>
          <w:tcPr>
            <w:tcW w:w="6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6020" w:type="dxa"/>
            <w:vAlign w:val="bottom"/>
          </w:tcPr>
          <w:p>
            <w:pPr>
              <w:ind w:left="340"/>
              <w:spacing w:after="0"/>
              <w:rPr>
                <w:sz w:val="20"/>
                <w:szCs w:val="20"/>
                <w:color w:val="auto"/>
              </w:rPr>
            </w:pPr>
            <w:r>
              <w:rPr>
                <w:rFonts w:ascii="Arial" w:cs="Arial" w:eastAsia="Arial" w:hAnsi="Arial"/>
                <w:sz w:val="16"/>
                <w:szCs w:val="16"/>
                <w:color w:val="auto"/>
              </w:rPr>
              <w:t>Up to 3 months</w:t>
            </w:r>
          </w:p>
        </w:tc>
        <w:tc>
          <w:tcPr>
            <w:tcW w:w="2280" w:type="dxa"/>
            <w:vAlign w:val="bottom"/>
            <w:gridSpan w:val="3"/>
          </w:tcPr>
          <w:p>
            <w:pPr>
              <w:jc w:val="right"/>
              <w:ind w:right="180"/>
              <w:spacing w:after="0"/>
              <w:rPr>
                <w:sz w:val="20"/>
                <w:szCs w:val="20"/>
                <w:color w:val="auto"/>
              </w:rPr>
            </w:pPr>
            <w:r>
              <w:rPr>
                <w:rFonts w:ascii="Arial" w:cs="Arial" w:eastAsia="Arial" w:hAnsi="Arial"/>
                <w:sz w:val="16"/>
                <w:szCs w:val="16"/>
                <w:color w:val="auto"/>
              </w:rPr>
              <w:t>27,618,567</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27,772,950</w:t>
            </w:r>
          </w:p>
        </w:tc>
      </w:tr>
      <w:tr>
        <w:trPr>
          <w:trHeight w:val="181"/>
        </w:trPr>
        <w:tc>
          <w:tcPr>
            <w:tcW w:w="6020" w:type="dxa"/>
            <w:vAlign w:val="bottom"/>
          </w:tcPr>
          <w:p>
            <w:pPr>
              <w:ind w:left="340"/>
              <w:spacing w:after="0" w:line="181" w:lineRule="exact"/>
              <w:rPr>
                <w:sz w:val="20"/>
                <w:szCs w:val="20"/>
                <w:color w:val="auto"/>
              </w:rPr>
            </w:pPr>
            <w:r>
              <w:rPr>
                <w:rFonts w:ascii="Arial" w:cs="Arial" w:eastAsia="Arial" w:hAnsi="Arial"/>
                <w:sz w:val="16"/>
                <w:szCs w:val="16"/>
                <w:color w:val="auto"/>
              </w:rPr>
              <w:t>From 3 months to 1 year</w:t>
            </w:r>
          </w:p>
        </w:tc>
        <w:tc>
          <w:tcPr>
            <w:tcW w:w="22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8,525,964</w:t>
            </w:r>
          </w:p>
        </w:tc>
        <w:tc>
          <w:tcPr>
            <w:tcW w:w="9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10,886,485</w:t>
            </w:r>
          </w:p>
        </w:tc>
      </w:tr>
      <w:tr>
        <w:trPr>
          <w:trHeight w:val="181"/>
        </w:trPr>
        <w:tc>
          <w:tcPr>
            <w:tcW w:w="6020" w:type="dxa"/>
            <w:vAlign w:val="bottom"/>
          </w:tcPr>
          <w:p>
            <w:pPr>
              <w:ind w:left="340"/>
              <w:spacing w:after="0" w:line="181" w:lineRule="exact"/>
              <w:rPr>
                <w:sz w:val="20"/>
                <w:szCs w:val="20"/>
                <w:color w:val="auto"/>
              </w:rPr>
            </w:pPr>
            <w:r>
              <w:rPr>
                <w:rFonts w:ascii="Arial" w:cs="Arial" w:eastAsia="Arial" w:hAnsi="Arial"/>
                <w:sz w:val="16"/>
                <w:szCs w:val="16"/>
                <w:color w:val="auto"/>
              </w:rPr>
              <w:t>From 1 to 3 years</w:t>
            </w:r>
          </w:p>
        </w:tc>
        <w:tc>
          <w:tcPr>
            <w:tcW w:w="22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1,398,094</w:t>
            </w:r>
          </w:p>
        </w:tc>
        <w:tc>
          <w:tcPr>
            <w:tcW w:w="9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1,754,547</w:t>
            </w:r>
          </w:p>
        </w:tc>
      </w:tr>
      <w:tr>
        <w:trPr>
          <w:trHeight w:val="181"/>
        </w:trPr>
        <w:tc>
          <w:tcPr>
            <w:tcW w:w="6020" w:type="dxa"/>
            <w:vAlign w:val="bottom"/>
          </w:tcPr>
          <w:p>
            <w:pPr>
              <w:ind w:left="340"/>
              <w:spacing w:after="0" w:line="181" w:lineRule="exact"/>
              <w:rPr>
                <w:sz w:val="20"/>
                <w:szCs w:val="20"/>
                <w:color w:val="auto"/>
              </w:rPr>
            </w:pPr>
            <w:r>
              <w:rPr>
                <w:rFonts w:ascii="Arial" w:cs="Arial" w:eastAsia="Arial" w:hAnsi="Arial"/>
                <w:sz w:val="16"/>
                <w:szCs w:val="16"/>
                <w:color w:val="auto"/>
              </w:rPr>
              <w:t>From 3 to 5 years</w:t>
            </w:r>
          </w:p>
        </w:tc>
        <w:tc>
          <w:tcPr>
            <w:tcW w:w="22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590,673</w:t>
            </w:r>
          </w:p>
        </w:tc>
        <w:tc>
          <w:tcPr>
            <w:tcW w:w="9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478,235</w:t>
            </w:r>
          </w:p>
        </w:tc>
      </w:tr>
      <w:tr>
        <w:trPr>
          <w:trHeight w:val="202"/>
        </w:trPr>
        <w:tc>
          <w:tcPr>
            <w:tcW w:w="6020" w:type="dxa"/>
            <w:vAlign w:val="bottom"/>
          </w:tcPr>
          <w:p>
            <w:pPr>
              <w:ind w:left="340"/>
              <w:spacing w:after="0"/>
              <w:rPr>
                <w:sz w:val="20"/>
                <w:szCs w:val="20"/>
                <w:color w:val="auto"/>
              </w:rPr>
            </w:pPr>
            <w:r>
              <w:rPr>
                <w:rFonts w:ascii="Arial" w:cs="Arial" w:eastAsia="Arial" w:hAnsi="Arial"/>
                <w:sz w:val="16"/>
                <w:szCs w:val="16"/>
                <w:color w:val="auto"/>
              </w:rPr>
              <w:t>More than 5 years</w:t>
            </w:r>
          </w:p>
        </w:tc>
        <w:tc>
          <w:tcPr>
            <w:tcW w:w="2280" w:type="dxa"/>
            <w:vAlign w:val="bottom"/>
            <w:gridSpan w:val="3"/>
          </w:tcPr>
          <w:p>
            <w:pPr>
              <w:jc w:val="right"/>
              <w:ind w:right="180"/>
              <w:spacing w:after="0"/>
              <w:rPr>
                <w:sz w:val="20"/>
                <w:szCs w:val="20"/>
                <w:color w:val="auto"/>
              </w:rPr>
            </w:pPr>
            <w:r>
              <w:rPr>
                <w:rFonts w:ascii="Arial" w:cs="Arial" w:eastAsia="Arial" w:hAnsi="Arial"/>
                <w:sz w:val="16"/>
                <w:szCs w:val="16"/>
                <w:color w:val="auto"/>
              </w:rPr>
              <w:t>2,229,135</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3,224,221</w:t>
            </w:r>
          </w:p>
        </w:tc>
      </w:tr>
      <w:tr>
        <w:trPr>
          <w:trHeight w:val="185"/>
        </w:trPr>
        <w:tc>
          <w:tcPr>
            <w:tcW w:w="6020" w:type="dxa"/>
            <w:vAlign w:val="bottom"/>
          </w:tcPr>
          <w:p>
            <w:pPr>
              <w:ind w:left="340"/>
              <w:spacing w:after="0" w:line="181" w:lineRule="exact"/>
              <w:rPr>
                <w:sz w:val="20"/>
                <w:szCs w:val="20"/>
                <w:color w:val="auto"/>
              </w:rPr>
            </w:pPr>
            <w:r>
              <w:rPr>
                <w:rFonts w:ascii="Arial" w:cs="Arial" w:eastAsia="Arial" w:hAnsi="Arial"/>
                <w:sz w:val="16"/>
                <w:szCs w:val="16"/>
                <w:b w:val="1"/>
                <w:bCs w:val="1"/>
                <w:color w:val="auto"/>
              </w:rPr>
              <w:t>Total</w:t>
            </w:r>
          </w:p>
        </w:tc>
        <w:tc>
          <w:tcPr>
            <w:tcW w:w="12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40,362,433</w:t>
            </w:r>
          </w:p>
        </w:tc>
        <w:tc>
          <w:tcPr>
            <w:tcW w:w="180" w:type="dxa"/>
            <w:vAlign w:val="bottom"/>
          </w:tcPr>
          <w:p>
            <w:pPr>
              <w:spacing w:after="0"/>
              <w:rPr>
                <w:sz w:val="16"/>
                <w:szCs w:val="16"/>
                <w:color w:val="auto"/>
              </w:rPr>
            </w:pPr>
          </w:p>
        </w:tc>
        <w:tc>
          <w:tcPr>
            <w:tcW w:w="92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44,116,438</w:t>
            </w:r>
          </w:p>
        </w:tc>
      </w:tr>
    </w:tbl>
    <w:p>
      <w:pPr>
        <w:spacing w:after="0" w:line="164" w:lineRule="exact"/>
        <w:rPr>
          <w:sz w:val="20"/>
          <w:szCs w:val="20"/>
          <w:color w:val="auto"/>
        </w:rPr>
      </w:pPr>
    </w:p>
    <w:p>
      <w:pPr>
        <w:ind w:left="280" w:right="340"/>
        <w:spacing w:after="0" w:line="274" w:lineRule="auto"/>
        <w:rPr>
          <w:sz w:val="20"/>
          <w:szCs w:val="20"/>
          <w:color w:val="auto"/>
        </w:rPr>
      </w:pPr>
      <w:r>
        <w:rPr>
          <w:rFonts w:ascii="Arial" w:cs="Arial" w:eastAsia="Arial" w:hAnsi="Arial"/>
          <w:sz w:val="16"/>
          <w:szCs w:val="16"/>
          <w:color w:val="auto"/>
        </w:rPr>
        <w:t>In Management’s opinion the Group’s deposits and obligations are diversified with no significant concentration as of December 31, 2025 and 2024.</w:t>
      </w:r>
    </w:p>
    <w:p>
      <w:pPr>
        <w:spacing w:after="0" w:line="123" w:lineRule="exact"/>
        <w:rPr>
          <w:sz w:val="20"/>
          <w:szCs w:val="20"/>
          <w:color w:val="auto"/>
        </w:rPr>
      </w:pPr>
    </w:p>
    <w:p>
      <w:pPr>
        <w:ind w:left="280" w:right="160"/>
        <w:spacing w:after="0" w:line="255" w:lineRule="auto"/>
        <w:rPr>
          <w:sz w:val="20"/>
          <w:szCs w:val="20"/>
          <w:color w:val="auto"/>
        </w:rPr>
      </w:pPr>
      <w:r>
        <w:rPr>
          <w:rFonts w:ascii="Arial" w:cs="Arial" w:eastAsia="Arial" w:hAnsi="Arial"/>
          <w:sz w:val="16"/>
          <w:szCs w:val="16"/>
          <w:color w:val="auto"/>
        </w:rPr>
        <w:t>As of December 31, 2025 and 2024, the balance of deposits and obligations, guaranteed by the Peruvian “Fondo de Seguro de Depositos” (Deposit Insurance Fund) amounts to approximately S/68,559.0 million and S/59,414.0 million, respectively. At said dates, maximum amount of coverage per depositor recognized by “Fondo de Seguro de Depositos” totaled S/116,700.0 and S/121,600.0, respectively.</w:t>
      </w:r>
    </w:p>
    <w:p>
      <w:pPr>
        <w:spacing w:after="0" w:line="137"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auto"/>
        </w:rPr>
        <w:t>As of December 31, 2025 and 2024, the balance of deposits and obligations of Banco de Crédito Bolivia guaranteed by the “Fondo de Protección al Ahorrista” (FPAH, for its Spanish acronym) of Bolivia, amounts to Bs1,684.5 million (equivalent to S/673.3 million) and Bs1,385.6 million (equivalent to S/760.4 million), respectively. At said dates, maximum amount of coverage per depositor recognized by “FPAH” totaled Bs155,530.3 and Bs102,593.9 (equivalent to S/62,163.8 and S/56,300.4, respectively).</w:t>
      </w:r>
    </w:p>
    <w:p>
      <w:pPr>
        <w:spacing w:after="0" w:line="144" w:lineRule="exact"/>
        <w:rPr>
          <w:sz w:val="20"/>
          <w:szCs w:val="20"/>
          <w:color w:val="auto"/>
        </w:rPr>
      </w:pPr>
    </w:p>
    <w:p>
      <w:pPr>
        <w:ind w:left="280" w:right="40"/>
        <w:spacing w:after="0" w:line="248" w:lineRule="auto"/>
        <w:rPr>
          <w:sz w:val="20"/>
          <w:szCs w:val="20"/>
          <w:color w:val="auto"/>
        </w:rPr>
      </w:pPr>
      <w:r>
        <w:rPr>
          <w:rFonts w:ascii="Arial" w:cs="Arial" w:eastAsia="Arial" w:hAnsi="Arial"/>
          <w:sz w:val="16"/>
          <w:szCs w:val="16"/>
          <w:color w:val="auto"/>
        </w:rPr>
        <w:t>As of December 31, 2025 and 2024, the balance of deposits and obligations of Mibanco Colombia guaranteed by the “Fondo de Garantía de las Instituciones Financieras” (FOGAFIN, for its Spanish acronym) of Colombia, amounts to $ 62,852.3 million colombian pesos (equivalent to S/56.0 million) and $59,612.9 million colombian pesos (equivalent to S/50.9 million), respectively. At said dates, maximum amount of coverage per depositor recognized by “Fogafín” totaled $50.0 million colombian pesos (equivalent to S/44,550.0 and S/42,700.0, respectively).</w:t>
      </w:r>
    </w:p>
    <w:p>
      <w:pPr>
        <w:spacing w:after="0" w:line="31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00"/>
          </w:cols>
          <w:pgMar w:left="900" w:top="316" w:right="3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2"/>
        </w:trPr>
        <w:tc>
          <w:tcPr>
            <w:tcW w:w="38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14</w:t>
            </w:r>
          </w:p>
        </w:tc>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DUE TO BANKS AND CORRESPONDENTS</w:t>
            </w:r>
          </w:p>
        </w:tc>
        <w:tc>
          <w:tcPr>
            <w:tcW w:w="3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380" w:type="dxa"/>
            <w:vAlign w:val="bottom"/>
          </w:tcPr>
          <w:p>
            <w:pPr>
              <w:spacing w:after="0"/>
              <w:rPr>
                <w:sz w:val="24"/>
                <w:szCs w:val="24"/>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a)  This item consists of the following:</w:t>
            </w:r>
          </w:p>
        </w:tc>
        <w:tc>
          <w:tcPr>
            <w:tcW w:w="3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0" w:type="dxa"/>
            <w:vAlign w:val="bottom"/>
            <w:gridSpan w:val="2"/>
          </w:tcPr>
          <w:p>
            <w:pPr>
              <w:ind w:left="380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80" w:type="dxa"/>
            <w:vAlign w:val="bottom"/>
          </w:tcPr>
          <w:p>
            <w:pPr>
              <w:spacing w:after="0"/>
              <w:rPr>
                <w:sz w:val="24"/>
                <w:szCs w:val="24"/>
                <w:color w:val="auto"/>
              </w:rPr>
            </w:pPr>
          </w:p>
        </w:tc>
        <w:tc>
          <w:tcPr>
            <w:tcW w:w="4500" w:type="dxa"/>
            <w:vAlign w:val="bottom"/>
          </w:tcPr>
          <w:p>
            <w:pPr>
              <w:ind w:left="540"/>
              <w:spacing w:after="0"/>
              <w:rPr>
                <w:sz w:val="20"/>
                <w:szCs w:val="20"/>
                <w:color w:val="auto"/>
              </w:rPr>
            </w:pPr>
            <w:r>
              <w:rPr>
                <w:rFonts w:ascii="Arial" w:cs="Arial" w:eastAsia="Arial" w:hAnsi="Arial"/>
                <w:sz w:val="16"/>
                <w:szCs w:val="16"/>
                <w:color w:val="auto"/>
              </w:rPr>
              <w:t>International funds and others (b)</w:t>
            </w:r>
          </w:p>
        </w:tc>
        <w:tc>
          <w:tcPr>
            <w:tcW w:w="5000" w:type="dxa"/>
            <w:vAlign w:val="bottom"/>
            <w:gridSpan w:val="3"/>
          </w:tcPr>
          <w:p>
            <w:pPr>
              <w:jc w:val="right"/>
              <w:ind w:right="200"/>
              <w:spacing w:after="0"/>
              <w:rPr>
                <w:sz w:val="20"/>
                <w:szCs w:val="20"/>
                <w:color w:val="auto"/>
              </w:rPr>
            </w:pPr>
            <w:r>
              <w:rPr>
                <w:rFonts w:ascii="Arial" w:cs="Arial" w:eastAsia="Arial" w:hAnsi="Arial"/>
                <w:sz w:val="16"/>
                <w:szCs w:val="16"/>
                <w:color w:val="auto"/>
              </w:rPr>
              <w:t>6,127,837</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5,821,219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COFIDE and FONCODES credit line (c)</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4,494,633</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4,550,610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500" w:type="dxa"/>
            <w:vAlign w:val="bottom"/>
          </w:tcPr>
          <w:p>
            <w:pPr>
              <w:ind w:left="540"/>
              <w:spacing w:after="0"/>
              <w:rPr>
                <w:sz w:val="20"/>
                <w:szCs w:val="20"/>
                <w:color w:val="auto"/>
              </w:rPr>
            </w:pPr>
            <w:r>
              <w:rPr>
                <w:rFonts w:ascii="Arial" w:cs="Arial" w:eastAsia="Arial" w:hAnsi="Arial"/>
                <w:sz w:val="16"/>
                <w:szCs w:val="16"/>
                <w:color w:val="auto"/>
              </w:rPr>
              <w:t>Inter-bank funds</w:t>
            </w:r>
          </w:p>
        </w:tc>
        <w:tc>
          <w:tcPr>
            <w:tcW w:w="5000" w:type="dxa"/>
            <w:vAlign w:val="bottom"/>
            <w:gridSpan w:val="3"/>
          </w:tcPr>
          <w:p>
            <w:pPr>
              <w:jc w:val="right"/>
              <w:ind w:right="200"/>
              <w:spacing w:after="0"/>
              <w:rPr>
                <w:sz w:val="20"/>
                <w:szCs w:val="20"/>
                <w:color w:val="auto"/>
              </w:rPr>
            </w:pPr>
            <w:r>
              <w:rPr>
                <w:rFonts w:ascii="Arial" w:cs="Arial" w:eastAsia="Arial" w:hAnsi="Arial"/>
                <w:sz w:val="16"/>
                <w:szCs w:val="16"/>
                <w:color w:val="auto"/>
              </w:rPr>
              <w:t>10,001</w:t>
            </w:r>
          </w:p>
        </w:tc>
        <w:tc>
          <w:tcPr>
            <w:tcW w:w="1000" w:type="dxa"/>
            <w:vAlign w:val="bottom"/>
          </w:tcPr>
          <w:p>
            <w:pPr>
              <w:jc w:val="right"/>
              <w:spacing w:after="0"/>
              <w:rPr>
                <w:sz w:val="20"/>
                <w:szCs w:val="20"/>
                <w:color w:val="auto"/>
              </w:rPr>
            </w:pPr>
            <w:r>
              <w:rPr>
                <w:rFonts w:ascii="Arial" w:cs="Arial" w:eastAsia="Arial" w:hAnsi="Arial"/>
                <w:sz w:val="16"/>
                <w:szCs w:val="16"/>
                <w:color w:val="auto"/>
              </w:rPr>
              <w:t>350,000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4500" w:type="dxa"/>
            <w:vAlign w:val="bottom"/>
            <w:vMerge w:val="restart"/>
          </w:tcPr>
          <w:p>
            <w:pPr>
              <w:ind w:left="540"/>
              <w:spacing w:after="0"/>
              <w:rPr>
                <w:sz w:val="20"/>
                <w:szCs w:val="20"/>
                <w:color w:val="auto"/>
              </w:rPr>
            </w:pPr>
            <w:r>
              <w:rPr>
                <w:rFonts w:ascii="Arial" w:cs="Arial" w:eastAsia="Arial" w:hAnsi="Arial"/>
                <w:sz w:val="16"/>
                <w:szCs w:val="16"/>
                <w:color w:val="auto"/>
              </w:rPr>
              <w:t>Interest payable</w:t>
            </w:r>
          </w:p>
        </w:tc>
        <w:tc>
          <w:tcPr>
            <w:tcW w:w="3780" w:type="dxa"/>
            <w:vAlign w:val="bottom"/>
          </w:tcPr>
          <w:p>
            <w:pPr>
              <w:spacing w:after="0"/>
              <w:rPr>
                <w:sz w:val="14"/>
                <w:szCs w:val="14"/>
                <w:color w:val="auto"/>
              </w:rPr>
            </w:pPr>
          </w:p>
        </w:tc>
        <w:tc>
          <w:tcPr>
            <w:tcW w:w="1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10,632,471</w:t>
            </w:r>
          </w:p>
        </w:tc>
        <w:tc>
          <w:tcPr>
            <w:tcW w:w="200" w:type="dxa"/>
            <w:vAlign w:val="bottom"/>
          </w:tcPr>
          <w:p>
            <w:pPr>
              <w:spacing w:after="0"/>
              <w:rPr>
                <w:sz w:val="14"/>
                <w:szCs w:val="14"/>
                <w:color w:val="auto"/>
              </w:rPr>
            </w:pPr>
          </w:p>
        </w:tc>
        <w:tc>
          <w:tcPr>
            <w:tcW w:w="10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10,721,829</w:t>
            </w:r>
          </w:p>
        </w:tc>
        <w:tc>
          <w:tcPr>
            <w:tcW w:w="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4500" w:type="dxa"/>
            <w:vAlign w:val="bottom"/>
            <w:vMerge w:val="continue"/>
          </w:tcPr>
          <w:p>
            <w:pPr>
              <w:spacing w:after="0"/>
              <w:rPr>
                <w:sz w:val="16"/>
                <w:szCs w:val="16"/>
                <w:color w:val="auto"/>
              </w:rPr>
            </w:pP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42,767</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32,556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b w:val="1"/>
                <w:bCs w:val="1"/>
                <w:color w:val="auto"/>
              </w:rPr>
              <w:t>Total</w:t>
            </w:r>
          </w:p>
        </w:tc>
        <w:tc>
          <w:tcPr>
            <w:tcW w:w="37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10,675,238</w:t>
            </w:r>
          </w:p>
        </w:tc>
        <w:tc>
          <w:tcPr>
            <w:tcW w:w="2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10,754,385</w:t>
            </w:r>
          </w:p>
        </w:tc>
        <w:tc>
          <w:tcPr>
            <w:tcW w:w="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80" w:type="dxa"/>
            <w:vAlign w:val="bottom"/>
          </w:tcPr>
          <w:p>
            <w:pPr>
              <w:spacing w:after="0"/>
              <w:rPr>
                <w:sz w:val="24"/>
                <w:szCs w:val="24"/>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b)  This item consists of the following:</w:t>
            </w:r>
          </w:p>
        </w:tc>
        <w:tc>
          <w:tcPr>
            <w:tcW w:w="3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0" w:type="dxa"/>
            <w:vAlign w:val="bottom"/>
            <w:gridSpan w:val="2"/>
          </w:tcPr>
          <w:p>
            <w:pPr>
              <w:ind w:left="380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80" w:type="dxa"/>
            <w:vAlign w:val="bottom"/>
          </w:tcPr>
          <w:p>
            <w:pPr>
              <w:spacing w:after="0"/>
              <w:rPr>
                <w:sz w:val="24"/>
                <w:szCs w:val="24"/>
                <w:color w:val="auto"/>
              </w:rPr>
            </w:pPr>
          </w:p>
        </w:tc>
        <w:tc>
          <w:tcPr>
            <w:tcW w:w="4500" w:type="dxa"/>
            <w:vAlign w:val="bottom"/>
          </w:tcPr>
          <w:p>
            <w:pPr>
              <w:ind w:left="540"/>
              <w:spacing w:after="0"/>
              <w:rPr>
                <w:sz w:val="20"/>
                <w:szCs w:val="20"/>
                <w:color w:val="auto"/>
              </w:rPr>
            </w:pPr>
            <w:r>
              <w:rPr>
                <w:rFonts w:ascii="Arial" w:cs="Arial" w:eastAsia="Arial" w:hAnsi="Arial"/>
                <w:sz w:val="16"/>
                <w:szCs w:val="16"/>
                <w:color w:val="auto"/>
              </w:rPr>
              <w:t>State Bank of India</w:t>
            </w:r>
          </w:p>
        </w:tc>
        <w:tc>
          <w:tcPr>
            <w:tcW w:w="5000" w:type="dxa"/>
            <w:vAlign w:val="bottom"/>
            <w:gridSpan w:val="3"/>
          </w:tcPr>
          <w:p>
            <w:pPr>
              <w:jc w:val="right"/>
              <w:ind w:right="200"/>
              <w:spacing w:after="0"/>
              <w:rPr>
                <w:sz w:val="20"/>
                <w:szCs w:val="20"/>
                <w:color w:val="auto"/>
              </w:rPr>
            </w:pPr>
            <w:r>
              <w:rPr>
                <w:rFonts w:ascii="Arial" w:cs="Arial" w:eastAsia="Arial" w:hAnsi="Arial"/>
                <w:sz w:val="16"/>
                <w:szCs w:val="16"/>
                <w:color w:val="auto"/>
              </w:rPr>
              <w:t>756,675</w:t>
            </w:r>
          </w:p>
        </w:tc>
        <w:tc>
          <w:tcPr>
            <w:tcW w:w="1000" w:type="dxa"/>
            <w:vAlign w:val="bottom"/>
          </w:tcPr>
          <w:p>
            <w:pPr>
              <w:jc w:val="right"/>
              <w:spacing w:after="0"/>
              <w:rPr>
                <w:sz w:val="20"/>
                <w:szCs w:val="20"/>
                <w:color w:val="auto"/>
              </w:rPr>
            </w:pPr>
            <w:r>
              <w:rPr>
                <w:rFonts w:ascii="Arial" w:cs="Arial" w:eastAsia="Arial" w:hAnsi="Arial"/>
                <w:sz w:val="16"/>
                <w:szCs w:val="16"/>
                <w:color w:val="auto"/>
              </w:rPr>
              <w:t>564,600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Corporación Financiera de Desarrollo (COFIDE)</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631,987</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115,760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Bank of America N.A.</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605,340</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564,600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Caixabank</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605,340</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590,948</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de la Nación</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600,000</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400,000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Wells Fargo Bank N.A.</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486,290</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Commerzbank AG</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335,627</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376,400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Sumitomo Mitsui Banking Corporation</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302,670</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752,800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Interamericano de Desarrollo (BID)</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184,825</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BCI</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179,396</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Bice</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175,205</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104,425</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Bank of New York Mellon</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168,150</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188,200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Japan International Cooperation Agency</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168,150</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Bancoldex</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158,595</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108,035</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Standard Chartered Bank Hong Kong Ltd.</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157,388</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564,600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BBVA Perú</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127,743</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110,000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JP Morgan Chase &amp; Co.</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104,526</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45,365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ICBC Perú Bank S.A.</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100,000</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60,000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Internacional</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95,967</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49,947</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Nacional de Bolivia S.A.</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39,226</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54,986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Bisa S.A.</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38,655</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52,133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de Occidente</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35,501</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34,162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Bancolombia S.A.</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34,182</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25,013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Citibank N.A.</w:t>
            </w:r>
          </w:p>
        </w:tc>
        <w:tc>
          <w:tcPr>
            <w:tcW w:w="48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697</w:t>
            </w:r>
          </w:p>
        </w:tc>
        <w:tc>
          <w:tcPr>
            <w:tcW w:w="20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376,401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Banco Security</w:t>
            </w:r>
          </w:p>
        </w:tc>
        <w:tc>
          <w:tcPr>
            <w:tcW w:w="500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47,710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color w:val="auto"/>
              </w:rPr>
              <w:t>International Finance Corporation (IFC) (i)</w:t>
            </w:r>
          </w:p>
        </w:tc>
        <w:tc>
          <w:tcPr>
            <w:tcW w:w="3780" w:type="dxa"/>
            <w:vAlign w:val="bottom"/>
          </w:tcPr>
          <w:p>
            <w:pPr>
              <w:spacing w:after="0"/>
              <w:rPr>
                <w:sz w:val="15"/>
                <w:szCs w:val="15"/>
                <w:color w:val="auto"/>
              </w:rPr>
            </w:pPr>
          </w:p>
        </w:tc>
        <w:tc>
          <w:tcPr>
            <w:tcW w:w="12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570,540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4500" w:type="dxa"/>
            <w:vAlign w:val="bottom"/>
          </w:tcPr>
          <w:p>
            <w:pPr>
              <w:ind w:left="540"/>
              <w:spacing w:after="0"/>
              <w:rPr>
                <w:sz w:val="20"/>
                <w:szCs w:val="20"/>
                <w:color w:val="auto"/>
              </w:rPr>
            </w:pPr>
            <w:r>
              <w:rPr>
                <w:rFonts w:ascii="Arial" w:cs="Arial" w:eastAsia="Arial" w:hAnsi="Arial"/>
                <w:sz w:val="16"/>
                <w:szCs w:val="16"/>
                <w:color w:val="auto"/>
              </w:rPr>
              <w:t>Others minors</w:t>
            </w:r>
          </w:p>
        </w:tc>
        <w:tc>
          <w:tcPr>
            <w:tcW w:w="5000" w:type="dxa"/>
            <w:vAlign w:val="bottom"/>
            <w:gridSpan w:val="3"/>
          </w:tcPr>
          <w:p>
            <w:pPr>
              <w:jc w:val="right"/>
              <w:ind w:right="200"/>
              <w:spacing w:after="0"/>
              <w:rPr>
                <w:sz w:val="20"/>
                <w:szCs w:val="20"/>
                <w:color w:val="auto"/>
              </w:rPr>
            </w:pPr>
            <w:r>
              <w:rPr>
                <w:rFonts w:ascii="Arial" w:cs="Arial" w:eastAsia="Arial" w:hAnsi="Arial"/>
                <w:sz w:val="16"/>
                <w:szCs w:val="16"/>
                <w:color w:val="auto"/>
              </w:rPr>
              <w:t>35,698</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64,594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4500" w:type="dxa"/>
            <w:vAlign w:val="bottom"/>
          </w:tcPr>
          <w:p>
            <w:pPr>
              <w:ind w:left="540"/>
              <w:spacing w:after="0" w:line="181" w:lineRule="exact"/>
              <w:rPr>
                <w:sz w:val="20"/>
                <w:szCs w:val="20"/>
                <w:color w:val="auto"/>
              </w:rPr>
            </w:pPr>
            <w:r>
              <w:rPr>
                <w:rFonts w:ascii="Arial" w:cs="Arial" w:eastAsia="Arial" w:hAnsi="Arial"/>
                <w:sz w:val="16"/>
                <w:szCs w:val="16"/>
                <w:b w:val="1"/>
                <w:bCs w:val="1"/>
                <w:color w:val="auto"/>
              </w:rPr>
              <w:t>Total</w:t>
            </w:r>
          </w:p>
        </w:tc>
        <w:tc>
          <w:tcPr>
            <w:tcW w:w="3780" w:type="dxa"/>
            <w:vAlign w:val="bottom"/>
          </w:tcPr>
          <w:p>
            <w:pPr>
              <w:spacing w:after="0"/>
              <w:rPr>
                <w:sz w:val="16"/>
                <w:szCs w:val="16"/>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6,127,837</w:t>
            </w:r>
          </w:p>
        </w:tc>
        <w:tc>
          <w:tcPr>
            <w:tcW w:w="20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5,821,219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780" w:type="dxa"/>
            <w:vAlign w:val="bottom"/>
          </w:tcPr>
          <w:p>
            <w:pPr>
              <w:jc w:val="right"/>
              <w:ind w:right="2780"/>
              <w:spacing w:after="0"/>
              <w:rPr>
                <w:sz w:val="20"/>
                <w:szCs w:val="20"/>
                <w:color w:val="auto"/>
              </w:rPr>
            </w:pPr>
            <w:r>
              <w:rPr>
                <w:rFonts w:ascii="Arial" w:cs="Arial" w:eastAsia="Arial" w:hAnsi="Arial"/>
                <w:sz w:val="16"/>
                <w:szCs w:val="16"/>
                <w:color w:val="auto"/>
              </w:rPr>
              <w:t>- 96 -</w:t>
            </w: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101" w:name="page102"/>
    <w:bookmarkEnd w:id="101"/>
    <w:p>
      <w:pPr>
        <w:ind w:left="284" w:right="300"/>
        <w:spacing w:after="0" w:line="255" w:lineRule="auto"/>
        <w:rPr>
          <w:sz w:val="20"/>
          <w:szCs w:val="20"/>
          <w:color w:val="auto"/>
        </w:rPr>
      </w:pPr>
      <w:r>
        <w:rPr>
          <w:rFonts w:ascii="Arial" w:cs="Arial" w:eastAsia="Arial" w:hAnsi="Arial"/>
          <w:sz w:val="16"/>
          <w:szCs w:val="16"/>
          <w:color w:val="auto"/>
        </w:rPr>
        <w:t>As of December 31, 2025, the loans have maturities between January 2026 and April 2035 (between January 2025 and April 2035, as of December 31, 2024) accrue interest in soles at annual rates that fluctuate between 4.78 percent and 11.40 percent (annual interest in soles at 5.03 percent and 7.86 percent, respectively as of December 31, 2024), and accrue interest in foreign currency as follows:</w:t>
      </w:r>
    </w:p>
    <w:p>
      <w:pPr>
        <w:spacing w:after="0" w:line="149" w:lineRule="exact"/>
        <w:rPr>
          <w:sz w:val="20"/>
          <w:szCs w:val="20"/>
          <w:color w:val="auto"/>
        </w:rPr>
      </w:pPr>
    </w:p>
    <w:tbl>
      <w:tblPr>
        <w:tblLayout w:type="fixed"/>
        <w:tblInd w:w="344" w:type="dxa"/>
        <w:tblCellMar>
          <w:top w:w="0" w:type="dxa"/>
          <w:left w:w="0" w:type="dxa"/>
          <w:bottom w:w="0" w:type="dxa"/>
          <w:right w:w="0" w:type="dxa"/>
        </w:tblCellMar>
      </w:tblPr>
      <w:tr>
        <w:trPr>
          <w:trHeight w:val="198"/>
        </w:trPr>
        <w:tc>
          <w:tcPr>
            <w:tcW w:w="5500" w:type="dxa"/>
            <w:vAlign w:val="bottom"/>
            <w:gridSpan w:val="2"/>
          </w:tcPr>
          <w:p>
            <w:pPr>
              <w:ind w:left="4920"/>
              <w:spacing w:after="0"/>
              <w:rPr>
                <w:sz w:val="20"/>
                <w:szCs w:val="20"/>
                <w:color w:val="auto"/>
              </w:rPr>
            </w:pPr>
            <w:r>
              <w:rPr>
                <w:rFonts w:ascii="Arial" w:cs="Arial" w:eastAsia="Arial" w:hAnsi="Arial"/>
                <w:sz w:val="16"/>
                <w:szCs w:val="16"/>
                <w:b w:val="1"/>
                <w:bCs w:val="1"/>
                <w:color w:val="auto"/>
              </w:rPr>
              <w:t>2025</w:t>
            </w:r>
          </w:p>
        </w:tc>
        <w:tc>
          <w:tcPr>
            <w:tcW w:w="1280" w:type="dxa"/>
            <w:vAlign w:val="bottom"/>
          </w:tcPr>
          <w:p>
            <w:pPr>
              <w:spacing w:after="0"/>
              <w:rPr>
                <w:sz w:val="17"/>
                <w:szCs w:val="17"/>
                <w:color w:val="auto"/>
              </w:rPr>
            </w:pPr>
          </w:p>
        </w:tc>
        <w:tc>
          <w:tcPr>
            <w:tcW w:w="1380" w:type="dxa"/>
            <w:vAlign w:val="bottom"/>
            <w:gridSpan w:val="3"/>
          </w:tcPr>
          <w:p>
            <w:pPr>
              <w:ind w:left="800"/>
              <w:spacing w:after="0"/>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4920" w:type="dxa"/>
            <w:vAlign w:val="bottom"/>
          </w:tcPr>
          <w:p>
            <w:pPr>
              <w:spacing w:after="0"/>
              <w:rPr>
                <w:sz w:val="13"/>
                <w:szCs w:val="13"/>
                <w:color w:val="auto"/>
              </w:rPr>
            </w:pPr>
          </w:p>
        </w:tc>
        <w:tc>
          <w:tcPr>
            <w:tcW w:w="58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Min</w:t>
            </w:r>
          </w:p>
        </w:tc>
        <w:tc>
          <w:tcPr>
            <w:tcW w:w="1280" w:type="dxa"/>
            <w:vAlign w:val="bottom"/>
            <w:tcBorders>
              <w:top w:val="single" w:sz="8" w:color="auto"/>
            </w:tcBorders>
          </w:tcPr>
          <w:p>
            <w:pPr>
              <w:ind w:left="760"/>
              <w:spacing w:after="0" w:line="156" w:lineRule="exact"/>
              <w:rPr>
                <w:sz w:val="20"/>
                <w:szCs w:val="20"/>
                <w:color w:val="auto"/>
              </w:rPr>
            </w:pPr>
            <w:r>
              <w:rPr>
                <w:rFonts w:ascii="Arial" w:cs="Arial" w:eastAsia="Arial" w:hAnsi="Arial"/>
                <w:sz w:val="16"/>
                <w:szCs w:val="16"/>
                <w:b w:val="1"/>
                <w:bCs w:val="1"/>
                <w:color w:val="auto"/>
              </w:rPr>
              <w:t>Max</w:t>
            </w: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Min</w:t>
            </w:r>
          </w:p>
        </w:tc>
        <w:tc>
          <w:tcPr>
            <w:tcW w:w="6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00"/>
              <w:spacing w:after="0" w:line="156" w:lineRule="exact"/>
              <w:rPr>
                <w:sz w:val="20"/>
                <w:szCs w:val="20"/>
                <w:color w:val="auto"/>
              </w:rPr>
            </w:pPr>
            <w:r>
              <w:rPr>
                <w:rFonts w:ascii="Arial" w:cs="Arial" w:eastAsia="Arial" w:hAnsi="Arial"/>
                <w:sz w:val="16"/>
                <w:szCs w:val="16"/>
                <w:b w:val="1"/>
                <w:bCs w:val="1"/>
                <w:color w:val="auto"/>
              </w:rPr>
              <w:t>Max</w:t>
            </w:r>
          </w:p>
        </w:tc>
        <w:tc>
          <w:tcPr>
            <w:tcW w:w="20" w:type="dxa"/>
            <w:vAlign w:val="bottom"/>
          </w:tcPr>
          <w:p>
            <w:pPr>
              <w:spacing w:after="0"/>
              <w:rPr>
                <w:sz w:val="13"/>
                <w:szCs w:val="13"/>
                <w:color w:val="auto"/>
              </w:rPr>
            </w:pPr>
          </w:p>
        </w:tc>
      </w:tr>
      <w:tr>
        <w:trPr>
          <w:trHeight w:val="181"/>
        </w:trPr>
        <w:tc>
          <w:tcPr>
            <w:tcW w:w="5500" w:type="dxa"/>
            <w:vAlign w:val="bottom"/>
            <w:gridSpan w:val="2"/>
          </w:tcPr>
          <w:p>
            <w:pPr>
              <w:ind w:left="4920"/>
              <w:spacing w:after="0" w:line="181" w:lineRule="exact"/>
              <w:rPr>
                <w:sz w:val="20"/>
                <w:szCs w:val="20"/>
                <w:color w:val="auto"/>
              </w:rPr>
            </w:pPr>
            <w:r>
              <w:rPr>
                <w:rFonts w:ascii="Arial" w:cs="Arial" w:eastAsia="Arial" w:hAnsi="Arial"/>
                <w:sz w:val="16"/>
                <w:szCs w:val="16"/>
                <w:b w:val="1"/>
                <w:bCs w:val="1"/>
                <w:color w:val="auto"/>
              </w:rPr>
              <w:t>%</w:t>
            </w:r>
          </w:p>
        </w:tc>
        <w:tc>
          <w:tcPr>
            <w:tcW w:w="1280" w:type="dxa"/>
            <w:vAlign w:val="bottom"/>
          </w:tcPr>
          <w:p>
            <w:pPr>
              <w:ind w:left="760"/>
              <w:spacing w:after="0" w:line="181" w:lineRule="exact"/>
              <w:rPr>
                <w:sz w:val="20"/>
                <w:szCs w:val="20"/>
                <w:color w:val="auto"/>
              </w:rPr>
            </w:pPr>
            <w:r>
              <w:rPr>
                <w:rFonts w:ascii="Arial" w:cs="Arial" w:eastAsia="Arial" w:hAnsi="Arial"/>
                <w:sz w:val="16"/>
                <w:szCs w:val="16"/>
                <w:b w:val="1"/>
                <w:bCs w:val="1"/>
                <w:color w:val="auto"/>
              </w:rPr>
              <w:t>%</w:t>
            </w:r>
          </w:p>
        </w:tc>
        <w:tc>
          <w:tcPr>
            <w:tcW w:w="1380" w:type="dxa"/>
            <w:vAlign w:val="bottom"/>
            <w:gridSpan w:val="3"/>
          </w:tcPr>
          <w:p>
            <w:pPr>
              <w:ind w:left="800"/>
              <w:spacing w:after="0" w:line="181" w:lineRule="exact"/>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5"/>
                <w:szCs w:val="15"/>
                <w:color w:val="auto"/>
              </w:rPr>
            </w:pPr>
          </w:p>
        </w:tc>
        <w:tc>
          <w:tcPr>
            <w:tcW w:w="1180" w:type="dxa"/>
            <w:vAlign w:val="bottom"/>
          </w:tcPr>
          <w:p>
            <w:pPr>
              <w:ind w:left="100"/>
              <w:spacing w:after="0" w:line="181"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r>
      <w:tr>
        <w:trPr>
          <w:trHeight w:val="181"/>
        </w:trPr>
        <w:tc>
          <w:tcPr>
            <w:tcW w:w="5500" w:type="dxa"/>
            <w:vAlign w:val="bottom"/>
            <w:gridSpan w:val="2"/>
          </w:tcPr>
          <w:p>
            <w:pPr>
              <w:spacing w:after="0" w:line="181" w:lineRule="exact"/>
              <w:rPr>
                <w:sz w:val="20"/>
                <w:szCs w:val="20"/>
                <w:color w:val="auto"/>
              </w:rPr>
            </w:pPr>
            <w:r>
              <w:rPr>
                <w:rFonts w:ascii="Arial" w:cs="Arial" w:eastAsia="Arial" w:hAnsi="Arial"/>
                <w:sz w:val="16"/>
                <w:szCs w:val="16"/>
                <w:color w:val="auto"/>
              </w:rPr>
              <w:t>U.S. Dollar</w:t>
            </w:r>
          </w:p>
        </w:tc>
        <w:tc>
          <w:tcPr>
            <w:tcW w:w="1280" w:type="dxa"/>
            <w:vAlign w:val="bottom"/>
          </w:tcPr>
          <w:p>
            <w:pPr>
              <w:jc w:val="right"/>
              <w:ind w:right="660"/>
              <w:spacing w:after="0" w:line="181" w:lineRule="exact"/>
              <w:rPr>
                <w:sz w:val="20"/>
                <w:szCs w:val="20"/>
                <w:color w:val="auto"/>
              </w:rPr>
            </w:pPr>
            <w:r>
              <w:rPr>
                <w:rFonts w:ascii="Arial" w:cs="Arial" w:eastAsia="Arial" w:hAnsi="Arial"/>
                <w:sz w:val="16"/>
                <w:szCs w:val="16"/>
                <w:color w:val="auto"/>
              </w:rPr>
              <w:t>4.17</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6.00</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4.80</w:t>
            </w:r>
          </w:p>
        </w:tc>
        <w:tc>
          <w:tcPr>
            <w:tcW w:w="12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6.14</w:t>
            </w:r>
          </w:p>
        </w:tc>
      </w:tr>
      <w:tr>
        <w:trPr>
          <w:trHeight w:val="181"/>
        </w:trPr>
        <w:tc>
          <w:tcPr>
            <w:tcW w:w="5500" w:type="dxa"/>
            <w:vAlign w:val="bottom"/>
            <w:gridSpan w:val="2"/>
          </w:tcPr>
          <w:p>
            <w:pPr>
              <w:spacing w:after="0" w:line="181" w:lineRule="exact"/>
              <w:rPr>
                <w:sz w:val="20"/>
                <w:szCs w:val="20"/>
                <w:color w:val="auto"/>
              </w:rPr>
            </w:pPr>
            <w:r>
              <w:rPr>
                <w:rFonts w:ascii="Arial" w:cs="Arial" w:eastAsia="Arial" w:hAnsi="Arial"/>
                <w:sz w:val="16"/>
                <w:szCs w:val="16"/>
                <w:color w:val="auto"/>
              </w:rPr>
              <w:t>Boliviano</w:t>
            </w:r>
          </w:p>
        </w:tc>
        <w:tc>
          <w:tcPr>
            <w:tcW w:w="1280" w:type="dxa"/>
            <w:vAlign w:val="bottom"/>
          </w:tcPr>
          <w:p>
            <w:pPr>
              <w:jc w:val="right"/>
              <w:ind w:right="660"/>
              <w:spacing w:after="0" w:line="181" w:lineRule="exact"/>
              <w:rPr>
                <w:sz w:val="20"/>
                <w:szCs w:val="20"/>
                <w:color w:val="auto"/>
              </w:rPr>
            </w:pPr>
            <w:r>
              <w:rPr>
                <w:rFonts w:ascii="Arial" w:cs="Arial" w:eastAsia="Arial" w:hAnsi="Arial"/>
                <w:sz w:val="16"/>
                <w:szCs w:val="16"/>
                <w:color w:val="auto"/>
              </w:rPr>
              <w:t>6.00</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8.85</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4.90</w:t>
            </w:r>
          </w:p>
        </w:tc>
        <w:tc>
          <w:tcPr>
            <w:tcW w:w="12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6.90</w:t>
            </w:r>
          </w:p>
        </w:tc>
      </w:tr>
      <w:tr>
        <w:trPr>
          <w:trHeight w:val="214"/>
        </w:trPr>
        <w:tc>
          <w:tcPr>
            <w:tcW w:w="5500" w:type="dxa"/>
            <w:vAlign w:val="bottom"/>
            <w:gridSpan w:val="2"/>
          </w:tcPr>
          <w:p>
            <w:pPr>
              <w:spacing w:after="0"/>
              <w:rPr>
                <w:sz w:val="20"/>
                <w:szCs w:val="20"/>
                <w:color w:val="auto"/>
              </w:rPr>
            </w:pPr>
            <w:r>
              <w:rPr>
                <w:rFonts w:ascii="Arial" w:cs="Arial" w:eastAsia="Arial" w:hAnsi="Arial"/>
                <w:sz w:val="16"/>
                <w:szCs w:val="16"/>
                <w:color w:val="auto"/>
              </w:rPr>
              <w:t>Colombian Peso</w:t>
            </w:r>
          </w:p>
        </w:tc>
        <w:tc>
          <w:tcPr>
            <w:tcW w:w="1280" w:type="dxa"/>
            <w:vAlign w:val="bottom"/>
          </w:tcPr>
          <w:p>
            <w:pPr>
              <w:jc w:val="right"/>
              <w:ind w:right="660"/>
              <w:spacing w:after="0"/>
              <w:rPr>
                <w:sz w:val="20"/>
                <w:szCs w:val="20"/>
                <w:color w:val="auto"/>
              </w:rPr>
            </w:pPr>
            <w:r>
              <w:rPr>
                <w:rFonts w:ascii="Arial" w:cs="Arial" w:eastAsia="Arial" w:hAnsi="Arial"/>
                <w:sz w:val="16"/>
                <w:szCs w:val="16"/>
                <w:color w:val="auto"/>
              </w:rPr>
              <w:t>0.45</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10.68</w:t>
            </w:r>
          </w:p>
        </w:tc>
        <w:tc>
          <w:tcPr>
            <w:tcW w:w="58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0.45</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13.95</w:t>
            </w:r>
          </w:p>
        </w:tc>
      </w:tr>
    </w:tbl>
    <w:p>
      <w:pPr>
        <w:spacing w:after="0" w:line="136" w:lineRule="exact"/>
        <w:rPr>
          <w:sz w:val="20"/>
          <w:szCs w:val="20"/>
          <w:color w:val="auto"/>
        </w:rPr>
      </w:pPr>
    </w:p>
    <w:p>
      <w:pPr>
        <w:ind w:left="584" w:right="620" w:hanging="295"/>
        <w:spacing w:after="0" w:line="274" w:lineRule="auto"/>
        <w:tabs>
          <w:tab w:leader="none" w:pos="58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As of December 31, 2024, the Group maintain cross currency swaps (CCS) that were designated as cash flow hedges of certain repo operations in US Dollars for a nominal amount of US$60 million, equivalent to S/225.8 million, see Note 12(c).</w:t>
      </w:r>
    </w:p>
    <w:p>
      <w:pPr>
        <w:spacing w:after="0" w:line="122" w:lineRule="exact"/>
        <w:rPr>
          <w:rFonts w:ascii="Arial" w:cs="Arial" w:eastAsia="Arial" w:hAnsi="Arial"/>
          <w:sz w:val="16"/>
          <w:szCs w:val="16"/>
          <w:color w:val="auto"/>
        </w:rPr>
      </w:pPr>
    </w:p>
    <w:p>
      <w:pPr>
        <w:ind w:left="284" w:right="20" w:hanging="284"/>
        <w:spacing w:after="0" w:line="242" w:lineRule="auto"/>
        <w:tabs>
          <w:tab w:leader="none" w:pos="28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Promotional credit lines represent loans granted by Corporación Financiera de Desarrollo and Fondo de Cooperación para el Desarrollo Social (COFIDE and FONCODES for their Spanish acronyms, respectively) to promote the development of Peru, they mature between January 2026 and January 2032 and bear annual interest in soles at rates that fluctuate between 6.00 percent and 7.60 percent and interest in foreign currency at 7.75 percent as of December 31, 2025 (between January 2025 and January 2032 and with annual interest in soles at rates that fluctuate between 6.00 percent and 7.60 percent and interest in foreign currency between 7.75 percent as of December 31, 2024). These lines of credit are guaranteed with a portfolio of Fondo Mi Vivienda mortgage loans amounting S/4,494.6 million and S/4,550.6 million, as of December 31, 2025, and 2024 respectively.</w:t>
      </w:r>
    </w:p>
    <w:p>
      <w:pPr>
        <w:spacing w:after="0" w:line="148" w:lineRule="exact"/>
        <w:rPr>
          <w:rFonts w:ascii="Arial" w:cs="Arial" w:eastAsia="Arial" w:hAnsi="Arial"/>
          <w:sz w:val="16"/>
          <w:szCs w:val="16"/>
          <w:color w:val="auto"/>
        </w:rPr>
      </w:pPr>
    </w:p>
    <w:p>
      <w:pPr>
        <w:ind w:left="284" w:hanging="284"/>
        <w:spacing w:after="0" w:line="274" w:lineRule="auto"/>
        <w:tabs>
          <w:tab w:leader="none" w:pos="28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following table presents the maturities of due to banks and correspondents as of December 31, 2025 and 2024 based on the period remaining to maturity:</w:t>
      </w:r>
    </w:p>
    <w:p>
      <w:pPr>
        <w:spacing w:after="0" w:line="135" w:lineRule="exact"/>
        <w:rPr>
          <w:sz w:val="20"/>
          <w:szCs w:val="20"/>
          <w:color w:val="auto"/>
        </w:rPr>
      </w:pPr>
    </w:p>
    <w:tbl>
      <w:tblPr>
        <w:tblLayout w:type="fixed"/>
        <w:tblInd w:w="344" w:type="dxa"/>
        <w:tblCellMar>
          <w:top w:w="0" w:type="dxa"/>
          <w:left w:w="0" w:type="dxa"/>
          <w:bottom w:w="0" w:type="dxa"/>
          <w:right w:w="0" w:type="dxa"/>
        </w:tblCellMar>
      </w:tblPr>
      <w:tr>
        <w:trPr>
          <w:trHeight w:val="198"/>
        </w:trPr>
        <w:tc>
          <w:tcPr>
            <w:tcW w:w="7740" w:type="dxa"/>
            <w:vAlign w:val="bottom"/>
          </w:tcPr>
          <w:p>
            <w:pPr>
              <w:spacing w:after="0"/>
              <w:rPr>
                <w:sz w:val="17"/>
                <w:szCs w:val="17"/>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774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7740" w:type="dxa"/>
            <w:vAlign w:val="bottom"/>
          </w:tcPr>
          <w:p>
            <w:pPr>
              <w:spacing w:after="0"/>
              <w:rPr>
                <w:sz w:val="20"/>
                <w:szCs w:val="20"/>
                <w:color w:val="auto"/>
              </w:rPr>
            </w:pPr>
            <w:r>
              <w:rPr>
                <w:rFonts w:ascii="Arial" w:cs="Arial" w:eastAsia="Arial" w:hAnsi="Arial"/>
                <w:sz w:val="16"/>
                <w:szCs w:val="16"/>
                <w:color w:val="auto"/>
              </w:rPr>
              <w:t>Up to 3 months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3,008,544</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2,137,820</w:t>
            </w:r>
          </w:p>
        </w:tc>
      </w:tr>
      <w:tr>
        <w:trPr>
          <w:trHeight w:val="181"/>
        </w:trPr>
        <w:tc>
          <w:tcPr>
            <w:tcW w:w="7740" w:type="dxa"/>
            <w:vAlign w:val="bottom"/>
          </w:tcPr>
          <w:p>
            <w:pPr>
              <w:spacing w:after="0" w:line="181" w:lineRule="exact"/>
              <w:rPr>
                <w:sz w:val="20"/>
                <w:szCs w:val="20"/>
                <w:color w:val="auto"/>
              </w:rPr>
            </w:pPr>
            <w:r>
              <w:rPr>
                <w:rFonts w:ascii="Arial" w:cs="Arial" w:eastAsia="Arial" w:hAnsi="Arial"/>
                <w:sz w:val="16"/>
                <w:szCs w:val="16"/>
                <w:color w:val="auto"/>
              </w:rPr>
              <w:t>From 3 months to 1 year</w:t>
            </w:r>
          </w:p>
        </w:tc>
        <w:tc>
          <w:tcPr>
            <w:tcW w:w="12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1,384,347</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3,320,059</w:t>
            </w:r>
          </w:p>
        </w:tc>
      </w:tr>
      <w:tr>
        <w:trPr>
          <w:trHeight w:val="181"/>
        </w:trPr>
        <w:tc>
          <w:tcPr>
            <w:tcW w:w="7740" w:type="dxa"/>
            <w:vAlign w:val="bottom"/>
          </w:tcPr>
          <w:p>
            <w:pPr>
              <w:spacing w:after="0" w:line="181" w:lineRule="exact"/>
              <w:rPr>
                <w:sz w:val="20"/>
                <w:szCs w:val="20"/>
                <w:color w:val="auto"/>
              </w:rPr>
            </w:pPr>
            <w:r>
              <w:rPr>
                <w:rFonts w:ascii="Arial" w:cs="Arial" w:eastAsia="Arial" w:hAnsi="Arial"/>
                <w:sz w:val="16"/>
                <w:szCs w:val="16"/>
                <w:color w:val="auto"/>
              </w:rPr>
              <w:t>From 1 to 3 years</w:t>
            </w:r>
          </w:p>
        </w:tc>
        <w:tc>
          <w:tcPr>
            <w:tcW w:w="12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2,780,799</w:t>
            </w:r>
          </w:p>
        </w:tc>
        <w:tc>
          <w:tcPr>
            <w:tcW w:w="10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1,662,047</w:t>
            </w:r>
          </w:p>
        </w:tc>
      </w:tr>
      <w:tr>
        <w:trPr>
          <w:trHeight w:val="181"/>
        </w:trPr>
        <w:tc>
          <w:tcPr>
            <w:tcW w:w="7740" w:type="dxa"/>
            <w:vAlign w:val="bottom"/>
          </w:tcPr>
          <w:p>
            <w:pPr>
              <w:spacing w:after="0" w:line="181" w:lineRule="exact"/>
              <w:rPr>
                <w:sz w:val="20"/>
                <w:szCs w:val="20"/>
                <w:color w:val="auto"/>
              </w:rPr>
            </w:pPr>
            <w:r>
              <w:rPr>
                <w:rFonts w:ascii="Arial" w:cs="Arial" w:eastAsia="Arial" w:hAnsi="Arial"/>
                <w:sz w:val="16"/>
                <w:szCs w:val="16"/>
                <w:color w:val="auto"/>
              </w:rPr>
              <w:t>From 3 to 5 years</w:t>
            </w:r>
          </w:p>
        </w:tc>
        <w:tc>
          <w:tcPr>
            <w:tcW w:w="12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773,823</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824,015</w:t>
            </w:r>
          </w:p>
        </w:tc>
        <w:tc>
          <w:tcPr>
            <w:tcW w:w="20" w:type="dxa"/>
            <w:vAlign w:val="bottom"/>
          </w:tcPr>
          <w:p>
            <w:pPr>
              <w:spacing w:after="0"/>
              <w:rPr>
                <w:sz w:val="15"/>
                <w:szCs w:val="15"/>
                <w:color w:val="auto"/>
              </w:rPr>
            </w:pPr>
          </w:p>
        </w:tc>
      </w:tr>
      <w:tr>
        <w:trPr>
          <w:trHeight w:val="202"/>
        </w:trPr>
        <w:tc>
          <w:tcPr>
            <w:tcW w:w="7740" w:type="dxa"/>
            <w:vAlign w:val="bottom"/>
          </w:tcPr>
          <w:p>
            <w:pPr>
              <w:spacing w:after="0"/>
              <w:rPr>
                <w:sz w:val="20"/>
                <w:szCs w:val="20"/>
                <w:color w:val="auto"/>
              </w:rPr>
            </w:pPr>
            <w:r>
              <w:rPr>
                <w:rFonts w:ascii="Arial" w:cs="Arial" w:eastAsia="Arial" w:hAnsi="Arial"/>
                <w:sz w:val="16"/>
                <w:szCs w:val="16"/>
                <w:color w:val="auto"/>
              </w:rPr>
              <w:t>More than 5 years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2,684,958</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2,777,888</w:t>
            </w:r>
          </w:p>
        </w:tc>
      </w:tr>
      <w:tr>
        <w:trPr>
          <w:trHeight w:val="185"/>
        </w:trPr>
        <w:tc>
          <w:tcPr>
            <w:tcW w:w="774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10,632,471</w:t>
            </w:r>
          </w:p>
        </w:tc>
        <w:tc>
          <w:tcPr>
            <w:tcW w:w="2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10,721,829</w:t>
            </w:r>
          </w:p>
        </w:tc>
        <w:tc>
          <w:tcPr>
            <w:tcW w:w="20" w:type="dxa"/>
            <w:vAlign w:val="bottom"/>
            <w:tcBorders>
              <w:top w:val="single" w:sz="8" w:color="auto"/>
              <w:bottom w:val="single" w:sz="8" w:color="auto"/>
            </w:tcBorders>
          </w:tcPr>
          <w:p>
            <w:pPr>
              <w:spacing w:after="0"/>
              <w:rPr>
                <w:sz w:val="16"/>
                <w:szCs w:val="16"/>
                <w:color w:val="auto"/>
              </w:rPr>
            </w:pPr>
          </w:p>
        </w:tc>
      </w:tr>
    </w:tbl>
    <w:p>
      <w:pPr>
        <w:spacing w:after="0" w:line="152" w:lineRule="exact"/>
        <w:rPr>
          <w:sz w:val="20"/>
          <w:szCs w:val="20"/>
          <w:color w:val="auto"/>
        </w:rPr>
      </w:pPr>
    </w:p>
    <w:p>
      <w:pPr>
        <w:ind w:left="284" w:right="520" w:hanging="284"/>
        <w:spacing w:after="0" w:line="274" w:lineRule="auto"/>
        <w:tabs>
          <w:tab w:leader="none" w:pos="28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As of December 31, 2025 and 2024, lines of credit granted by various local and foreign financial institutions, to be used for future operating activities total S/10,622.5 million and S/10,371.8 million, respectively.</w:t>
      </w:r>
    </w:p>
    <w:p>
      <w:pPr>
        <w:spacing w:after="0" w:line="122" w:lineRule="exact"/>
        <w:rPr>
          <w:rFonts w:ascii="Arial" w:cs="Arial" w:eastAsia="Arial" w:hAnsi="Arial"/>
          <w:sz w:val="16"/>
          <w:szCs w:val="16"/>
          <w:color w:val="auto"/>
        </w:rPr>
      </w:pPr>
    </w:p>
    <w:p>
      <w:pPr>
        <w:ind w:left="284" w:right="160" w:hanging="284"/>
        <w:spacing w:after="0" w:line="255" w:lineRule="auto"/>
        <w:tabs>
          <w:tab w:leader="none" w:pos="28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Certain debts to banks, correspondents and other entities include specific agreements on how the funds received should be used, the financial conditions that the Bank must maintain, as well as other administrative matters. In Management's opinion, these specific agreements have been fulfilled by the Bank as of December 31, 2025 and 2024.</w:t>
      </w:r>
    </w:p>
    <w:p>
      <w:pPr>
        <w:spacing w:after="0" w:line="306" w:lineRule="exact"/>
        <w:rPr>
          <w:rFonts w:ascii="Arial" w:cs="Arial" w:eastAsia="Arial" w:hAnsi="Arial"/>
          <w:sz w:val="16"/>
          <w:szCs w:val="16"/>
          <w:color w:val="auto"/>
        </w:rPr>
      </w:pPr>
    </w:p>
    <w:p>
      <w:pPr>
        <w:ind w:left="4944" w:hanging="104"/>
        <w:spacing w:after="0"/>
        <w:tabs>
          <w:tab w:leader="none" w:pos="4944" w:val="left"/>
        </w:tabs>
        <w:numPr>
          <w:ilvl w:val="1"/>
          <w:numId w:val="115"/>
        </w:numPr>
        <w:rPr>
          <w:rFonts w:ascii="Arial" w:cs="Arial" w:eastAsia="Arial" w:hAnsi="Arial"/>
          <w:sz w:val="16"/>
          <w:szCs w:val="16"/>
          <w:color w:val="auto"/>
        </w:rPr>
      </w:pPr>
      <w:r>
        <w:rPr>
          <w:rFonts w:ascii="Arial" w:cs="Arial" w:eastAsia="Arial" w:hAnsi="Arial"/>
          <w:sz w:val="16"/>
          <w:szCs w:val="16"/>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102" w:name="page103"/>
    <w:bookmarkEnd w:id="102"/>
    <w:p>
      <w:pPr>
        <w:ind w:left="583" w:hanging="583"/>
        <w:spacing w:after="0"/>
        <w:tabs>
          <w:tab w:leader="none" w:pos="583"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BONDS AND NOTES ISSUED</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99" w:lineRule="exact"/>
        <w:rPr>
          <w:sz w:val="20"/>
          <w:szCs w:val="20"/>
          <w:color w:val="auto"/>
        </w:rPr>
      </w:pPr>
    </w:p>
    <w:tbl>
      <w:tblPr>
        <w:tblLayout w:type="fixed"/>
        <w:tblInd w:w="623"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Arial" w:cs="Arial" w:eastAsia="Arial" w:hAnsi="Arial"/>
                <w:sz w:val="13"/>
                <w:szCs w:val="13"/>
                <w:b w:val="1"/>
                <w:bCs w:val="1"/>
                <w:color w:val="auto"/>
              </w:rPr>
              <w:t>Annual</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rPr>
              <w:t>interest</w:t>
            </w: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Issued</w:t>
            </w:r>
          </w:p>
        </w:tc>
        <w:tc>
          <w:tcPr>
            <w:tcW w:w="960" w:type="dxa"/>
            <w:vAlign w:val="bottom"/>
            <w:gridSpan w:val="3"/>
          </w:tcPr>
          <w:p>
            <w:pPr>
              <w:ind w:left="100"/>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Issued</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rPr>
              <w:t>rate</w:t>
            </w: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payment</w:t>
            </w:r>
          </w:p>
        </w:tc>
        <w:tc>
          <w:tcPr>
            <w:tcW w:w="1600" w:type="dxa"/>
            <w:vAlign w:val="bottom"/>
            <w:gridSpan w:val="3"/>
          </w:tcPr>
          <w:p>
            <w:pPr>
              <w:ind w:left="200"/>
              <w:spacing w:after="0"/>
              <w:rPr>
                <w:sz w:val="20"/>
                <w:szCs w:val="20"/>
                <w:color w:val="auto"/>
              </w:rPr>
            </w:pPr>
            <w:r>
              <w:rPr>
                <w:rFonts w:ascii="Arial" w:cs="Arial" w:eastAsia="Arial" w:hAnsi="Arial"/>
                <w:sz w:val="13"/>
                <w:szCs w:val="13"/>
                <w:b w:val="1"/>
                <w:bCs w:val="1"/>
                <w:color w:val="auto"/>
              </w:rPr>
              <w:t>Maturity</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Maturity</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(000)</w:t>
            </w:r>
          </w:p>
        </w:tc>
        <w:tc>
          <w:tcPr>
            <w:tcW w:w="200" w:type="dxa"/>
            <w:vAlign w:val="bottom"/>
          </w:tcPr>
          <w:p>
            <w:pPr>
              <w:spacing w:after="0"/>
              <w:rPr>
                <w:sz w:val="14"/>
                <w:szCs w:val="14"/>
                <w:color w:val="auto"/>
              </w:rPr>
            </w:pPr>
          </w:p>
        </w:tc>
        <w:tc>
          <w:tcPr>
            <w:tcW w:w="74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2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January</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b w:val="1"/>
                <w:bCs w:val="1"/>
                <w:color w:val="auto"/>
              </w:rPr>
              <w:t>Senior notes - BCP (i)</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5.85</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January 2029</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US$500,000</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1,666,865</w:t>
            </w:r>
          </w:p>
        </w:tc>
        <w:tc>
          <w:tcPr>
            <w:tcW w:w="100" w:type="dxa"/>
            <w:vAlign w:val="bottom"/>
          </w:tcPr>
          <w:p>
            <w:pPr>
              <w:spacing w:after="0"/>
              <w:rPr>
                <w:sz w:val="12"/>
                <w:szCs w:val="12"/>
                <w:color w:val="auto"/>
              </w:rPr>
            </w:pPr>
          </w:p>
        </w:tc>
        <w:tc>
          <w:tcPr>
            <w:tcW w:w="84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2029</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w w:val="99"/>
              </w:rPr>
              <w:t>US$500,000</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1,862,468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January</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b w:val="1"/>
                <w:bCs w:val="1"/>
                <w:color w:val="auto"/>
              </w:rPr>
              <w:t>Senior notes - BCP (i)</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7.85</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January 2029</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S/1,150,000</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1,132,782</w:t>
            </w:r>
          </w:p>
        </w:tc>
        <w:tc>
          <w:tcPr>
            <w:tcW w:w="100" w:type="dxa"/>
            <w:vAlign w:val="bottom"/>
          </w:tcPr>
          <w:p>
            <w:pPr>
              <w:spacing w:after="0"/>
              <w:rPr>
                <w:sz w:val="12"/>
                <w:szCs w:val="12"/>
                <w:color w:val="auto"/>
              </w:rPr>
            </w:pPr>
          </w:p>
        </w:tc>
        <w:tc>
          <w:tcPr>
            <w:tcW w:w="84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2029</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S/1,150,000</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1,150,000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b w:val="1"/>
                <w:bCs w:val="1"/>
                <w:color w:val="auto"/>
              </w:rPr>
              <w:t>Senior notes - BCP</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5.05</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June 2027</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US$30,000</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100,646</w:t>
            </w: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June 2027</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US$30,000</w:t>
            </w:r>
          </w:p>
        </w:tc>
        <w:tc>
          <w:tcPr>
            <w:tcW w:w="7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112,471</w:t>
            </w: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b w:val="1"/>
                <w:bCs w:val="1"/>
                <w:color w:val="auto"/>
              </w:rPr>
              <w:t>Senior notes - EPS (ii)</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6.59</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September 2037</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S/130,000</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82,991</w:t>
            </w: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November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b w:val="1"/>
                <w:bCs w:val="1"/>
                <w:color w:val="auto"/>
              </w:rPr>
              <w:t>Senior notes - BCP (iii)</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0.97</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2025</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¥3,000,000</w:t>
            </w:r>
          </w:p>
        </w:tc>
        <w:tc>
          <w:tcPr>
            <w:tcW w:w="7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71,796</w:t>
            </w:r>
          </w:p>
        </w:tc>
        <w:tc>
          <w:tcPr>
            <w:tcW w:w="0" w:type="dxa"/>
            <w:vAlign w:val="bottom"/>
          </w:tcPr>
          <w:p>
            <w:pPr>
              <w:spacing w:after="0"/>
              <w:rPr>
                <w:sz w:val="1"/>
                <w:szCs w:val="1"/>
                <w:color w:val="auto"/>
              </w:rPr>
            </w:pPr>
          </w:p>
        </w:tc>
      </w:tr>
      <w:tr>
        <w:trPr>
          <w:trHeight w:val="145"/>
        </w:trPr>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January</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line="145" w:lineRule="exact"/>
              <w:rPr>
                <w:sz w:val="20"/>
                <w:szCs w:val="20"/>
                <w:color w:val="auto"/>
              </w:rPr>
            </w:pPr>
            <w:r>
              <w:rPr>
                <w:rFonts w:ascii="Arial" w:cs="Arial" w:eastAsia="Arial" w:hAnsi="Arial"/>
                <w:sz w:val="13"/>
                <w:szCs w:val="13"/>
                <w:b w:val="1"/>
                <w:bCs w:val="1"/>
                <w:color w:val="auto"/>
              </w:rPr>
              <w:t>Senior notes - BCP (iv)</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2.70</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2025</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w w:val="99"/>
              </w:rPr>
              <w:t>US$700,000</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2,604,249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20"/>
                <w:szCs w:val="20"/>
                <w:color w:val="auto"/>
              </w:rPr>
            </w:pPr>
            <w:r>
              <w:rPr>
                <w:rFonts w:ascii="Arial" w:cs="Arial" w:eastAsia="Arial" w:hAnsi="Arial"/>
                <w:sz w:val="13"/>
                <w:szCs w:val="13"/>
                <w:b w:val="1"/>
                <w:bCs w:val="1"/>
                <w:color w:val="auto"/>
              </w:rPr>
              <w:t>Senior notes - Credicorp Ltd. (v)</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2.75</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June 2025</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US$500,000</w:t>
            </w:r>
          </w:p>
        </w:tc>
        <w:tc>
          <w:tcPr>
            <w:tcW w:w="740" w:type="dxa"/>
            <w:vAlign w:val="bottom"/>
          </w:tcPr>
          <w:p>
            <w:pPr>
              <w:jc w:val="right"/>
              <w:spacing w:after="0"/>
              <w:rPr>
                <w:sz w:val="20"/>
                <w:szCs w:val="20"/>
                <w:color w:val="auto"/>
              </w:rPr>
            </w:pPr>
            <w:r>
              <w:rPr>
                <w:rFonts w:ascii="Arial" w:cs="Arial" w:eastAsia="Arial" w:hAnsi="Arial"/>
                <w:sz w:val="13"/>
                <w:szCs w:val="13"/>
                <w:color w:val="auto"/>
              </w:rPr>
              <w:t>1,810,391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640" w:type="dxa"/>
            <w:vAlign w:val="bottom"/>
          </w:tcPr>
          <w:p>
            <w:pPr>
              <w:spacing w:after="0"/>
              <w:rPr>
                <w:sz w:val="20"/>
                <w:szCs w:val="20"/>
                <w:color w:val="auto"/>
              </w:rPr>
            </w:pPr>
            <w:r>
              <w:rPr>
                <w:rFonts w:ascii="Arial" w:cs="Arial" w:eastAsia="Arial" w:hAnsi="Arial"/>
                <w:sz w:val="13"/>
                <w:szCs w:val="13"/>
                <w:b w:val="1"/>
                <w:bCs w:val="1"/>
                <w:color w:val="auto"/>
              </w:rPr>
              <w:t>Corporate bonds -</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640" w:type="dxa"/>
            <w:vAlign w:val="bottom"/>
          </w:tcPr>
          <w:p>
            <w:pPr>
              <w:ind w:left="280"/>
              <w:spacing w:after="0"/>
              <w:rPr>
                <w:sz w:val="20"/>
                <w:szCs w:val="20"/>
                <w:color w:val="auto"/>
              </w:rPr>
            </w:pPr>
            <w:r>
              <w:rPr>
                <w:rFonts w:ascii="Arial" w:cs="Arial" w:eastAsia="Arial" w:hAnsi="Arial"/>
                <w:sz w:val="13"/>
                <w:szCs w:val="13"/>
                <w:b w:val="1"/>
                <w:bCs w:val="1"/>
                <w:color w:val="auto"/>
              </w:rPr>
              <w:t>First program</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First issuance (Series A) - Mibanco</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January</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rPr>
                <w:sz w:val="20"/>
                <w:szCs w:val="20"/>
                <w:color w:val="auto"/>
              </w:rPr>
            </w:pPr>
            <w:r>
              <w:rPr>
                <w:rFonts w:ascii="Arial" w:cs="Arial" w:eastAsia="Arial" w:hAnsi="Arial"/>
                <w:sz w:val="13"/>
                <w:szCs w:val="13"/>
                <w:color w:val="auto"/>
              </w:rPr>
              <w:t>Colombia</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9.00</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Quarterly</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2025</w:t>
            </w:r>
          </w:p>
        </w:tc>
        <w:tc>
          <w:tcPr>
            <w:tcW w:w="2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$112,500</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22,441</w:t>
            </w:r>
          </w:p>
        </w:tc>
        <w:tc>
          <w:tcPr>
            <w:tcW w:w="0" w:type="dxa"/>
            <w:vAlign w:val="bottom"/>
          </w:tcPr>
          <w:p>
            <w:pPr>
              <w:spacing w:after="0"/>
              <w:rPr>
                <w:sz w:val="1"/>
                <w:szCs w:val="1"/>
                <w:color w:val="auto"/>
              </w:rPr>
            </w:pPr>
          </w:p>
        </w:tc>
      </w:tr>
      <w:tr>
        <w:trPr>
          <w:trHeight w:val="302"/>
        </w:trPr>
        <w:tc>
          <w:tcPr>
            <w:tcW w:w="2640" w:type="dxa"/>
            <w:vAlign w:val="bottom"/>
          </w:tcPr>
          <w:p>
            <w:pPr>
              <w:ind w:left="280"/>
              <w:spacing w:after="0"/>
              <w:rPr>
                <w:sz w:val="20"/>
                <w:szCs w:val="20"/>
                <w:color w:val="auto"/>
              </w:rPr>
            </w:pPr>
            <w:r>
              <w:rPr>
                <w:rFonts w:ascii="Arial" w:cs="Arial" w:eastAsia="Arial" w:hAnsi="Arial"/>
                <w:sz w:val="13"/>
                <w:szCs w:val="13"/>
                <w:color w:val="auto"/>
              </w:rPr>
              <w:t>First issuance (Series Unica) - Banco</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640" w:type="dxa"/>
            <w:vAlign w:val="bottom"/>
          </w:tcPr>
          <w:p>
            <w:pPr>
              <w:ind w:left="280"/>
              <w:spacing w:after="0"/>
              <w:rPr>
                <w:sz w:val="20"/>
                <w:szCs w:val="20"/>
                <w:color w:val="auto"/>
              </w:rPr>
            </w:pPr>
            <w:r>
              <w:rPr>
                <w:rFonts w:ascii="Arial" w:cs="Arial" w:eastAsia="Arial" w:hAnsi="Arial"/>
                <w:sz w:val="13"/>
                <w:szCs w:val="13"/>
                <w:color w:val="auto"/>
              </w:rPr>
              <w:t>de Credito de Bolivia (vi)</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6.40</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April 2037</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Bs85,000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33,974</w:t>
            </w: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3,017,258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7,633,816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3"/>
          </w:cols>
          <w:pgMar w:left="317" w:top="316" w:right="4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Arial" w:cs="Arial" w:eastAsia="Arial" w:hAnsi="Arial"/>
                <w:sz w:val="13"/>
                <w:szCs w:val="13"/>
                <w:b w:val="1"/>
                <w:bCs w:val="1"/>
                <w:color w:val="auto"/>
              </w:rPr>
              <w:t>Annual</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rPr>
              <w:t>interest</w:t>
            </w: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Issued</w:t>
            </w:r>
          </w:p>
        </w:tc>
        <w:tc>
          <w:tcPr>
            <w:tcW w:w="960" w:type="dxa"/>
            <w:vAlign w:val="bottom"/>
            <w:gridSpan w:val="3"/>
          </w:tcPr>
          <w:p>
            <w:pPr>
              <w:ind w:left="100"/>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Issued</w:t>
            </w:r>
          </w:p>
        </w:tc>
        <w:tc>
          <w:tcPr>
            <w:tcW w:w="740" w:type="dxa"/>
            <w:vAlign w:val="bottom"/>
          </w:tcPr>
          <w:p>
            <w:pPr>
              <w:spacing w:after="0"/>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rPr>
              <w:t>rate</w:t>
            </w: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payment</w:t>
            </w:r>
          </w:p>
        </w:tc>
        <w:tc>
          <w:tcPr>
            <w:tcW w:w="1600" w:type="dxa"/>
            <w:vAlign w:val="bottom"/>
            <w:gridSpan w:val="3"/>
          </w:tcPr>
          <w:p>
            <w:pPr>
              <w:ind w:left="200"/>
              <w:spacing w:after="0"/>
              <w:rPr>
                <w:sz w:val="20"/>
                <w:szCs w:val="20"/>
                <w:color w:val="auto"/>
              </w:rPr>
            </w:pPr>
            <w:r>
              <w:rPr>
                <w:rFonts w:ascii="Arial" w:cs="Arial" w:eastAsia="Arial" w:hAnsi="Arial"/>
                <w:sz w:val="13"/>
                <w:szCs w:val="13"/>
                <w:b w:val="1"/>
                <w:bCs w:val="1"/>
                <w:color w:val="auto"/>
              </w:rPr>
              <w:t>Maturity</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Maturity</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(000)</w:t>
            </w:r>
          </w:p>
        </w:tc>
        <w:tc>
          <w:tcPr>
            <w:tcW w:w="200" w:type="dxa"/>
            <w:vAlign w:val="bottom"/>
          </w:tcPr>
          <w:p>
            <w:pPr>
              <w:spacing w:after="0"/>
              <w:rPr>
                <w:sz w:val="16"/>
                <w:szCs w:val="16"/>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362"/>
        </w:trPr>
        <w:tc>
          <w:tcPr>
            <w:tcW w:w="2640" w:type="dxa"/>
            <w:vAlign w:val="bottom"/>
          </w:tcPr>
          <w:p>
            <w:pPr>
              <w:spacing w:after="0"/>
              <w:rPr>
                <w:sz w:val="20"/>
                <w:szCs w:val="20"/>
                <w:color w:val="auto"/>
              </w:rPr>
            </w:pPr>
            <w:r>
              <w:rPr>
                <w:rFonts w:ascii="Arial" w:cs="Arial" w:eastAsia="Arial" w:hAnsi="Arial"/>
                <w:sz w:val="13"/>
                <w:szCs w:val="13"/>
                <w:b w:val="1"/>
                <w:bCs w:val="1"/>
                <w:color w:val="auto"/>
              </w:rPr>
              <w:t>Subordinated bonds -</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280"/>
              <w:spacing w:after="0"/>
              <w:rPr>
                <w:sz w:val="20"/>
                <w:szCs w:val="20"/>
                <w:color w:val="auto"/>
              </w:rPr>
            </w:pPr>
            <w:r>
              <w:rPr>
                <w:rFonts w:ascii="Arial" w:cs="Arial" w:eastAsia="Arial" w:hAnsi="Arial"/>
                <w:sz w:val="13"/>
                <w:szCs w:val="13"/>
                <w:color w:val="auto"/>
              </w:rPr>
              <w:t>Subordinated bonds - BCP (vii)</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6.45</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July 2035</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US$750,000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2,505,546</w:t>
            </w:r>
          </w:p>
        </w:tc>
        <w:tc>
          <w:tcPr>
            <w:tcW w:w="10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640" w:type="dxa"/>
            <w:vAlign w:val="bottom"/>
          </w:tcPr>
          <w:p>
            <w:pPr>
              <w:ind w:left="280"/>
              <w:spacing w:after="0"/>
              <w:rPr>
                <w:sz w:val="20"/>
                <w:szCs w:val="20"/>
                <w:color w:val="auto"/>
              </w:rPr>
            </w:pPr>
            <w:r>
              <w:rPr>
                <w:rFonts w:ascii="Arial" w:cs="Arial" w:eastAsia="Arial" w:hAnsi="Arial"/>
                <w:sz w:val="13"/>
                <w:szCs w:val="13"/>
                <w:color w:val="auto"/>
              </w:rPr>
              <w:t>Subordinated bonds - BCP (viii)</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5.80</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March 2035</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US$600,000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2,003,766</w:t>
            </w:r>
          </w:p>
        </w:tc>
        <w:tc>
          <w:tcPr>
            <w:tcW w:w="100" w:type="dxa"/>
            <w:vAlign w:val="bottom"/>
          </w:tcPr>
          <w:p>
            <w:pPr>
              <w:spacing w:after="0"/>
              <w:rPr>
                <w:sz w:val="13"/>
                <w:szCs w:val="13"/>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March 2035</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US$600,000</w:t>
            </w:r>
          </w:p>
        </w:tc>
        <w:tc>
          <w:tcPr>
            <w:tcW w:w="740" w:type="dxa"/>
            <w:vAlign w:val="bottom"/>
          </w:tcPr>
          <w:p>
            <w:pPr>
              <w:jc w:val="right"/>
              <w:spacing w:after="0"/>
              <w:rPr>
                <w:sz w:val="20"/>
                <w:szCs w:val="20"/>
                <w:color w:val="auto"/>
              </w:rPr>
            </w:pPr>
            <w:r>
              <w:rPr>
                <w:rFonts w:ascii="Arial" w:cs="Arial" w:eastAsia="Arial" w:hAnsi="Arial"/>
                <w:sz w:val="13"/>
                <w:szCs w:val="13"/>
                <w:color w:val="auto"/>
              </w:rPr>
              <w:t>2,241,242</w:t>
            </w:r>
          </w:p>
        </w:tc>
        <w:tc>
          <w:tcPr>
            <w:tcW w:w="0" w:type="dxa"/>
            <w:vAlign w:val="bottom"/>
          </w:tcPr>
          <w:p>
            <w:pPr>
              <w:spacing w:after="0"/>
              <w:rPr>
                <w:sz w:val="1"/>
                <w:szCs w:val="1"/>
                <w:color w:val="auto"/>
              </w:rPr>
            </w:pPr>
          </w:p>
        </w:tc>
      </w:tr>
      <w:tr>
        <w:trPr>
          <w:trHeight w:val="145"/>
        </w:trPr>
        <w:tc>
          <w:tcPr>
            <w:tcW w:w="2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September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rPr>
                <w:sz w:val="20"/>
                <w:szCs w:val="20"/>
                <w:color w:val="auto"/>
              </w:rPr>
            </w:pPr>
            <w:r>
              <w:rPr>
                <w:rFonts w:ascii="Arial" w:cs="Arial" w:eastAsia="Arial" w:hAnsi="Arial"/>
                <w:sz w:val="13"/>
                <w:szCs w:val="13"/>
                <w:color w:val="auto"/>
              </w:rPr>
              <w:t>Subordinated bonds - BCP (ix)</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3.25</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September 2031</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US$500,000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1,679,375</w:t>
            </w:r>
          </w:p>
        </w:tc>
        <w:tc>
          <w:tcPr>
            <w:tcW w:w="1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2031</w:t>
            </w:r>
          </w:p>
        </w:tc>
        <w:tc>
          <w:tcPr>
            <w:tcW w:w="2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US$500,000</w:t>
            </w:r>
          </w:p>
        </w:tc>
        <w:tc>
          <w:tcPr>
            <w:tcW w:w="740" w:type="dxa"/>
            <w:vAlign w:val="bottom"/>
          </w:tcPr>
          <w:p>
            <w:pPr>
              <w:jc w:val="right"/>
              <w:spacing w:after="0"/>
              <w:rPr>
                <w:sz w:val="20"/>
                <w:szCs w:val="20"/>
                <w:color w:val="auto"/>
              </w:rPr>
            </w:pPr>
            <w:r>
              <w:rPr>
                <w:rFonts w:ascii="Arial" w:cs="Arial" w:eastAsia="Arial" w:hAnsi="Arial"/>
                <w:sz w:val="13"/>
                <w:szCs w:val="13"/>
                <w:color w:val="auto"/>
              </w:rPr>
              <w:t>1,872,212</w:t>
            </w:r>
          </w:p>
        </w:tc>
        <w:tc>
          <w:tcPr>
            <w:tcW w:w="0" w:type="dxa"/>
            <w:vAlign w:val="bottom"/>
          </w:tcPr>
          <w:p>
            <w:pPr>
              <w:spacing w:after="0"/>
              <w:rPr>
                <w:sz w:val="1"/>
                <w:szCs w:val="1"/>
                <w:color w:val="auto"/>
              </w:rPr>
            </w:pPr>
          </w:p>
        </w:tc>
      </w:tr>
      <w:tr>
        <w:trPr>
          <w:trHeight w:val="181"/>
        </w:trPr>
        <w:tc>
          <w:tcPr>
            <w:tcW w:w="2640" w:type="dxa"/>
            <w:vAlign w:val="bottom"/>
          </w:tcPr>
          <w:p>
            <w:pPr>
              <w:ind w:left="280"/>
              <w:spacing w:after="0"/>
              <w:rPr>
                <w:sz w:val="20"/>
                <w:szCs w:val="20"/>
                <w:color w:val="auto"/>
              </w:rPr>
            </w:pPr>
            <w:r>
              <w:rPr>
                <w:rFonts w:ascii="Arial" w:cs="Arial" w:eastAsia="Arial" w:hAnsi="Arial"/>
                <w:sz w:val="13"/>
                <w:szCs w:val="13"/>
                <w:color w:val="auto"/>
              </w:rPr>
              <w:t>Subordinated bonds - BCP (x)</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5.65</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January 2037</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US$500,000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1,665,644</w:t>
            </w:r>
          </w:p>
        </w:tc>
        <w:tc>
          <w:tcPr>
            <w:tcW w:w="10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640" w:type="dxa"/>
            <w:vAlign w:val="bottom"/>
          </w:tcPr>
          <w:p>
            <w:pPr>
              <w:ind w:left="280"/>
              <w:spacing w:after="0"/>
              <w:rPr>
                <w:sz w:val="20"/>
                <w:szCs w:val="20"/>
                <w:color w:val="auto"/>
              </w:rPr>
            </w:pPr>
            <w:r>
              <w:rPr>
                <w:rFonts w:ascii="Arial" w:cs="Arial" w:eastAsia="Arial" w:hAnsi="Arial"/>
                <w:sz w:val="13"/>
                <w:szCs w:val="13"/>
                <w:color w:val="auto"/>
              </w:rPr>
              <w:t>Subordinated bonds - BCP (xi)</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3.13</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July 2030</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US$850,000</w:t>
            </w:r>
          </w:p>
        </w:tc>
        <w:tc>
          <w:tcPr>
            <w:tcW w:w="740" w:type="dxa"/>
            <w:vAlign w:val="bottom"/>
          </w:tcPr>
          <w:p>
            <w:pPr>
              <w:jc w:val="right"/>
              <w:spacing w:after="0"/>
              <w:rPr>
                <w:sz w:val="20"/>
                <w:szCs w:val="20"/>
                <w:color w:val="auto"/>
              </w:rPr>
            </w:pPr>
            <w:r>
              <w:rPr>
                <w:rFonts w:ascii="Arial" w:cs="Arial" w:eastAsia="Arial" w:hAnsi="Arial"/>
                <w:sz w:val="13"/>
                <w:szCs w:val="13"/>
                <w:color w:val="auto"/>
              </w:rPr>
              <w:t>3,177,658</w:t>
            </w:r>
          </w:p>
        </w:tc>
        <w:tc>
          <w:tcPr>
            <w:tcW w:w="0" w:type="dxa"/>
            <w:vAlign w:val="bottom"/>
          </w:tcPr>
          <w:p>
            <w:pPr>
              <w:spacing w:after="0"/>
              <w:rPr>
                <w:sz w:val="1"/>
                <w:szCs w:val="1"/>
                <w:color w:val="auto"/>
              </w:rPr>
            </w:pPr>
          </w:p>
        </w:tc>
      </w:tr>
      <w:tr>
        <w:trPr>
          <w:trHeight w:val="519"/>
        </w:trPr>
        <w:tc>
          <w:tcPr>
            <w:tcW w:w="2640" w:type="dxa"/>
            <w:vAlign w:val="bottom"/>
          </w:tcPr>
          <w:p>
            <w:pPr>
              <w:ind w:left="280"/>
              <w:spacing w:after="0"/>
              <w:rPr>
                <w:sz w:val="20"/>
                <w:szCs w:val="20"/>
                <w:color w:val="auto"/>
              </w:rPr>
            </w:pPr>
            <w:r>
              <w:rPr>
                <w:rFonts w:ascii="Arial" w:cs="Arial" w:eastAsia="Arial" w:hAnsi="Arial"/>
                <w:sz w:val="13"/>
                <w:szCs w:val="13"/>
                <w:b w:val="1"/>
                <w:bCs w:val="1"/>
                <w:color w:val="auto"/>
              </w:rPr>
              <w:t>Second program</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Second issuance (Series B) - Pacífico</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Seguros</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8.00</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May 2033</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US$60,000</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201,780</w:t>
            </w: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May 2033</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US$60,000</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225,840</w:t>
            </w: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Second issuance (Series A) - Pacífico</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December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rPr>
                <w:sz w:val="20"/>
                <w:szCs w:val="20"/>
                <w:color w:val="auto"/>
              </w:rPr>
            </w:pPr>
            <w:r>
              <w:rPr>
                <w:rFonts w:ascii="Arial" w:cs="Arial" w:eastAsia="Arial" w:hAnsi="Arial"/>
                <w:sz w:val="13"/>
                <w:szCs w:val="13"/>
                <w:color w:val="auto"/>
              </w:rPr>
              <w:t>Seguros</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4.41</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December 2030</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US$50,000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153,105</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2030</w:t>
            </w:r>
          </w:p>
        </w:tc>
        <w:tc>
          <w:tcPr>
            <w:tcW w:w="2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US$50,000</w:t>
            </w:r>
          </w:p>
        </w:tc>
        <w:tc>
          <w:tcPr>
            <w:tcW w:w="740" w:type="dxa"/>
            <w:vAlign w:val="bottom"/>
          </w:tcPr>
          <w:p>
            <w:pPr>
              <w:jc w:val="right"/>
              <w:spacing w:after="0"/>
              <w:rPr>
                <w:sz w:val="20"/>
                <w:szCs w:val="20"/>
                <w:color w:val="auto"/>
              </w:rPr>
            </w:pPr>
            <w:r>
              <w:rPr>
                <w:rFonts w:ascii="Arial" w:cs="Arial" w:eastAsia="Arial" w:hAnsi="Arial"/>
                <w:sz w:val="13"/>
                <w:szCs w:val="13"/>
                <w:color w:val="auto"/>
              </w:rPr>
              <w:t>171,365</w:t>
            </w:r>
          </w:p>
        </w:tc>
        <w:tc>
          <w:tcPr>
            <w:tcW w:w="0" w:type="dxa"/>
            <w:vAlign w:val="bottom"/>
          </w:tcPr>
          <w:p>
            <w:pPr>
              <w:spacing w:after="0"/>
              <w:rPr>
                <w:sz w:val="1"/>
                <w:szCs w:val="1"/>
                <w:color w:val="auto"/>
              </w:rPr>
            </w:pPr>
          </w:p>
        </w:tc>
      </w:tr>
      <w:tr>
        <w:trPr>
          <w:trHeight w:val="181"/>
        </w:trPr>
        <w:tc>
          <w:tcPr>
            <w:tcW w:w="2640" w:type="dxa"/>
            <w:vAlign w:val="bottom"/>
          </w:tcPr>
          <w:p>
            <w:pPr>
              <w:ind w:left="280"/>
              <w:spacing w:after="0"/>
              <w:rPr>
                <w:sz w:val="20"/>
                <w:szCs w:val="20"/>
                <w:color w:val="auto"/>
              </w:rPr>
            </w:pPr>
            <w:r>
              <w:rPr>
                <w:rFonts w:ascii="Arial" w:cs="Arial" w:eastAsia="Arial" w:hAnsi="Arial"/>
                <w:sz w:val="13"/>
                <w:szCs w:val="13"/>
                <w:color w:val="auto"/>
              </w:rPr>
              <w:t>First issuance (Series B) - Mibanco</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7.22</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June 2027</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S/30,000</w:t>
            </w:r>
          </w:p>
        </w:tc>
        <w:tc>
          <w:tcPr>
            <w:tcW w:w="740" w:type="dxa"/>
            <w:vAlign w:val="bottom"/>
          </w:tcPr>
          <w:p>
            <w:pPr>
              <w:jc w:val="right"/>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519"/>
        </w:trPr>
        <w:tc>
          <w:tcPr>
            <w:tcW w:w="2640" w:type="dxa"/>
            <w:vAlign w:val="bottom"/>
          </w:tcPr>
          <w:p>
            <w:pPr>
              <w:ind w:left="280"/>
              <w:spacing w:after="0"/>
              <w:rPr>
                <w:sz w:val="20"/>
                <w:szCs w:val="20"/>
                <w:color w:val="auto"/>
              </w:rPr>
            </w:pPr>
            <w:r>
              <w:rPr>
                <w:rFonts w:ascii="Arial" w:cs="Arial" w:eastAsia="Arial" w:hAnsi="Arial"/>
                <w:sz w:val="13"/>
                <w:szCs w:val="13"/>
                <w:b w:val="1"/>
                <w:bCs w:val="1"/>
                <w:color w:val="auto"/>
              </w:rPr>
              <w:t>Third program</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Issuance IV - Banco de Crédito de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February</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Bolivia</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5.85</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February 2033</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Bs120,810</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48,250</w:t>
            </w:r>
          </w:p>
        </w:tc>
        <w:tc>
          <w:tcPr>
            <w:tcW w:w="84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2033</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Bs120,810</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63,707</w:t>
            </w: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Issuance III - Banco de Crédito de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Bolivia</w:t>
            </w:r>
          </w:p>
        </w:tc>
        <w:tc>
          <w:tcPr>
            <w:tcW w:w="760" w:type="dxa"/>
            <w:vAlign w:val="bottom"/>
          </w:tcPr>
          <w:p>
            <w:pPr>
              <w:jc w:val="right"/>
              <w:ind w:right="196"/>
              <w:spacing w:after="0" w:line="145" w:lineRule="exact"/>
              <w:rPr>
                <w:sz w:val="20"/>
                <w:szCs w:val="20"/>
                <w:color w:val="auto"/>
              </w:rPr>
            </w:pPr>
            <w:r>
              <w:rPr>
                <w:rFonts w:ascii="Arial" w:cs="Arial" w:eastAsia="Arial" w:hAnsi="Arial"/>
                <w:sz w:val="13"/>
                <w:szCs w:val="13"/>
                <w:color w:val="auto"/>
              </w:rPr>
              <w:t>6.00</w:t>
            </w:r>
          </w:p>
        </w:tc>
        <w:tc>
          <w:tcPr>
            <w:tcW w:w="98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line="145" w:lineRule="exact"/>
              <w:rPr>
                <w:sz w:val="20"/>
                <w:szCs w:val="20"/>
                <w:color w:val="auto"/>
              </w:rPr>
            </w:pPr>
            <w:r>
              <w:rPr>
                <w:rFonts w:ascii="Arial" w:cs="Arial" w:eastAsia="Arial" w:hAnsi="Arial"/>
                <w:sz w:val="13"/>
                <w:szCs w:val="13"/>
                <w:color w:val="auto"/>
              </w:rPr>
              <w:t>August 2030</w:t>
            </w: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Bs100,000</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40,032</w:t>
            </w:r>
          </w:p>
        </w:tc>
        <w:tc>
          <w:tcPr>
            <w:tcW w:w="1040" w:type="dxa"/>
            <w:vAlign w:val="bottom"/>
            <w:gridSpan w:val="3"/>
          </w:tcPr>
          <w:p>
            <w:pPr>
              <w:ind w:left="100"/>
              <w:spacing w:after="0" w:line="145" w:lineRule="exact"/>
              <w:rPr>
                <w:sz w:val="20"/>
                <w:szCs w:val="20"/>
                <w:color w:val="auto"/>
              </w:rPr>
            </w:pPr>
            <w:r>
              <w:rPr>
                <w:rFonts w:ascii="Arial" w:cs="Arial" w:eastAsia="Arial" w:hAnsi="Arial"/>
                <w:sz w:val="13"/>
                <w:szCs w:val="13"/>
                <w:color w:val="auto"/>
              </w:rPr>
              <w:t>August 2030</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Bs100,000</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52,268</w:t>
            </w: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Issuance I - Banco de Crédito de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rPr>
                <w:sz w:val="20"/>
                <w:szCs w:val="20"/>
                <w:color w:val="auto"/>
              </w:rPr>
            </w:pPr>
            <w:r>
              <w:rPr>
                <w:rFonts w:ascii="Arial" w:cs="Arial" w:eastAsia="Arial" w:hAnsi="Arial"/>
                <w:sz w:val="13"/>
                <w:szCs w:val="13"/>
                <w:color w:val="auto"/>
              </w:rPr>
              <w:t>Bolivia</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6.25</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August 2028</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Bs70,000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16,895</w:t>
            </w: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August 2028</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Bs70,000</w:t>
            </w:r>
          </w:p>
        </w:tc>
        <w:tc>
          <w:tcPr>
            <w:tcW w:w="740" w:type="dxa"/>
            <w:vAlign w:val="bottom"/>
          </w:tcPr>
          <w:p>
            <w:pPr>
              <w:jc w:val="right"/>
              <w:spacing w:after="0"/>
              <w:rPr>
                <w:sz w:val="20"/>
                <w:szCs w:val="20"/>
                <w:color w:val="auto"/>
              </w:rPr>
            </w:pPr>
            <w:r>
              <w:rPr>
                <w:rFonts w:ascii="Arial" w:cs="Arial" w:eastAsia="Arial" w:hAnsi="Arial"/>
                <w:sz w:val="13"/>
                <w:szCs w:val="13"/>
                <w:color w:val="auto"/>
              </w:rPr>
              <w:t>36,146</w:t>
            </w:r>
          </w:p>
        </w:tc>
        <w:tc>
          <w:tcPr>
            <w:tcW w:w="0" w:type="dxa"/>
            <w:vAlign w:val="bottom"/>
          </w:tcPr>
          <w:p>
            <w:pPr>
              <w:spacing w:after="0"/>
              <w:rPr>
                <w:sz w:val="1"/>
                <w:szCs w:val="1"/>
                <w:color w:val="auto"/>
              </w:rPr>
            </w:pPr>
          </w:p>
        </w:tc>
      </w:tr>
      <w:tr>
        <w:trPr>
          <w:trHeight w:val="338"/>
        </w:trPr>
        <w:tc>
          <w:tcPr>
            <w:tcW w:w="2640" w:type="dxa"/>
            <w:vAlign w:val="bottom"/>
          </w:tcPr>
          <w:p>
            <w:pPr>
              <w:ind w:left="280"/>
              <w:spacing w:after="0"/>
              <w:rPr>
                <w:sz w:val="20"/>
                <w:szCs w:val="20"/>
                <w:color w:val="auto"/>
              </w:rPr>
            </w:pPr>
            <w:r>
              <w:rPr>
                <w:rFonts w:ascii="Arial" w:cs="Arial" w:eastAsia="Arial" w:hAnsi="Arial"/>
                <w:sz w:val="13"/>
                <w:szCs w:val="13"/>
                <w:b w:val="1"/>
                <w:bCs w:val="1"/>
                <w:color w:val="auto"/>
              </w:rPr>
              <w:t>Fourth program</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640" w:type="dxa"/>
            <w:vAlign w:val="bottom"/>
          </w:tcPr>
          <w:p>
            <w:pPr>
              <w:ind w:left="280"/>
              <w:spacing w:after="0" w:line="145" w:lineRule="exact"/>
              <w:rPr>
                <w:sz w:val="20"/>
                <w:szCs w:val="20"/>
                <w:color w:val="auto"/>
              </w:rPr>
            </w:pPr>
            <w:r>
              <w:rPr>
                <w:rFonts w:ascii="Arial" w:cs="Arial" w:eastAsia="Arial" w:hAnsi="Arial"/>
                <w:sz w:val="13"/>
                <w:szCs w:val="13"/>
                <w:color w:val="auto"/>
              </w:rPr>
              <w:t>Fourth issuance (Series B) - Pacífico</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rPr>
                <w:sz w:val="20"/>
                <w:szCs w:val="20"/>
                <w:color w:val="auto"/>
              </w:rPr>
            </w:pPr>
            <w:r>
              <w:rPr>
                <w:rFonts w:ascii="Arial" w:cs="Arial" w:eastAsia="Arial" w:hAnsi="Arial"/>
                <w:sz w:val="13"/>
                <w:szCs w:val="13"/>
                <w:color w:val="auto"/>
              </w:rPr>
              <w:t>Seguros (xii)</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6.03</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December 2035</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US$45,000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149,500</w:t>
            </w: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640" w:type="dxa"/>
            <w:vAlign w:val="bottom"/>
          </w:tcPr>
          <w:p>
            <w:pPr>
              <w:ind w:left="280"/>
              <w:spacing w:after="0"/>
              <w:rPr>
                <w:sz w:val="20"/>
                <w:szCs w:val="20"/>
                <w:color w:val="auto"/>
              </w:rPr>
            </w:pPr>
            <w:r>
              <w:rPr>
                <w:rFonts w:ascii="Arial" w:cs="Arial" w:eastAsia="Arial" w:hAnsi="Arial"/>
                <w:sz w:val="13"/>
                <w:szCs w:val="13"/>
                <w:color w:val="auto"/>
              </w:rPr>
              <w:t>First issuance (Series A) - Mibanco</w:t>
            </w:r>
          </w:p>
        </w:tc>
        <w:tc>
          <w:tcPr>
            <w:tcW w:w="760" w:type="dxa"/>
            <w:vAlign w:val="bottom"/>
          </w:tcPr>
          <w:p>
            <w:pPr>
              <w:jc w:val="right"/>
              <w:ind w:right="196"/>
              <w:spacing w:after="0"/>
              <w:rPr>
                <w:sz w:val="20"/>
                <w:szCs w:val="20"/>
                <w:color w:val="auto"/>
              </w:rPr>
            </w:pPr>
            <w:r>
              <w:rPr>
                <w:rFonts w:ascii="Arial" w:cs="Arial" w:eastAsia="Arial" w:hAnsi="Arial"/>
                <w:sz w:val="13"/>
                <w:szCs w:val="13"/>
                <w:color w:val="auto"/>
              </w:rPr>
              <w:t>5.84</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Semi-annual</w:t>
            </w:r>
          </w:p>
        </w:tc>
        <w:tc>
          <w:tcPr>
            <w:tcW w:w="1600" w:type="dxa"/>
            <w:vAlign w:val="bottom"/>
            <w:gridSpan w:val="3"/>
          </w:tcPr>
          <w:p>
            <w:pPr>
              <w:ind w:left="200"/>
              <w:spacing w:after="0"/>
              <w:rPr>
                <w:sz w:val="20"/>
                <w:szCs w:val="20"/>
                <w:color w:val="auto"/>
              </w:rPr>
            </w:pPr>
            <w:r>
              <w:rPr>
                <w:rFonts w:ascii="Arial" w:cs="Arial" w:eastAsia="Arial" w:hAnsi="Arial"/>
                <w:sz w:val="13"/>
                <w:szCs w:val="13"/>
                <w:color w:val="auto"/>
              </w:rPr>
              <w:t>March 2031</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S/155,000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146,274</w:t>
            </w:r>
          </w:p>
        </w:tc>
        <w:tc>
          <w:tcPr>
            <w:tcW w:w="1040" w:type="dxa"/>
            <w:vAlign w:val="bottom"/>
            <w:gridSpan w:val="3"/>
          </w:tcPr>
          <w:p>
            <w:pPr>
              <w:ind w:left="100"/>
              <w:spacing w:after="0"/>
              <w:rPr>
                <w:sz w:val="20"/>
                <w:szCs w:val="20"/>
                <w:color w:val="auto"/>
              </w:rPr>
            </w:pPr>
            <w:r>
              <w:rPr>
                <w:rFonts w:ascii="Arial" w:cs="Arial" w:eastAsia="Arial" w:hAnsi="Arial"/>
                <w:sz w:val="13"/>
                <w:szCs w:val="13"/>
                <w:color w:val="auto"/>
              </w:rPr>
              <w:t>March 2031</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S/155,000</w:t>
            </w:r>
          </w:p>
        </w:tc>
        <w:tc>
          <w:tcPr>
            <w:tcW w:w="740" w:type="dxa"/>
            <w:vAlign w:val="bottom"/>
          </w:tcPr>
          <w:p>
            <w:pPr>
              <w:jc w:val="right"/>
              <w:spacing w:after="0"/>
              <w:rPr>
                <w:sz w:val="20"/>
                <w:szCs w:val="20"/>
                <w:color w:val="auto"/>
              </w:rPr>
            </w:pPr>
            <w:r>
              <w:rPr>
                <w:rFonts w:ascii="Arial" w:cs="Arial" w:eastAsia="Arial" w:hAnsi="Arial"/>
                <w:sz w:val="13"/>
                <w:szCs w:val="13"/>
                <w:color w:val="auto"/>
              </w:rPr>
              <w:t>146,274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Fifth program</w:t>
      </w:r>
    </w:p>
    <w:p>
      <w:pPr>
        <w:sectPr>
          <w:pgSz w:w="11900" w:h="16838" w:orient="portrait"/>
          <w:cols w:equalWidth="0" w:num="1">
            <w:col w:w="10540"/>
          </w:cols>
          <w:pgMar w:left="940" w:top="361" w:right="419" w:bottom="1440" w:gutter="0" w:footer="0" w:header="0"/>
        </w:sectPr>
      </w:pPr>
    </w:p>
    <w:p>
      <w:pPr>
        <w:spacing w:after="0" w:line="31" w:lineRule="exact"/>
        <w:rPr>
          <w:sz w:val="20"/>
          <w:szCs w:val="20"/>
          <w:color w:val="auto"/>
        </w:rPr>
      </w:pPr>
    </w:p>
    <w:p>
      <w:pPr>
        <w:ind w:left="280" w:firstLine="12"/>
        <w:spacing w:after="0" w:line="247" w:lineRule="auto"/>
        <w:rPr>
          <w:sz w:val="20"/>
          <w:szCs w:val="20"/>
          <w:color w:val="auto"/>
        </w:rPr>
      </w:pPr>
      <w:r>
        <w:rPr>
          <w:rFonts w:ascii="Arial" w:cs="Arial" w:eastAsia="Arial" w:hAnsi="Arial"/>
          <w:sz w:val="13"/>
          <w:szCs w:val="13"/>
          <w:color w:val="auto"/>
        </w:rPr>
        <w:t>First issuance (Serie B) - Mibanco (xiii) First issuance (Series A) - Mibanco (xiv)</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60"/>
        <w:spacing w:after="0" w:line="275" w:lineRule="auto"/>
        <w:rPr>
          <w:sz w:val="20"/>
          <w:szCs w:val="20"/>
          <w:color w:val="auto"/>
        </w:rPr>
      </w:pPr>
      <w:r>
        <w:rPr>
          <w:rFonts w:ascii="Arial" w:cs="Arial" w:eastAsia="Arial" w:hAnsi="Arial"/>
          <w:sz w:val="13"/>
          <w:szCs w:val="13"/>
          <w:b w:val="1"/>
          <w:bCs w:val="1"/>
          <w:color w:val="auto"/>
        </w:rPr>
        <w:t>Negotiable certificate of deposit - Mibanco Colombia</w:t>
      </w:r>
    </w:p>
    <w:p>
      <w:pPr>
        <w:spacing w:after="0" w:line="224" w:lineRule="exact"/>
        <w:rPr>
          <w:sz w:val="20"/>
          <w:szCs w:val="20"/>
          <w:color w:val="auto"/>
        </w:rPr>
      </w:pPr>
    </w:p>
    <w:p>
      <w:pPr>
        <w:ind w:right="460"/>
        <w:spacing w:after="0" w:line="275" w:lineRule="auto"/>
        <w:rPr>
          <w:sz w:val="20"/>
          <w:szCs w:val="20"/>
          <w:color w:val="auto"/>
        </w:rPr>
      </w:pPr>
      <w:r>
        <w:rPr>
          <w:rFonts w:ascii="Arial" w:cs="Arial" w:eastAsia="Arial" w:hAnsi="Arial"/>
          <w:sz w:val="13"/>
          <w:szCs w:val="13"/>
          <w:b w:val="1"/>
          <w:bCs w:val="1"/>
          <w:color w:val="auto"/>
        </w:rPr>
        <w:t>Negotiable certificate of deposit - Mibanco</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Interest payable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860" w:type="dxa"/>
            <w:vAlign w:val="bottom"/>
          </w:tcPr>
          <w:p>
            <w:pPr>
              <w:jc w:val="center"/>
              <w:ind w:right="56"/>
              <w:spacing w:after="0"/>
              <w:rPr>
                <w:sz w:val="20"/>
                <w:szCs w:val="20"/>
                <w:color w:val="auto"/>
              </w:rPr>
            </w:pPr>
            <w:r>
              <w:rPr>
                <w:rFonts w:ascii="Arial" w:cs="Arial" w:eastAsia="Arial" w:hAnsi="Arial"/>
                <w:sz w:val="13"/>
                <w:szCs w:val="13"/>
                <w:color w:val="auto"/>
              </w:rPr>
              <w:t>7.00</w:t>
            </w:r>
          </w:p>
        </w:tc>
        <w:tc>
          <w:tcPr>
            <w:tcW w:w="960" w:type="dxa"/>
            <w:vAlign w:val="bottom"/>
          </w:tcPr>
          <w:p>
            <w:pPr>
              <w:ind w:left="120"/>
              <w:spacing w:after="0"/>
              <w:rPr>
                <w:sz w:val="20"/>
                <w:szCs w:val="20"/>
                <w:color w:val="auto"/>
              </w:rPr>
            </w:pPr>
            <w:r>
              <w:rPr>
                <w:rFonts w:ascii="Arial" w:cs="Arial" w:eastAsia="Arial" w:hAnsi="Arial"/>
                <w:sz w:val="13"/>
                <w:szCs w:val="13"/>
                <w:color w:val="auto"/>
              </w:rPr>
              <w:t>Semi-annual</w:t>
            </w:r>
          </w:p>
        </w:tc>
        <w:tc>
          <w:tcPr>
            <w:tcW w:w="1340" w:type="dxa"/>
            <w:vAlign w:val="bottom"/>
          </w:tcPr>
          <w:p>
            <w:pPr>
              <w:ind w:left="120"/>
              <w:spacing w:after="0"/>
              <w:rPr>
                <w:sz w:val="20"/>
                <w:szCs w:val="20"/>
                <w:color w:val="auto"/>
              </w:rPr>
            </w:pPr>
            <w:r>
              <w:rPr>
                <w:rFonts w:ascii="Arial" w:cs="Arial" w:eastAsia="Arial" w:hAnsi="Arial"/>
                <w:sz w:val="13"/>
                <w:szCs w:val="13"/>
                <w:color w:val="auto"/>
              </w:rPr>
              <w:t>August 2035</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S/127,552</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127,552</w:t>
            </w:r>
          </w:p>
        </w:tc>
        <w:tc>
          <w:tcPr>
            <w:tcW w:w="940" w:type="dxa"/>
            <w:vAlign w:val="bottom"/>
          </w:tcPr>
          <w:p>
            <w:pPr>
              <w:ind w:lef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6"/>
        </w:trPr>
        <w:tc>
          <w:tcPr>
            <w:tcW w:w="860" w:type="dxa"/>
            <w:vAlign w:val="bottom"/>
          </w:tcPr>
          <w:p>
            <w:pPr>
              <w:jc w:val="center"/>
              <w:ind w:right="56"/>
              <w:spacing w:after="0"/>
              <w:rPr>
                <w:sz w:val="20"/>
                <w:szCs w:val="20"/>
                <w:color w:val="auto"/>
              </w:rPr>
            </w:pPr>
            <w:r>
              <w:rPr>
                <w:rFonts w:ascii="Arial" w:cs="Arial" w:eastAsia="Arial" w:hAnsi="Arial"/>
                <w:sz w:val="13"/>
                <w:szCs w:val="13"/>
                <w:color w:val="auto"/>
              </w:rPr>
              <w:t>7.56</w:t>
            </w:r>
          </w:p>
        </w:tc>
        <w:tc>
          <w:tcPr>
            <w:tcW w:w="960" w:type="dxa"/>
            <w:vAlign w:val="bottom"/>
          </w:tcPr>
          <w:p>
            <w:pPr>
              <w:ind w:left="120"/>
              <w:spacing w:after="0"/>
              <w:rPr>
                <w:sz w:val="20"/>
                <w:szCs w:val="20"/>
                <w:color w:val="auto"/>
              </w:rPr>
            </w:pPr>
            <w:r>
              <w:rPr>
                <w:rFonts w:ascii="Arial" w:cs="Arial" w:eastAsia="Arial" w:hAnsi="Arial"/>
                <w:sz w:val="13"/>
                <w:szCs w:val="13"/>
                <w:color w:val="auto"/>
              </w:rPr>
              <w:t>Semi-annual</w:t>
            </w:r>
          </w:p>
        </w:tc>
        <w:tc>
          <w:tcPr>
            <w:tcW w:w="1340" w:type="dxa"/>
            <w:vAlign w:val="bottom"/>
          </w:tcPr>
          <w:p>
            <w:pPr>
              <w:ind w:left="120"/>
              <w:spacing w:after="0"/>
              <w:rPr>
                <w:sz w:val="20"/>
                <w:szCs w:val="20"/>
                <w:color w:val="auto"/>
              </w:rPr>
            </w:pPr>
            <w:r>
              <w:rPr>
                <w:rFonts w:ascii="Arial" w:cs="Arial" w:eastAsia="Arial" w:hAnsi="Arial"/>
                <w:sz w:val="13"/>
                <w:szCs w:val="13"/>
                <w:color w:val="auto"/>
              </w:rPr>
              <w:t>March 2035</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S/100,000</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100,000</w:t>
            </w:r>
          </w:p>
        </w:tc>
        <w:tc>
          <w:tcPr>
            <w:tcW w:w="940" w:type="dxa"/>
            <w:vAlign w:val="bottom"/>
          </w:tcPr>
          <w:p>
            <w:pPr>
              <w:ind w:lef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8,837,719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8,016,712</w:t>
            </w:r>
          </w:p>
        </w:tc>
      </w:tr>
      <w:tr>
        <w:trPr>
          <w:trHeight w:val="302"/>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January</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5"/>
        </w:trPr>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100"/>
              <w:spacing w:after="0" w:line="145" w:lineRule="exact"/>
              <w:rPr>
                <w:sz w:val="20"/>
                <w:szCs w:val="20"/>
                <w:color w:val="auto"/>
              </w:rPr>
            </w:pPr>
            <w:r>
              <w:rPr>
                <w:rFonts w:ascii="Arial" w:cs="Arial" w:eastAsia="Arial" w:hAnsi="Arial"/>
                <w:sz w:val="13"/>
                <w:szCs w:val="13"/>
                <w:color w:val="auto"/>
              </w:rPr>
              <w:t>2025 /</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5"/>
        </w:trPr>
        <w:tc>
          <w:tcPr>
            <w:tcW w:w="860" w:type="dxa"/>
            <w:vAlign w:val="bottom"/>
          </w:tcPr>
          <w:p>
            <w:pPr>
              <w:spacing w:after="0" w:line="145" w:lineRule="exact"/>
              <w:rPr>
                <w:sz w:val="20"/>
                <w:szCs w:val="20"/>
                <w:color w:val="auto"/>
              </w:rPr>
            </w:pPr>
            <w:r>
              <w:rPr>
                <w:rFonts w:ascii="Arial" w:cs="Arial" w:eastAsia="Arial" w:hAnsi="Arial"/>
                <w:sz w:val="13"/>
                <w:szCs w:val="13"/>
                <w:color w:val="auto"/>
              </w:rPr>
              <w:t>From 1.00 to</w:t>
            </w:r>
          </w:p>
        </w:tc>
        <w:tc>
          <w:tcPr>
            <w:tcW w:w="960" w:type="dxa"/>
            <w:vAlign w:val="bottom"/>
          </w:tcPr>
          <w:p>
            <w:pPr>
              <w:spacing w:after="0"/>
              <w:rPr>
                <w:sz w:val="12"/>
                <w:szCs w:val="12"/>
                <w:color w:val="auto"/>
              </w:rPr>
            </w:pPr>
          </w:p>
        </w:tc>
        <w:tc>
          <w:tcPr>
            <w:tcW w:w="1340" w:type="dxa"/>
            <w:vAlign w:val="bottom"/>
          </w:tcPr>
          <w:p>
            <w:pPr>
              <w:ind w:left="120"/>
              <w:spacing w:after="0" w:line="145" w:lineRule="exact"/>
              <w:rPr>
                <w:sz w:val="20"/>
                <w:szCs w:val="20"/>
                <w:color w:val="auto"/>
              </w:rPr>
            </w:pPr>
            <w:r>
              <w:rPr>
                <w:rFonts w:ascii="Arial" w:cs="Arial" w:eastAsia="Arial" w:hAnsi="Arial"/>
                <w:sz w:val="13"/>
                <w:szCs w:val="13"/>
                <w:color w:val="auto"/>
              </w:rPr>
              <w:t>January 2026 /</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100"/>
              <w:spacing w:after="0" w:line="145" w:lineRule="exact"/>
              <w:rPr>
                <w:sz w:val="20"/>
                <w:szCs w:val="20"/>
                <w:color w:val="auto"/>
              </w:rPr>
            </w:pPr>
            <w:r>
              <w:rPr>
                <w:rFonts w:ascii="Arial" w:cs="Arial" w:eastAsia="Arial" w:hAnsi="Arial"/>
                <w:sz w:val="13"/>
                <w:szCs w:val="13"/>
                <w:color w:val="auto"/>
              </w:rPr>
              <w:t>October</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5"/>
        </w:trPr>
        <w:tc>
          <w:tcPr>
            <w:tcW w:w="860" w:type="dxa"/>
            <w:vAlign w:val="bottom"/>
          </w:tcPr>
          <w:p>
            <w:pPr>
              <w:jc w:val="center"/>
              <w:ind w:right="36"/>
              <w:spacing w:after="0" w:line="145" w:lineRule="exact"/>
              <w:rPr>
                <w:sz w:val="20"/>
                <w:szCs w:val="20"/>
                <w:color w:val="auto"/>
              </w:rPr>
            </w:pPr>
            <w:r>
              <w:rPr>
                <w:rFonts w:ascii="Arial" w:cs="Arial" w:eastAsia="Arial" w:hAnsi="Arial"/>
                <w:sz w:val="13"/>
                <w:szCs w:val="13"/>
                <w:color w:val="auto"/>
                <w:w w:val="98"/>
              </w:rPr>
              <w:t>14.35</w:t>
            </w:r>
          </w:p>
        </w:tc>
        <w:tc>
          <w:tcPr>
            <w:tcW w:w="960" w:type="dxa"/>
            <w:vAlign w:val="bottom"/>
          </w:tcPr>
          <w:p>
            <w:pPr>
              <w:ind w:left="120"/>
              <w:spacing w:after="0" w:line="145" w:lineRule="exact"/>
              <w:rPr>
                <w:sz w:val="20"/>
                <w:szCs w:val="20"/>
                <w:color w:val="auto"/>
              </w:rPr>
            </w:pPr>
            <w:r>
              <w:rPr>
                <w:rFonts w:ascii="Arial" w:cs="Arial" w:eastAsia="Arial" w:hAnsi="Arial"/>
                <w:sz w:val="13"/>
                <w:szCs w:val="13"/>
                <w:color w:val="auto"/>
              </w:rPr>
              <w:t>To maturity</w:t>
            </w:r>
          </w:p>
        </w:tc>
        <w:tc>
          <w:tcPr>
            <w:tcW w:w="1340" w:type="dxa"/>
            <w:vAlign w:val="bottom"/>
          </w:tcPr>
          <w:p>
            <w:pPr>
              <w:ind w:left="120"/>
              <w:spacing w:after="0" w:line="145" w:lineRule="exact"/>
              <w:rPr>
                <w:sz w:val="20"/>
                <w:szCs w:val="20"/>
                <w:color w:val="auto"/>
              </w:rPr>
            </w:pPr>
            <w:r>
              <w:rPr>
                <w:rFonts w:ascii="Arial" w:cs="Arial" w:eastAsia="Arial" w:hAnsi="Arial"/>
                <w:sz w:val="13"/>
                <w:szCs w:val="13"/>
                <w:color w:val="auto"/>
              </w:rPr>
              <w:t>December 2028</w:t>
            </w:r>
          </w:p>
        </w:tc>
        <w:tc>
          <w:tcPr>
            <w:tcW w:w="1160" w:type="dxa"/>
            <w:vAlign w:val="bottom"/>
          </w:tcPr>
          <w:p>
            <w:pPr>
              <w:jc w:val="right"/>
              <w:ind w:right="156"/>
              <w:spacing w:after="0" w:line="145" w:lineRule="exact"/>
              <w:rPr>
                <w:sz w:val="20"/>
                <w:szCs w:val="20"/>
                <w:color w:val="auto"/>
              </w:rPr>
            </w:pPr>
            <w:r>
              <w:rPr>
                <w:rFonts w:ascii="Arial" w:cs="Arial" w:eastAsia="Arial" w:hAnsi="Arial"/>
                <w:sz w:val="13"/>
                <w:szCs w:val="13"/>
                <w:color w:val="auto"/>
              </w:rPr>
              <w:t>$1,691,813</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1,602,002</w:t>
            </w:r>
          </w:p>
        </w:tc>
        <w:tc>
          <w:tcPr>
            <w:tcW w:w="100" w:type="dxa"/>
            <w:vAlign w:val="bottom"/>
          </w:tcPr>
          <w:p>
            <w:pPr>
              <w:spacing w:after="0"/>
              <w:rPr>
                <w:sz w:val="12"/>
                <w:szCs w:val="12"/>
                <w:color w:val="auto"/>
              </w:rPr>
            </w:pPr>
          </w:p>
        </w:tc>
        <w:tc>
          <w:tcPr>
            <w:tcW w:w="940" w:type="dxa"/>
            <w:vAlign w:val="bottom"/>
          </w:tcPr>
          <w:p>
            <w:pPr>
              <w:ind w:left="100"/>
              <w:spacing w:after="0" w:line="145" w:lineRule="exact"/>
              <w:rPr>
                <w:sz w:val="20"/>
                <w:szCs w:val="20"/>
                <w:color w:val="auto"/>
              </w:rPr>
            </w:pPr>
            <w:r>
              <w:rPr>
                <w:rFonts w:ascii="Arial" w:cs="Arial" w:eastAsia="Arial" w:hAnsi="Arial"/>
                <w:sz w:val="13"/>
                <w:szCs w:val="13"/>
                <w:color w:val="auto"/>
              </w:rPr>
              <w:t>2027</w:t>
            </w:r>
          </w:p>
        </w:tc>
        <w:tc>
          <w:tcPr>
            <w:tcW w:w="1040" w:type="dxa"/>
            <w:vAlign w:val="bottom"/>
          </w:tcPr>
          <w:p>
            <w:pPr>
              <w:jc w:val="right"/>
              <w:ind w:right="136"/>
              <w:spacing w:after="0" w:line="145" w:lineRule="exact"/>
              <w:rPr>
                <w:sz w:val="20"/>
                <w:szCs w:val="20"/>
                <w:color w:val="auto"/>
              </w:rPr>
            </w:pPr>
            <w:r>
              <w:rPr>
                <w:rFonts w:ascii="Arial" w:cs="Arial" w:eastAsia="Arial" w:hAnsi="Arial"/>
                <w:sz w:val="13"/>
                <w:szCs w:val="13"/>
                <w:color w:val="auto"/>
              </w:rPr>
              <w:t>$1,343,411</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1,254,245</w:t>
            </w:r>
          </w:p>
        </w:tc>
      </w:tr>
      <w:tr>
        <w:trPr>
          <w:trHeight w:val="145"/>
        </w:trPr>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100"/>
              <w:spacing w:after="0" w:line="145" w:lineRule="exact"/>
              <w:rPr>
                <w:sz w:val="20"/>
                <w:szCs w:val="20"/>
                <w:color w:val="auto"/>
              </w:rPr>
            </w:pPr>
            <w:r>
              <w:rPr>
                <w:rFonts w:ascii="Arial" w:cs="Arial" w:eastAsia="Arial" w:hAnsi="Arial"/>
                <w:sz w:val="13"/>
                <w:szCs w:val="13"/>
                <w:color w:val="auto"/>
              </w:rPr>
              <w:t>January</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5"/>
        </w:trPr>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100"/>
              <w:spacing w:after="0" w:line="145" w:lineRule="exact"/>
              <w:rPr>
                <w:sz w:val="20"/>
                <w:szCs w:val="20"/>
                <w:color w:val="auto"/>
              </w:rPr>
            </w:pPr>
            <w:r>
              <w:rPr>
                <w:rFonts w:ascii="Arial" w:cs="Arial" w:eastAsia="Arial" w:hAnsi="Arial"/>
                <w:sz w:val="13"/>
                <w:szCs w:val="13"/>
                <w:color w:val="auto"/>
              </w:rPr>
              <w:t>2025 /</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5"/>
        </w:trPr>
        <w:tc>
          <w:tcPr>
            <w:tcW w:w="860" w:type="dxa"/>
            <w:vAlign w:val="bottom"/>
          </w:tcPr>
          <w:p>
            <w:pPr>
              <w:spacing w:after="0" w:line="145" w:lineRule="exact"/>
              <w:rPr>
                <w:sz w:val="20"/>
                <w:szCs w:val="20"/>
                <w:color w:val="auto"/>
              </w:rPr>
            </w:pPr>
            <w:r>
              <w:rPr>
                <w:rFonts w:ascii="Arial" w:cs="Arial" w:eastAsia="Arial" w:hAnsi="Arial"/>
                <w:sz w:val="13"/>
                <w:szCs w:val="13"/>
                <w:color w:val="auto"/>
              </w:rPr>
              <w:t>From 3.50 to</w:t>
            </w:r>
          </w:p>
        </w:tc>
        <w:tc>
          <w:tcPr>
            <w:tcW w:w="960" w:type="dxa"/>
            <w:vAlign w:val="bottom"/>
          </w:tcPr>
          <w:p>
            <w:pPr>
              <w:spacing w:after="0"/>
              <w:rPr>
                <w:sz w:val="12"/>
                <w:szCs w:val="12"/>
                <w:color w:val="auto"/>
              </w:rPr>
            </w:pPr>
          </w:p>
        </w:tc>
        <w:tc>
          <w:tcPr>
            <w:tcW w:w="1340" w:type="dxa"/>
            <w:vAlign w:val="bottom"/>
          </w:tcPr>
          <w:p>
            <w:pPr>
              <w:ind w:left="120"/>
              <w:spacing w:after="0" w:line="145" w:lineRule="exact"/>
              <w:rPr>
                <w:sz w:val="20"/>
                <w:szCs w:val="20"/>
                <w:color w:val="auto"/>
              </w:rPr>
            </w:pPr>
            <w:r>
              <w:rPr>
                <w:rFonts w:ascii="Arial" w:cs="Arial" w:eastAsia="Arial" w:hAnsi="Arial"/>
                <w:sz w:val="13"/>
                <w:szCs w:val="13"/>
                <w:color w:val="auto"/>
              </w:rPr>
              <w:t>January 2026 /</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100"/>
              <w:spacing w:after="0" w:line="145" w:lineRule="exact"/>
              <w:rPr>
                <w:sz w:val="20"/>
                <w:szCs w:val="20"/>
                <w:color w:val="auto"/>
              </w:rPr>
            </w:pPr>
            <w:r>
              <w:rPr>
                <w:rFonts w:ascii="Arial" w:cs="Arial" w:eastAsia="Arial" w:hAnsi="Arial"/>
                <w:sz w:val="13"/>
                <w:szCs w:val="13"/>
                <w:color w:val="auto"/>
              </w:rPr>
              <w:t>September</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3"/>
        </w:trPr>
        <w:tc>
          <w:tcPr>
            <w:tcW w:w="860" w:type="dxa"/>
            <w:vAlign w:val="bottom"/>
          </w:tcPr>
          <w:p>
            <w:pPr>
              <w:jc w:val="center"/>
              <w:ind w:right="56"/>
              <w:spacing w:after="0"/>
              <w:rPr>
                <w:sz w:val="20"/>
                <w:szCs w:val="20"/>
                <w:color w:val="auto"/>
              </w:rPr>
            </w:pPr>
            <w:r>
              <w:rPr>
                <w:rFonts w:ascii="Arial" w:cs="Arial" w:eastAsia="Arial" w:hAnsi="Arial"/>
                <w:sz w:val="13"/>
                <w:szCs w:val="13"/>
                <w:color w:val="auto"/>
              </w:rPr>
              <w:t>7.20</w:t>
            </w:r>
          </w:p>
        </w:tc>
        <w:tc>
          <w:tcPr>
            <w:tcW w:w="960" w:type="dxa"/>
            <w:vAlign w:val="bottom"/>
          </w:tcPr>
          <w:p>
            <w:pPr>
              <w:ind w:left="120"/>
              <w:spacing w:after="0"/>
              <w:rPr>
                <w:sz w:val="20"/>
                <w:szCs w:val="20"/>
                <w:color w:val="auto"/>
              </w:rPr>
            </w:pPr>
            <w:r>
              <w:rPr>
                <w:rFonts w:ascii="Arial" w:cs="Arial" w:eastAsia="Arial" w:hAnsi="Arial"/>
                <w:sz w:val="13"/>
                <w:szCs w:val="13"/>
                <w:color w:val="auto"/>
              </w:rPr>
              <w:t>Annual</w:t>
            </w:r>
          </w:p>
        </w:tc>
        <w:tc>
          <w:tcPr>
            <w:tcW w:w="1340" w:type="dxa"/>
            <w:vAlign w:val="bottom"/>
          </w:tcPr>
          <w:p>
            <w:pPr>
              <w:ind w:left="120"/>
              <w:spacing w:after="0"/>
              <w:rPr>
                <w:sz w:val="20"/>
                <w:szCs w:val="20"/>
                <w:color w:val="auto"/>
              </w:rPr>
            </w:pPr>
            <w:r>
              <w:rPr>
                <w:rFonts w:ascii="Arial" w:cs="Arial" w:eastAsia="Arial" w:hAnsi="Arial"/>
                <w:sz w:val="13"/>
                <w:szCs w:val="13"/>
                <w:color w:val="auto"/>
              </w:rPr>
              <w:t>November 2029</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S/278,630</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278,630</w:t>
            </w:r>
          </w:p>
        </w:tc>
        <w:tc>
          <w:tcPr>
            <w:tcW w:w="940" w:type="dxa"/>
            <w:vAlign w:val="bottom"/>
          </w:tcPr>
          <w:p>
            <w:pPr>
              <w:ind w:left="100"/>
              <w:spacing w:after="0"/>
              <w:rPr>
                <w:sz w:val="20"/>
                <w:szCs w:val="20"/>
                <w:color w:val="auto"/>
              </w:rPr>
            </w:pPr>
            <w:r>
              <w:rPr>
                <w:rFonts w:ascii="Arial" w:cs="Arial" w:eastAsia="Arial" w:hAnsi="Arial"/>
                <w:sz w:val="13"/>
                <w:szCs w:val="13"/>
                <w:color w:val="auto"/>
              </w:rPr>
              <w:t>2026</w:t>
            </w:r>
          </w:p>
        </w:tc>
        <w:tc>
          <w:tcPr>
            <w:tcW w:w="1040" w:type="dxa"/>
            <w:vAlign w:val="bottom"/>
          </w:tcPr>
          <w:p>
            <w:pPr>
              <w:jc w:val="right"/>
              <w:ind w:right="136"/>
              <w:spacing w:after="0"/>
              <w:rPr>
                <w:sz w:val="20"/>
                <w:szCs w:val="20"/>
                <w:color w:val="auto"/>
              </w:rPr>
            </w:pPr>
            <w:r>
              <w:rPr>
                <w:rFonts w:ascii="Arial" w:cs="Arial" w:eastAsia="Arial" w:hAnsi="Arial"/>
                <w:sz w:val="13"/>
                <w:szCs w:val="13"/>
                <w:color w:val="auto"/>
              </w:rPr>
              <w:t>S/314,870</w:t>
            </w:r>
          </w:p>
        </w:tc>
        <w:tc>
          <w:tcPr>
            <w:tcW w:w="740" w:type="dxa"/>
            <w:vAlign w:val="bottom"/>
          </w:tcPr>
          <w:p>
            <w:pPr>
              <w:jc w:val="right"/>
              <w:spacing w:after="0"/>
              <w:rPr>
                <w:sz w:val="20"/>
                <w:szCs w:val="20"/>
                <w:color w:val="auto"/>
              </w:rPr>
            </w:pPr>
            <w:r>
              <w:rPr>
                <w:rFonts w:ascii="Arial" w:cs="Arial" w:eastAsia="Arial" w:hAnsi="Arial"/>
                <w:sz w:val="13"/>
                <w:szCs w:val="13"/>
                <w:color w:val="auto"/>
              </w:rPr>
              <w:t>118,813</w:t>
            </w:r>
          </w:p>
        </w:tc>
      </w:tr>
      <w:tr>
        <w:trPr>
          <w:trHeight w:val="20"/>
        </w:trPr>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77"/>
        </w:trPr>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13,735,609</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17,023,586</w:t>
            </w:r>
          </w:p>
        </w:tc>
      </w:tr>
      <w:tr>
        <w:trPr>
          <w:trHeight w:val="165"/>
        </w:trPr>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289,926</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244,857</w:t>
            </w:r>
          </w:p>
        </w:tc>
      </w:tr>
      <w:tr>
        <w:trPr>
          <w:trHeight w:val="20"/>
        </w:trPr>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73"/>
        </w:trPr>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14,025,535</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17,268,443</w:t>
            </w:r>
          </w:p>
        </w:tc>
      </w:tr>
      <w:tr>
        <w:trPr>
          <w:trHeight w:val="24"/>
        </w:trPr>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2500" w:space="140"/>
            <w:col w:w="7900"/>
          </w:cols>
          <w:pgMar w:left="940" w:top="361" w:right="419" w:bottom="1440" w:gutter="0" w:footer="0" w:header="0"/>
          <w:type w:val="continuous"/>
        </w:sectPr>
      </w:pPr>
    </w:p>
    <w:p>
      <w:pPr>
        <w:spacing w:after="0" w:line="133"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39370</wp:posOffset>
            </wp:positionV>
            <wp:extent cx="714692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540"/>
          </w:cols>
          <w:pgMar w:left="940" w:top="361" w:right="419" w:bottom="1440" w:gutter="0" w:footer="0" w:header="0"/>
          <w:type w:val="continuous"/>
        </w:sectPr>
      </w:pPr>
    </w:p>
    <w:bookmarkStart w:id="104" w:name="page105"/>
    <w:bookmarkEnd w:id="104"/>
    <w:p>
      <w:pPr>
        <w:ind w:left="4" w:right="160"/>
        <w:spacing w:after="0" w:line="274" w:lineRule="auto"/>
        <w:rPr>
          <w:sz w:val="20"/>
          <w:szCs w:val="20"/>
          <w:color w:val="auto"/>
        </w:rPr>
      </w:pPr>
      <w:r>
        <w:rPr>
          <w:rFonts w:ascii="Arial" w:cs="Arial" w:eastAsia="Arial" w:hAnsi="Arial"/>
          <w:sz w:val="16"/>
          <w:szCs w:val="16"/>
          <w:color w:val="auto"/>
        </w:rPr>
        <w:t>The international issuances maintain certain operational and finance covenants which, in Management’s opinion, the Group has complied with as of the dates of the consolidated statement of financial position.</w:t>
      </w:r>
    </w:p>
    <w:p>
      <w:pPr>
        <w:spacing w:after="0" w:line="123" w:lineRule="exact"/>
        <w:rPr>
          <w:sz w:val="20"/>
          <w:szCs w:val="20"/>
          <w:color w:val="auto"/>
        </w:rPr>
      </w:pPr>
    </w:p>
    <w:p>
      <w:pPr>
        <w:ind w:left="584" w:hanging="584"/>
        <w:spacing w:after="0" w:line="241"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On January 11, 2024, the Bank carried out the issuance of Senior Notes under the Medium-Term Note Program for a total of US$500.0 million in U.S. Dollars, at a coupon rate of 5.85 percent, and S/1,150.0 million in soles, at a coupon rate of 7.85 percent; both issuances maturing in January 2029. Until December 11, 2028, the Bank may redeem all or part of the Senior Notes at a redemption price equal to the greater of (i) 100.0 percent of the principal amount of the Senior Notes, and (ii) the sum of the remaining cash flows discounted at a rate equal to the U.S. Treasury interest rate plus 30 basis points (for the U.S. Dollar issuance) and the interest rate of the Sovereign Bonds issued by the Government of Peru or another comparable security plus 30 basis points (for the sol issuance). The principal payment will take place on the maturity date of the Senior Notes or when the Bank executes their redemption. Beginning on December 11, 2028, the Bank may redeem all or part of the Notes at a redemption price equal to 100.0 percent of the aggregate principal amount of the Notes to be redeemed.</w:t>
      </w:r>
    </w:p>
    <w:p>
      <w:pPr>
        <w:spacing w:after="0" w:line="150" w:lineRule="exact"/>
        <w:rPr>
          <w:rFonts w:ascii="Arial" w:cs="Arial" w:eastAsia="Arial" w:hAnsi="Arial"/>
          <w:sz w:val="16"/>
          <w:szCs w:val="16"/>
          <w:color w:val="auto"/>
        </w:rPr>
      </w:pPr>
    </w:p>
    <w:p>
      <w:pPr>
        <w:ind w:left="584" w:right="80" w:hanging="584"/>
        <w:spacing w:after="0" w:line="274"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On September 28, 2017, Pacífico S.A. Entidad Prestadora de Salud carried out the issuance of Senior Notes for an amount of approximately S/130.0 million. These securities bear a fixed annual interest rate of 6.59 percent, with a maturity date of September 28, 2037.</w:t>
      </w:r>
    </w:p>
    <w:p>
      <w:pPr>
        <w:spacing w:after="0" w:line="122" w:lineRule="exact"/>
        <w:rPr>
          <w:rFonts w:ascii="Arial" w:cs="Arial" w:eastAsia="Arial" w:hAnsi="Arial"/>
          <w:sz w:val="16"/>
          <w:szCs w:val="16"/>
          <w:color w:val="auto"/>
        </w:rPr>
      </w:pPr>
    </w:p>
    <w:p>
      <w:pPr>
        <w:jc w:val="both"/>
        <w:ind w:left="584" w:hanging="584"/>
        <w:spacing w:after="0" w:line="246"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of December 31, 2024, the Bank maintained a cross-currency swap (CCS) with a notional amount of ¥3,000.0 million, equivalent to S/71.9 million, see Note 12(c), which was decomposed by risk variables into two cross-currency swaps (CCS) for the purpose of being designated as</w:t>
      </w:r>
    </w:p>
    <w:p>
      <w:pPr>
        <w:ind w:left="584" w:right="160" w:hanging="5"/>
        <w:spacing w:after="0" w:line="253" w:lineRule="auto"/>
        <w:tabs>
          <w:tab w:leader="none" w:pos="77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 cash flow hedge of a fixed-rate yen-denominated bond, which was converted into soles through this swap, and (ii) a cash flow hedge of loan placements.</w:t>
      </w:r>
    </w:p>
    <w:p>
      <w:pPr>
        <w:spacing w:after="0" w:line="138" w:lineRule="exact"/>
        <w:rPr>
          <w:rFonts w:ascii="Arial" w:cs="Arial" w:eastAsia="Arial" w:hAnsi="Arial"/>
          <w:sz w:val="16"/>
          <w:szCs w:val="16"/>
          <w:color w:val="auto"/>
        </w:rPr>
      </w:pPr>
    </w:p>
    <w:p>
      <w:pPr>
        <w:ind w:left="584" w:right="60" w:hanging="584"/>
        <w:spacing w:after="0" w:line="274"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of January 11, 2025, the bond was fully amortized. This instrument was issued in September 2019 under the Medium-Term Note Program for an amount of US$700.0 million, with a semiannual coupon rate of 2.70 percent per year, and a maturity date of January 2025.</w:t>
      </w:r>
    </w:p>
    <w:p>
      <w:pPr>
        <w:spacing w:after="0" w:line="122" w:lineRule="exact"/>
        <w:rPr>
          <w:rFonts w:ascii="Arial" w:cs="Arial" w:eastAsia="Arial" w:hAnsi="Arial"/>
          <w:sz w:val="16"/>
          <w:szCs w:val="16"/>
          <w:color w:val="auto"/>
        </w:rPr>
      </w:pPr>
    </w:p>
    <w:p>
      <w:pPr>
        <w:jc w:val="both"/>
        <w:ind w:left="584" w:right="440"/>
        <w:spacing w:after="0" w:line="255" w:lineRule="auto"/>
        <w:rPr>
          <w:rFonts w:ascii="Arial" w:cs="Arial" w:eastAsia="Arial" w:hAnsi="Arial"/>
          <w:sz w:val="16"/>
          <w:szCs w:val="16"/>
          <w:color w:val="auto"/>
        </w:rPr>
      </w:pPr>
      <w:r>
        <w:rPr>
          <w:rFonts w:ascii="Arial" w:cs="Arial" w:eastAsia="Arial" w:hAnsi="Arial"/>
          <w:sz w:val="16"/>
          <w:szCs w:val="16"/>
          <w:color w:val="auto"/>
        </w:rPr>
        <w:t>As of December 31, 2024, the Bank maintained a cross-currency swap (CCS) with a notional amount of US$220.0 million, equivalent to S/828.1 million, see Note 12(c), which was designated as a partial cash flow hedge of a fixed-rate U.S. Dollar-denominated senior note; through this CCS, the senior note was economically converted into a fixed-rate sol-denominated instrument.</w:t>
      </w:r>
    </w:p>
    <w:p>
      <w:pPr>
        <w:spacing w:after="0" w:line="137" w:lineRule="exact"/>
        <w:rPr>
          <w:rFonts w:ascii="Arial" w:cs="Arial" w:eastAsia="Arial" w:hAnsi="Arial"/>
          <w:sz w:val="16"/>
          <w:szCs w:val="16"/>
          <w:color w:val="auto"/>
        </w:rPr>
      </w:pPr>
    </w:p>
    <w:p>
      <w:pPr>
        <w:ind w:left="584" w:right="80" w:hanging="584"/>
        <w:spacing w:after="0" w:line="274"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of June 17, 2025, the bond was fully amortized. This bond was issued in June 2020 under the Medium-Term Note Program for an amount of US$500.0 million, with a semiannual coupon rate of 2.75 percent per year and a maturity date of June 2025.</w:t>
      </w:r>
    </w:p>
    <w:p>
      <w:pPr>
        <w:spacing w:after="0" w:line="122" w:lineRule="exact"/>
        <w:rPr>
          <w:rFonts w:ascii="Arial" w:cs="Arial" w:eastAsia="Arial" w:hAnsi="Arial"/>
          <w:sz w:val="16"/>
          <w:szCs w:val="16"/>
          <w:color w:val="auto"/>
        </w:rPr>
      </w:pPr>
    </w:p>
    <w:p>
      <w:pPr>
        <w:ind w:left="584" w:right="20" w:hanging="584"/>
        <w:spacing w:after="0" w:line="255"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On June 26, 2025, Banco de Crédito de Bolivia issued a Corporate Bond under its First Program, Single Series, for Bs85.0 million at a semiannual coupon rate of 6.40 percent per year, with a maturity date of April 23, 2037. The principal will be paid at maturity or in the event of early redemption by the entity.</w:t>
      </w:r>
    </w:p>
    <w:p>
      <w:pPr>
        <w:spacing w:after="0" w:line="137" w:lineRule="exact"/>
        <w:rPr>
          <w:rFonts w:ascii="Arial" w:cs="Arial" w:eastAsia="Arial" w:hAnsi="Arial"/>
          <w:sz w:val="16"/>
          <w:szCs w:val="16"/>
          <w:color w:val="auto"/>
        </w:rPr>
      </w:pPr>
    </w:p>
    <w:p>
      <w:pPr>
        <w:ind w:left="584" w:right="60" w:hanging="584"/>
        <w:spacing w:after="0" w:line="239"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On April 30, 2025, the Bank issued Subordinated Notes under the Medium-Term Note Program for US$750.0 million at a semiannual coupon rate of 6.45 percent, maturing on July 30, 2035, denominated ‘6.45 percent Subordinated Fixed-to-Fixed Rate Notes Due 2035 (Callable 2030)’. Beginning on July 30, 2030, a fixed interest rate equal to the U.S. Treasury rate comparable to a 5-year maturity plus 248.6 basis points will be paid. Starting on April 30, 2030, the Bank may redeem all or part of the subordinated notes at a redemption price of 100.0 percent of the aggregate principal amount of the subordinated notes to be redeemed. Following that date, the Bank may redeem all or part of the subordinated notes at a redemption price equal to the greater of (1) 100.0 percent of the principal amount of the subordinated notes, and</w:t>
      </w:r>
    </w:p>
    <w:p>
      <w:pPr>
        <w:spacing w:after="0" w:line="2" w:lineRule="exact"/>
        <w:rPr>
          <w:rFonts w:ascii="Arial" w:cs="Arial" w:eastAsia="Arial" w:hAnsi="Arial"/>
          <w:sz w:val="16"/>
          <w:szCs w:val="16"/>
          <w:color w:val="auto"/>
        </w:rPr>
      </w:pPr>
    </w:p>
    <w:p>
      <w:pPr>
        <w:ind w:left="584" w:right="40"/>
        <w:spacing w:after="0" w:line="253" w:lineRule="auto"/>
        <w:rPr>
          <w:rFonts w:ascii="Arial" w:cs="Arial" w:eastAsia="Arial" w:hAnsi="Arial"/>
          <w:sz w:val="16"/>
          <w:szCs w:val="16"/>
          <w:color w:val="auto"/>
        </w:rPr>
      </w:pPr>
      <w:r>
        <w:rPr>
          <w:rFonts w:ascii="Arial" w:cs="Arial" w:eastAsia="Arial" w:hAnsi="Arial"/>
          <w:sz w:val="16"/>
          <w:szCs w:val="16"/>
          <w:color w:val="auto"/>
        </w:rPr>
        <w:t>(2) the sum of the remaining cash flows discounted at a rate equal to the U.S. Treasury interest rate plus 40 basis points. The principal will be paid on the maturity date of the subordinated notes or when the Bank executes their redemption.</w:t>
      </w:r>
    </w:p>
    <w:p>
      <w:pPr>
        <w:spacing w:after="0" w:line="307" w:lineRule="exact"/>
        <w:rPr>
          <w:rFonts w:ascii="Arial" w:cs="Arial" w:eastAsia="Arial" w:hAnsi="Arial"/>
          <w:sz w:val="16"/>
          <w:szCs w:val="16"/>
          <w:color w:val="auto"/>
        </w:rPr>
      </w:pPr>
    </w:p>
    <w:p>
      <w:pPr>
        <w:ind w:left="4884" w:hanging="88"/>
        <w:spacing w:after="0"/>
        <w:tabs>
          <w:tab w:leader="none" w:pos="4884" w:val="left"/>
        </w:tabs>
        <w:numPr>
          <w:ilvl w:val="2"/>
          <w:numId w:val="117"/>
        </w:numPr>
        <w:rPr>
          <w:rFonts w:ascii="Arial" w:cs="Arial" w:eastAsia="Arial" w:hAnsi="Arial"/>
          <w:sz w:val="16"/>
          <w:szCs w:val="16"/>
          <w:color w:val="auto"/>
        </w:rPr>
      </w:pP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44"/>
          </w:cols>
          <w:pgMar w:left="896" w:top="316" w:right="359" w:bottom="1440" w:gutter="0" w:footer="0" w:header="0"/>
        </w:sectPr>
      </w:pPr>
    </w:p>
    <w:bookmarkStart w:id="105" w:name="page106"/>
    <w:bookmarkEnd w:id="105"/>
    <w:p>
      <w:pPr>
        <w:ind w:left="584" w:hanging="584"/>
        <w:spacing w:after="0" w:line="239" w:lineRule="auto"/>
        <w:tabs>
          <w:tab w:leader="none" w:pos="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On September 10, 2024, the Bank issued Subordinated Notes under the Medium-Term Note Program for US$600.0 million at a semiannual coupon rate of 5.80 percent, maturing in March 2035, denominated ‘5.80 percent Subordinated Fixed-to-Fixed Rate Notes due 2035 (Callable 2030)’. Beginning on March 10, 2030, a fixed interest rate equal to the U.S. Treasury rate comparable to a 5-year maturity plus 224.0 basis points will be paid. Starting on March 30, 2030, the Bank may redeem all or part of the subordinated notes at a redemption price of 100.0 percent of the aggregate principal amount of the subordinated notes to be redeemed. Following that date, the Bank may redeem all or part of the subordinated notes at a redemption price equal to the greater of (1) 100.0 percent of the principal amount of the subordinated notes, and</w:t>
      </w:r>
    </w:p>
    <w:p>
      <w:pPr>
        <w:spacing w:after="0" w:line="2" w:lineRule="exact"/>
        <w:rPr>
          <w:rFonts w:ascii="Arial" w:cs="Arial" w:eastAsia="Arial" w:hAnsi="Arial"/>
          <w:sz w:val="16"/>
          <w:szCs w:val="16"/>
          <w:color w:val="auto"/>
        </w:rPr>
      </w:pPr>
    </w:p>
    <w:p>
      <w:pPr>
        <w:ind w:left="584" w:right="20" w:hanging="5"/>
        <w:spacing w:after="0" w:line="253" w:lineRule="auto"/>
        <w:tabs>
          <w:tab w:leader="none" w:pos="82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sum of the remaining cash flows discounted at a rate equal to the U.S. Treasury interest rate plus 35 basis points. The principal will be paid on the maturity date of the subordinated notes or when the Bank executes their redemption.</w:t>
      </w:r>
    </w:p>
    <w:p>
      <w:pPr>
        <w:spacing w:after="0" w:line="138" w:lineRule="exact"/>
        <w:rPr>
          <w:rFonts w:ascii="Arial" w:cs="Arial" w:eastAsia="Arial" w:hAnsi="Arial"/>
          <w:sz w:val="16"/>
          <w:szCs w:val="16"/>
          <w:color w:val="auto"/>
        </w:rPr>
      </w:pPr>
    </w:p>
    <w:p>
      <w:pPr>
        <w:ind w:left="584" w:hanging="584"/>
        <w:spacing w:after="0" w:line="241" w:lineRule="auto"/>
        <w:tabs>
          <w:tab w:leader="none" w:pos="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On March 30, 2021, the Bank issued Subordinated Notes under the Medium-Term Note Program for US$500.0 million at a semiannual coupon rate of 3.25 percent, maturing in September 2031, denominated ‘3.25 percent Subordinated Fixed-to-Fixed Rate Notes due 2031 (Callable 2026)’. Beginning on September 30, 2026, a fixed interest rate equal to the U.S. Treasury rate comparable to a 5-year maturity plus 245 basis points will be paid. On September 30, 2026, the Bank may redeem all or part of the subordinated notes at a redemption price equal to 100.0 percent of the aggregate principal amount of the subordinated notes to be redeemed. Following that date, the Bank may redeem all or part of the subordinated notes at a redemption price equal to the greater of (1) 100.0 percent of the principal amount of the subordinated notes, and (2) the sum of the remaining cash flows discounted at a rate equal to the U.S. Treasury interest rate plus 40 basis points. The principal will be paid on the maturity date of the subordinated notes or when the Bank executes their redemption.</w:t>
      </w:r>
    </w:p>
    <w:p>
      <w:pPr>
        <w:spacing w:after="0" w:line="150" w:lineRule="exact"/>
        <w:rPr>
          <w:rFonts w:ascii="Arial" w:cs="Arial" w:eastAsia="Arial" w:hAnsi="Arial"/>
          <w:sz w:val="16"/>
          <w:szCs w:val="16"/>
          <w:color w:val="auto"/>
        </w:rPr>
      </w:pPr>
    </w:p>
    <w:p>
      <w:pPr>
        <w:ind w:left="584" w:right="140" w:hanging="584"/>
        <w:spacing w:after="0" w:line="241" w:lineRule="auto"/>
        <w:tabs>
          <w:tab w:leader="none" w:pos="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On October 15, 2025, the Bank issued Subordinated Notes under the Medium-Term Note Program for US$500 million at a semiannual coupon rate of 5.65 percent, maturing on January 15, 2037, denominated ‘5.65 percent Subordinated Fixed-to-Fixed Rate Notes Due 2037 (Callable 2032)’. Beginning on January 15, 2032, a fixed interest rate equal to the U.S. Treasury rate comparable to a 6-year maturity plus 196.1 basis points will be paid. From October 15, 2031 to January 15, 2032, the Bank may redeem all or part of the subordinated notes at a redemption price of 100.0 percent of the aggregate principal amount of the subordinated notes to be redeemed. Thereafter, the Bank may redeem all or part of the subordinated notes at a redemption price equal to the greater of (1) 100.0 percent of the principal amount of the subordinated notes, and (2) the sum of the remaining cash flows discounted at a rate equal to the U.S. Treasury interest rate plus 30 basis points. The principal will be paid on the maturity date of the subordinated notes or when the Bank executes their redemption.</w:t>
      </w:r>
    </w:p>
    <w:p>
      <w:pPr>
        <w:spacing w:after="0" w:line="150" w:lineRule="exact"/>
        <w:rPr>
          <w:rFonts w:ascii="Arial" w:cs="Arial" w:eastAsia="Arial" w:hAnsi="Arial"/>
          <w:sz w:val="16"/>
          <w:szCs w:val="16"/>
          <w:color w:val="auto"/>
        </w:rPr>
      </w:pPr>
    </w:p>
    <w:p>
      <w:pPr>
        <w:ind w:left="584" w:right="180" w:hanging="584"/>
        <w:spacing w:after="0" w:line="255" w:lineRule="auto"/>
        <w:tabs>
          <w:tab w:leader="none" w:pos="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Effective July 1, 2020, the Bank issued Subordinated Notes under the Medium-Term Note Program for US$850.0 million at a semiannual coupon rate of 3.13 percent, maturing in July 2030, denominated 3.13 percent Subordinated Fixed-to-Fixed Rate Notes due 2030 (Callable 2025)’. For this issuance, the Bank chose to exercise the early redemption option in accordance with the terms of these notes.</w:t>
      </w:r>
    </w:p>
    <w:p>
      <w:pPr>
        <w:spacing w:after="0" w:line="137" w:lineRule="exact"/>
        <w:rPr>
          <w:rFonts w:ascii="Arial" w:cs="Arial" w:eastAsia="Arial" w:hAnsi="Arial"/>
          <w:sz w:val="16"/>
          <w:szCs w:val="16"/>
          <w:color w:val="auto"/>
        </w:rPr>
      </w:pPr>
    </w:p>
    <w:p>
      <w:pPr>
        <w:ind w:left="584" w:right="240" w:hanging="584"/>
        <w:spacing w:after="0" w:line="274" w:lineRule="auto"/>
        <w:tabs>
          <w:tab w:leader="none" w:pos="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On December 19, 2025, Pacífico S.A. Entidad Prestadora de Salud issued Senior Notes for approximately S/45.0 million. These securities bear a fixed annual interest rate of 6.03 percent, with a maturity date of December 19, 2035.</w:t>
      </w:r>
    </w:p>
    <w:p>
      <w:pPr>
        <w:spacing w:after="0" w:line="122" w:lineRule="exact"/>
        <w:rPr>
          <w:rFonts w:ascii="Arial" w:cs="Arial" w:eastAsia="Arial" w:hAnsi="Arial"/>
          <w:sz w:val="16"/>
          <w:szCs w:val="16"/>
          <w:color w:val="auto"/>
        </w:rPr>
      </w:pPr>
    </w:p>
    <w:p>
      <w:pPr>
        <w:ind w:left="584" w:hanging="584"/>
        <w:spacing w:after="0" w:line="255" w:lineRule="auto"/>
        <w:tabs>
          <w:tab w:leader="none" w:pos="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On August 20, 2025, Mibanco S.A. carried out the issuance under the Fifth Subordinated Bond Program, Series B, for S/127.6 million, at a semiannual coupon rate of 7.00 percent per year, with a maturity date of August 20, 2035. Payment will be made at maturity or in the event of early redemption by Mibanco S.A.</w:t>
      </w:r>
    </w:p>
    <w:p>
      <w:pPr>
        <w:spacing w:after="0" w:line="137" w:lineRule="exact"/>
        <w:rPr>
          <w:rFonts w:ascii="Arial" w:cs="Arial" w:eastAsia="Arial" w:hAnsi="Arial"/>
          <w:sz w:val="16"/>
          <w:szCs w:val="16"/>
          <w:color w:val="auto"/>
        </w:rPr>
      </w:pPr>
    </w:p>
    <w:p>
      <w:pPr>
        <w:ind w:left="584" w:right="60" w:hanging="584"/>
        <w:spacing w:after="0" w:line="255" w:lineRule="auto"/>
        <w:tabs>
          <w:tab w:leader="none" w:pos="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On March 28, 2025, Mibanco S.A. carried out the issuance under the Fifth Subordinated Bond Program, Series A, for S/100.0 million, at a fixed annual interest rate of 7.56 percent, with a maturity date of March 28, 2035. The principal will be paid at maturity or in the event of early redemption by Mibanco S.A.</w:t>
      </w:r>
    </w:p>
    <w:p>
      <w:pPr>
        <w:spacing w:after="0" w:line="306" w:lineRule="exact"/>
        <w:rPr>
          <w:rFonts w:ascii="Arial" w:cs="Arial" w:eastAsia="Arial" w:hAnsi="Arial"/>
          <w:sz w:val="16"/>
          <w:szCs w:val="16"/>
          <w:color w:val="auto"/>
        </w:rPr>
      </w:pPr>
    </w:p>
    <w:p>
      <w:pPr>
        <w:ind w:left="4884" w:hanging="88"/>
        <w:spacing w:after="0"/>
        <w:tabs>
          <w:tab w:leader="none" w:pos="4884" w:val="left"/>
        </w:tabs>
        <w:numPr>
          <w:ilvl w:val="2"/>
          <w:numId w:val="118"/>
        </w:numPr>
        <w:rPr>
          <w:rFonts w:ascii="Arial" w:cs="Arial" w:eastAsia="Arial" w:hAnsi="Arial"/>
          <w:sz w:val="16"/>
          <w:szCs w:val="16"/>
          <w:color w:val="auto"/>
        </w:rPr>
      </w:pPr>
      <w:r>
        <w:rPr>
          <w:rFonts w:ascii="Arial" w:cs="Arial" w:eastAsia="Arial" w:hAnsi="Arial"/>
          <w:sz w:val="16"/>
          <w:szCs w:val="16"/>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24"/>
          </w:cols>
          <w:pgMar w:left="896" w:top="316" w:right="379" w:bottom="1440" w:gutter="0" w:footer="0" w:header="0"/>
        </w:sectPr>
      </w:pPr>
    </w:p>
    <w:bookmarkStart w:id="106" w:name="page107"/>
    <w:bookmarkEnd w:id="106"/>
    <w:p>
      <w:pPr>
        <w:ind w:left="583"/>
        <w:spacing w:after="0"/>
        <w:tabs>
          <w:tab w:leader="none" w:pos="843" w:val="left"/>
        </w:tabs>
        <w:rPr>
          <w:sz w:val="20"/>
          <w:szCs w:val="20"/>
          <w:color w:val="auto"/>
        </w:rPr>
      </w:pPr>
      <w:r>
        <w:rPr>
          <w:rFonts w:ascii="Arial" w:cs="Arial" w:eastAsia="Arial" w:hAnsi="Arial"/>
          <w:sz w:val="16"/>
          <w:szCs w:val="16"/>
          <w:color w:val="auto"/>
        </w:rPr>
        <w:t>b)</w:t>
        <w:tab/>
        <w:t>The table below shows the bonds and notes issued, classified by maturity, without accrued interests:</w:t>
      </w:r>
    </w:p>
    <w:p>
      <w:pPr>
        <w:spacing w:after="0" w:line="190" w:lineRule="exact"/>
        <w:rPr>
          <w:sz w:val="20"/>
          <w:szCs w:val="20"/>
          <w:color w:val="auto"/>
        </w:rPr>
      </w:pPr>
    </w:p>
    <w:tbl>
      <w:tblPr>
        <w:tblLayout w:type="fixed"/>
        <w:tblInd w:w="923" w:type="dxa"/>
        <w:tblCellMar>
          <w:top w:w="0" w:type="dxa"/>
          <w:left w:w="0" w:type="dxa"/>
          <w:bottom w:w="0" w:type="dxa"/>
          <w:right w:w="0" w:type="dxa"/>
        </w:tblCellMar>
      </w:tblPr>
      <w:tr>
        <w:trPr>
          <w:trHeight w:val="198"/>
        </w:trPr>
        <w:tc>
          <w:tcPr>
            <w:tcW w:w="4460" w:type="dxa"/>
            <w:vAlign w:val="bottom"/>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44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4460" w:type="dxa"/>
            <w:vAlign w:val="bottom"/>
          </w:tcPr>
          <w:p>
            <w:pPr>
              <w:spacing w:after="0"/>
              <w:rPr>
                <w:sz w:val="20"/>
                <w:szCs w:val="20"/>
                <w:color w:val="auto"/>
              </w:rPr>
            </w:pPr>
            <w:r>
              <w:rPr>
                <w:rFonts w:ascii="Arial" w:cs="Arial" w:eastAsia="Arial" w:hAnsi="Arial"/>
                <w:sz w:val="16"/>
                <w:szCs w:val="16"/>
                <w:color w:val="auto"/>
              </w:rPr>
              <w:t>Up to 3 months</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109,837</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2,709,847</w:t>
            </w:r>
          </w:p>
        </w:tc>
      </w:tr>
      <w:tr>
        <w:trPr>
          <w:trHeight w:val="181"/>
        </w:trPr>
        <w:tc>
          <w:tcPr>
            <w:tcW w:w="4460" w:type="dxa"/>
            <w:vAlign w:val="bottom"/>
          </w:tcPr>
          <w:p>
            <w:pPr>
              <w:spacing w:after="0" w:line="181" w:lineRule="exact"/>
              <w:rPr>
                <w:sz w:val="20"/>
                <w:szCs w:val="20"/>
                <w:color w:val="auto"/>
              </w:rPr>
            </w:pPr>
            <w:r>
              <w:rPr>
                <w:rFonts w:ascii="Arial" w:cs="Arial" w:eastAsia="Arial" w:hAnsi="Arial"/>
                <w:sz w:val="16"/>
                <w:szCs w:val="16"/>
                <w:color w:val="auto"/>
              </w:rPr>
              <w:t>From 3 months to 1 year</w:t>
            </w:r>
          </w:p>
        </w:tc>
        <w:tc>
          <w:tcPr>
            <w:tcW w:w="11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1,372,282</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2,718,199</w:t>
            </w:r>
          </w:p>
        </w:tc>
      </w:tr>
      <w:tr>
        <w:trPr>
          <w:trHeight w:val="181"/>
        </w:trPr>
        <w:tc>
          <w:tcPr>
            <w:tcW w:w="4460" w:type="dxa"/>
            <w:vAlign w:val="bottom"/>
          </w:tcPr>
          <w:p>
            <w:pPr>
              <w:spacing w:after="0" w:line="181" w:lineRule="exact"/>
              <w:rPr>
                <w:sz w:val="20"/>
                <w:szCs w:val="20"/>
                <w:color w:val="auto"/>
              </w:rPr>
            </w:pPr>
            <w:r>
              <w:rPr>
                <w:rFonts w:ascii="Arial" w:cs="Arial" w:eastAsia="Arial" w:hAnsi="Arial"/>
                <w:sz w:val="16"/>
                <w:szCs w:val="16"/>
                <w:color w:val="auto"/>
              </w:rPr>
              <w:t>From 1 to 3 years</w:t>
            </w:r>
          </w:p>
        </w:tc>
        <w:tc>
          <w:tcPr>
            <w:tcW w:w="11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486,248</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582,747</w:t>
            </w:r>
          </w:p>
        </w:tc>
      </w:tr>
      <w:tr>
        <w:trPr>
          <w:trHeight w:val="181"/>
        </w:trPr>
        <w:tc>
          <w:tcPr>
            <w:tcW w:w="4460" w:type="dxa"/>
            <w:vAlign w:val="bottom"/>
          </w:tcPr>
          <w:p>
            <w:pPr>
              <w:spacing w:after="0" w:line="181" w:lineRule="exact"/>
              <w:rPr>
                <w:sz w:val="20"/>
                <w:szCs w:val="20"/>
                <w:color w:val="auto"/>
              </w:rPr>
            </w:pPr>
            <w:r>
              <w:rPr>
                <w:rFonts w:ascii="Arial" w:cs="Arial" w:eastAsia="Arial" w:hAnsi="Arial"/>
                <w:sz w:val="16"/>
                <w:szCs w:val="16"/>
                <w:color w:val="auto"/>
              </w:rPr>
              <w:t>From 3 to 5 years</w:t>
            </w:r>
          </w:p>
        </w:tc>
        <w:tc>
          <w:tcPr>
            <w:tcW w:w="11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2,854,442</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3,062,227</w:t>
            </w:r>
          </w:p>
        </w:tc>
      </w:tr>
      <w:tr>
        <w:trPr>
          <w:trHeight w:val="202"/>
        </w:trPr>
        <w:tc>
          <w:tcPr>
            <w:tcW w:w="4460" w:type="dxa"/>
            <w:vAlign w:val="bottom"/>
          </w:tcPr>
          <w:p>
            <w:pPr>
              <w:spacing w:after="0"/>
              <w:rPr>
                <w:sz w:val="20"/>
                <w:szCs w:val="20"/>
                <w:color w:val="auto"/>
              </w:rPr>
            </w:pPr>
            <w:r>
              <w:rPr>
                <w:rFonts w:ascii="Arial" w:cs="Arial" w:eastAsia="Arial" w:hAnsi="Arial"/>
                <w:sz w:val="16"/>
                <w:szCs w:val="16"/>
                <w:color w:val="auto"/>
              </w:rPr>
              <w:t>More than 5 years</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8,912,800</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7,950,566</w:t>
            </w:r>
          </w:p>
        </w:tc>
      </w:tr>
      <w:tr>
        <w:trPr>
          <w:trHeight w:val="185"/>
        </w:trPr>
        <w:tc>
          <w:tcPr>
            <w:tcW w:w="4460" w:type="dxa"/>
            <w:vAlign w:val="bottom"/>
          </w:tcPr>
          <w:p>
            <w:pPr>
              <w:spacing w:after="0" w:line="181" w:lineRule="exact"/>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13,735,609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17,023,586</w:t>
            </w:r>
          </w:p>
        </w:tc>
      </w:tr>
    </w:tbl>
    <w:p>
      <w:pPr>
        <w:spacing w:after="0" w:line="152" w:lineRule="exact"/>
        <w:rPr>
          <w:sz w:val="20"/>
          <w:szCs w:val="20"/>
          <w:color w:val="auto"/>
        </w:rPr>
      </w:pPr>
    </w:p>
    <w:p>
      <w:pPr>
        <w:ind w:left="583" w:hanging="583"/>
        <w:spacing w:after="0"/>
        <w:tabs>
          <w:tab w:leader="none" w:pos="583"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119"/>
        </w:numPr>
        <w:rPr>
          <w:rFonts w:ascii="Arial" w:cs="Arial" w:eastAsia="Arial" w:hAnsi="Arial"/>
          <w:sz w:val="16"/>
          <w:szCs w:val="16"/>
          <w:color w:val="auto"/>
        </w:rPr>
      </w:pPr>
      <w:r>
        <w:rPr>
          <w:rFonts w:ascii="Arial" w:cs="Arial" w:eastAsia="Arial" w:hAnsi="Arial"/>
          <w:sz w:val="16"/>
          <w:szCs w:val="16"/>
          <w:color w:val="auto"/>
        </w:rPr>
        <w:t>Capital stock -</w:t>
      </w:r>
    </w:p>
    <w:p>
      <w:pPr>
        <w:spacing w:after="0" w:line="177"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As of December 31, 2025, 2024 and 2023 a total of 94,382,317 shares have been issued at US$5 per share.</w:t>
      </w:r>
    </w:p>
    <w:p>
      <w:pPr>
        <w:spacing w:after="0" w:line="177" w:lineRule="exact"/>
        <w:rPr>
          <w:rFonts w:ascii="Arial" w:cs="Arial" w:eastAsia="Arial" w:hAnsi="Arial"/>
          <w:sz w:val="16"/>
          <w:szCs w:val="16"/>
          <w:color w:val="auto"/>
        </w:rPr>
      </w:pPr>
    </w:p>
    <w:p>
      <w:pPr>
        <w:ind w:left="863" w:hanging="284"/>
        <w:spacing w:after="0"/>
        <w:tabs>
          <w:tab w:leader="none" w:pos="863"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Treasury stock -</w:t>
      </w:r>
    </w:p>
    <w:p>
      <w:pPr>
        <w:spacing w:after="0" w:line="177"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We present below the stocks of Credicorp Ltd., that the entities of the Group maintain as of December 31, 2025, 2024 and 2023:</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98"/>
        </w:trPr>
        <w:tc>
          <w:tcPr>
            <w:tcW w:w="4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9"/>
              </w:rPr>
              <w:t>Number of shares</w:t>
            </w: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56"/>
        </w:trPr>
        <w:tc>
          <w:tcPr>
            <w:tcW w:w="48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Shared-</w:t>
            </w: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1"/>
        </w:trPr>
        <w:tc>
          <w:tcPr>
            <w:tcW w:w="48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based</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8"/>
        </w:trPr>
        <w:tc>
          <w:tcPr>
            <w:tcW w:w="4860" w:type="dxa"/>
            <w:vAlign w:val="bottom"/>
          </w:tcPr>
          <w:p>
            <w:pPr>
              <w:ind w:left="860"/>
              <w:spacing w:after="0"/>
              <w:rPr>
                <w:sz w:val="20"/>
                <w:szCs w:val="20"/>
                <w:color w:val="auto"/>
              </w:rPr>
            </w:pPr>
            <w:r>
              <w:rPr>
                <w:rFonts w:ascii="Arial" w:cs="Arial" w:eastAsia="Arial" w:hAnsi="Arial"/>
                <w:sz w:val="16"/>
                <w:szCs w:val="16"/>
                <w:b w:val="1"/>
                <w:bCs w:val="1"/>
                <w:color w:val="auto"/>
              </w:rPr>
              <w:t>As of December 31, 2025</w:t>
            </w:r>
          </w:p>
        </w:tc>
        <w:tc>
          <w:tcPr>
            <w:tcW w:w="2740" w:type="dxa"/>
            <w:vAlign w:val="bottom"/>
          </w:tcPr>
          <w:p>
            <w:pPr>
              <w:spacing w:after="0"/>
              <w:rPr>
                <w:sz w:val="17"/>
                <w:szCs w:val="17"/>
                <w:color w:val="auto"/>
              </w:rPr>
            </w:pP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7"/>
              </w:rPr>
              <w:t>Treasury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payment (*)</w:t>
            </w:r>
          </w:p>
        </w:tc>
        <w:tc>
          <w:tcPr>
            <w:tcW w:w="18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w:t>
            </w:r>
          </w:p>
        </w:tc>
      </w:tr>
      <w:tr>
        <w:trPr>
          <w:trHeight w:val="20"/>
        </w:trPr>
        <w:tc>
          <w:tcPr>
            <w:tcW w:w="4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7"/>
        </w:trPr>
        <w:tc>
          <w:tcPr>
            <w:tcW w:w="4860" w:type="dxa"/>
            <w:vAlign w:val="bottom"/>
          </w:tcPr>
          <w:p>
            <w:pPr>
              <w:ind w:left="920"/>
              <w:spacing w:after="0"/>
              <w:rPr>
                <w:sz w:val="20"/>
                <w:szCs w:val="20"/>
                <w:color w:val="auto"/>
              </w:rPr>
            </w:pPr>
            <w:r>
              <w:rPr>
                <w:rFonts w:ascii="Arial" w:cs="Arial" w:eastAsia="Arial" w:hAnsi="Arial"/>
                <w:sz w:val="16"/>
                <w:szCs w:val="16"/>
                <w:color w:val="auto"/>
              </w:rPr>
              <w:t>Atlantic Security Holding Corporation</w:t>
            </w:r>
          </w:p>
        </w:tc>
        <w:tc>
          <w:tcPr>
            <w:tcW w:w="27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14,620,846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14,620,846</w:t>
            </w:r>
          </w:p>
        </w:tc>
        <w:tc>
          <w:tcPr>
            <w:tcW w:w="140" w:type="dxa"/>
            <w:vAlign w:val="bottom"/>
          </w:tcPr>
          <w:p>
            <w:pPr>
              <w:spacing w:after="0"/>
              <w:rPr>
                <w:sz w:val="24"/>
                <w:szCs w:val="24"/>
                <w:color w:val="auto"/>
              </w:rPr>
            </w:pPr>
          </w:p>
        </w:tc>
      </w:tr>
      <w:tr>
        <w:trPr>
          <w:trHeight w:val="181"/>
        </w:trPr>
        <w:tc>
          <w:tcPr>
            <w:tcW w:w="4860" w:type="dxa"/>
            <w:vAlign w:val="bottom"/>
          </w:tcPr>
          <w:p>
            <w:pPr>
              <w:ind w:left="920"/>
              <w:spacing w:after="0" w:line="181" w:lineRule="exact"/>
              <w:rPr>
                <w:sz w:val="20"/>
                <w:szCs w:val="20"/>
                <w:color w:val="auto"/>
              </w:rPr>
            </w:pPr>
            <w:r>
              <w:rPr>
                <w:rFonts w:ascii="Arial" w:cs="Arial" w:eastAsia="Arial" w:hAnsi="Arial"/>
                <w:sz w:val="16"/>
                <w:szCs w:val="16"/>
                <w:color w:val="auto"/>
              </w:rPr>
              <w:t>Atlantic Security International Financial Services</w:t>
            </w:r>
          </w:p>
        </w:tc>
        <w:tc>
          <w:tcPr>
            <w:tcW w:w="2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225,456</w:t>
            </w:r>
          </w:p>
        </w:tc>
        <w:tc>
          <w:tcPr>
            <w:tcW w:w="180" w:type="dxa"/>
            <w:vAlign w:val="bottom"/>
          </w:tcPr>
          <w:p>
            <w:pPr>
              <w:spacing w:after="0"/>
              <w:rPr>
                <w:sz w:val="15"/>
                <w:szCs w:val="15"/>
                <w:color w:val="auto"/>
              </w:rPr>
            </w:pP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225,456</w:t>
            </w:r>
          </w:p>
        </w:tc>
        <w:tc>
          <w:tcPr>
            <w:tcW w:w="140" w:type="dxa"/>
            <w:vAlign w:val="bottom"/>
          </w:tcPr>
          <w:p>
            <w:pPr>
              <w:spacing w:after="0"/>
              <w:rPr>
                <w:sz w:val="15"/>
                <w:szCs w:val="15"/>
                <w:color w:val="auto"/>
              </w:rPr>
            </w:pPr>
          </w:p>
        </w:tc>
      </w:tr>
      <w:tr>
        <w:trPr>
          <w:trHeight w:val="181"/>
        </w:trPr>
        <w:tc>
          <w:tcPr>
            <w:tcW w:w="4860" w:type="dxa"/>
            <w:vAlign w:val="bottom"/>
          </w:tcPr>
          <w:p>
            <w:pPr>
              <w:ind w:left="920"/>
              <w:spacing w:after="0" w:line="181" w:lineRule="exact"/>
              <w:rPr>
                <w:sz w:val="20"/>
                <w:szCs w:val="20"/>
                <w:color w:val="auto"/>
              </w:rPr>
            </w:pPr>
            <w:r>
              <w:rPr>
                <w:rFonts w:ascii="Arial" w:cs="Arial" w:eastAsia="Arial" w:hAnsi="Arial"/>
                <w:sz w:val="16"/>
                <w:szCs w:val="16"/>
                <w:color w:val="auto"/>
              </w:rPr>
              <w:t>BCP</w:t>
            </w:r>
          </w:p>
        </w:tc>
        <w:tc>
          <w:tcPr>
            <w:tcW w:w="2740" w:type="dxa"/>
            <w:vAlign w:val="bottom"/>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78,670</w:t>
            </w:r>
          </w:p>
        </w:tc>
        <w:tc>
          <w:tcPr>
            <w:tcW w:w="118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78,670</w:t>
            </w:r>
          </w:p>
        </w:tc>
      </w:tr>
      <w:tr>
        <w:trPr>
          <w:trHeight w:val="181"/>
        </w:trPr>
        <w:tc>
          <w:tcPr>
            <w:tcW w:w="4860" w:type="dxa"/>
            <w:vAlign w:val="bottom"/>
          </w:tcPr>
          <w:p>
            <w:pPr>
              <w:ind w:left="920"/>
              <w:spacing w:after="0" w:line="181" w:lineRule="exact"/>
              <w:rPr>
                <w:sz w:val="20"/>
                <w:szCs w:val="20"/>
                <w:color w:val="auto"/>
              </w:rPr>
            </w:pPr>
            <w:r>
              <w:rPr>
                <w:rFonts w:ascii="Arial" w:cs="Arial" w:eastAsia="Arial" w:hAnsi="Arial"/>
                <w:sz w:val="16"/>
                <w:szCs w:val="16"/>
                <w:color w:val="auto"/>
              </w:rPr>
              <w:t>Grupo Crédito</w:t>
            </w:r>
          </w:p>
        </w:tc>
        <w:tc>
          <w:tcPr>
            <w:tcW w:w="2740" w:type="dxa"/>
            <w:vAlign w:val="bottom"/>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34,664</w:t>
            </w:r>
          </w:p>
        </w:tc>
        <w:tc>
          <w:tcPr>
            <w:tcW w:w="118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34,664</w:t>
            </w:r>
          </w:p>
        </w:tc>
      </w:tr>
      <w:tr>
        <w:trPr>
          <w:trHeight w:val="181"/>
        </w:trPr>
        <w:tc>
          <w:tcPr>
            <w:tcW w:w="4860" w:type="dxa"/>
            <w:vAlign w:val="bottom"/>
          </w:tcPr>
          <w:p>
            <w:pPr>
              <w:ind w:left="920"/>
              <w:spacing w:after="0" w:line="181" w:lineRule="exact"/>
              <w:rPr>
                <w:sz w:val="20"/>
                <w:szCs w:val="20"/>
                <w:color w:val="auto"/>
              </w:rPr>
            </w:pPr>
            <w:r>
              <w:rPr>
                <w:rFonts w:ascii="Arial" w:cs="Arial" w:eastAsia="Arial" w:hAnsi="Arial"/>
                <w:sz w:val="16"/>
                <w:szCs w:val="16"/>
                <w:color w:val="auto"/>
              </w:rPr>
              <w:t>Pacífico Seguros</w:t>
            </w:r>
          </w:p>
        </w:tc>
        <w:tc>
          <w:tcPr>
            <w:tcW w:w="2740" w:type="dxa"/>
            <w:vAlign w:val="bottom"/>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15,113</w:t>
            </w:r>
          </w:p>
        </w:tc>
        <w:tc>
          <w:tcPr>
            <w:tcW w:w="118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15,113</w:t>
            </w:r>
          </w:p>
        </w:tc>
      </w:tr>
      <w:tr>
        <w:trPr>
          <w:trHeight w:val="181"/>
        </w:trPr>
        <w:tc>
          <w:tcPr>
            <w:tcW w:w="4860" w:type="dxa"/>
            <w:vAlign w:val="bottom"/>
          </w:tcPr>
          <w:p>
            <w:pPr>
              <w:ind w:left="920"/>
              <w:spacing w:after="0" w:line="181" w:lineRule="exact"/>
              <w:rPr>
                <w:sz w:val="20"/>
                <w:szCs w:val="20"/>
                <w:color w:val="auto"/>
              </w:rPr>
            </w:pPr>
            <w:r>
              <w:rPr>
                <w:rFonts w:ascii="Arial" w:cs="Arial" w:eastAsia="Arial" w:hAnsi="Arial"/>
                <w:sz w:val="16"/>
                <w:szCs w:val="16"/>
                <w:color w:val="auto"/>
              </w:rPr>
              <w:t>Mibanco</w:t>
            </w:r>
          </w:p>
        </w:tc>
        <w:tc>
          <w:tcPr>
            <w:tcW w:w="2740" w:type="dxa"/>
            <w:vAlign w:val="bottom"/>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10,079</w:t>
            </w:r>
          </w:p>
        </w:tc>
        <w:tc>
          <w:tcPr>
            <w:tcW w:w="118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10,079</w:t>
            </w:r>
          </w:p>
        </w:tc>
      </w:tr>
      <w:tr>
        <w:trPr>
          <w:trHeight w:val="181"/>
        </w:trPr>
        <w:tc>
          <w:tcPr>
            <w:tcW w:w="4860" w:type="dxa"/>
            <w:vAlign w:val="bottom"/>
          </w:tcPr>
          <w:p>
            <w:pPr>
              <w:ind w:left="920"/>
              <w:spacing w:after="0" w:line="181" w:lineRule="exact"/>
              <w:rPr>
                <w:sz w:val="20"/>
                <w:szCs w:val="20"/>
                <w:color w:val="auto"/>
              </w:rPr>
            </w:pPr>
            <w:r>
              <w:rPr>
                <w:rFonts w:ascii="Arial" w:cs="Arial" w:eastAsia="Arial" w:hAnsi="Arial"/>
                <w:sz w:val="16"/>
                <w:szCs w:val="16"/>
                <w:color w:val="auto"/>
              </w:rPr>
              <w:t>ASB Bank Corp</w:t>
            </w:r>
          </w:p>
        </w:tc>
        <w:tc>
          <w:tcPr>
            <w:tcW w:w="2740" w:type="dxa"/>
            <w:vAlign w:val="bottom"/>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7,828</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7,828</w:t>
            </w:r>
          </w:p>
        </w:tc>
        <w:tc>
          <w:tcPr>
            <w:tcW w:w="140" w:type="dxa"/>
            <w:vAlign w:val="bottom"/>
          </w:tcPr>
          <w:p>
            <w:pPr>
              <w:spacing w:after="0"/>
              <w:rPr>
                <w:sz w:val="15"/>
                <w:szCs w:val="15"/>
                <w:color w:val="auto"/>
              </w:rPr>
            </w:pPr>
          </w:p>
        </w:tc>
      </w:tr>
      <w:tr>
        <w:trPr>
          <w:trHeight w:val="181"/>
        </w:trPr>
        <w:tc>
          <w:tcPr>
            <w:tcW w:w="4860" w:type="dxa"/>
            <w:vAlign w:val="bottom"/>
          </w:tcPr>
          <w:p>
            <w:pPr>
              <w:ind w:left="920"/>
              <w:spacing w:after="0" w:line="181" w:lineRule="exact"/>
              <w:rPr>
                <w:sz w:val="20"/>
                <w:szCs w:val="20"/>
                <w:color w:val="auto"/>
              </w:rPr>
            </w:pPr>
            <w:r>
              <w:rPr>
                <w:rFonts w:ascii="Arial" w:cs="Arial" w:eastAsia="Arial" w:hAnsi="Arial"/>
                <w:sz w:val="16"/>
                <w:szCs w:val="16"/>
                <w:color w:val="auto"/>
              </w:rPr>
              <w:t>Credicorp Capital Servicios Financieros</w:t>
            </w:r>
          </w:p>
        </w:tc>
        <w:tc>
          <w:tcPr>
            <w:tcW w:w="2740" w:type="dxa"/>
            <w:vAlign w:val="bottom"/>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7,803</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7,803</w:t>
            </w:r>
          </w:p>
        </w:tc>
        <w:tc>
          <w:tcPr>
            <w:tcW w:w="140" w:type="dxa"/>
            <w:vAlign w:val="bottom"/>
          </w:tcPr>
          <w:p>
            <w:pPr>
              <w:spacing w:after="0"/>
              <w:rPr>
                <w:sz w:val="15"/>
                <w:szCs w:val="15"/>
                <w:color w:val="auto"/>
              </w:rPr>
            </w:pPr>
          </w:p>
        </w:tc>
      </w:tr>
      <w:tr>
        <w:trPr>
          <w:trHeight w:val="181"/>
        </w:trPr>
        <w:tc>
          <w:tcPr>
            <w:tcW w:w="4860" w:type="dxa"/>
            <w:vAlign w:val="bottom"/>
          </w:tcPr>
          <w:p>
            <w:pPr>
              <w:ind w:left="920"/>
              <w:spacing w:after="0" w:line="181" w:lineRule="exact"/>
              <w:rPr>
                <w:sz w:val="20"/>
                <w:szCs w:val="20"/>
                <w:color w:val="auto"/>
              </w:rPr>
            </w:pPr>
            <w:r>
              <w:rPr>
                <w:rFonts w:ascii="Arial" w:cs="Arial" w:eastAsia="Arial" w:hAnsi="Arial"/>
                <w:sz w:val="16"/>
                <w:szCs w:val="16"/>
                <w:color w:val="auto"/>
              </w:rPr>
              <w:t>Prima AFP</w:t>
            </w:r>
          </w:p>
        </w:tc>
        <w:tc>
          <w:tcPr>
            <w:tcW w:w="2740" w:type="dxa"/>
            <w:vAlign w:val="bottom"/>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2,539</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2,539</w:t>
            </w:r>
          </w:p>
        </w:tc>
        <w:tc>
          <w:tcPr>
            <w:tcW w:w="140" w:type="dxa"/>
            <w:vAlign w:val="bottom"/>
          </w:tcPr>
          <w:p>
            <w:pPr>
              <w:spacing w:after="0"/>
              <w:rPr>
                <w:sz w:val="15"/>
                <w:szCs w:val="15"/>
                <w:color w:val="auto"/>
              </w:rPr>
            </w:pPr>
          </w:p>
        </w:tc>
      </w:tr>
      <w:tr>
        <w:trPr>
          <w:trHeight w:val="210"/>
        </w:trPr>
        <w:tc>
          <w:tcPr>
            <w:tcW w:w="4860" w:type="dxa"/>
            <w:vAlign w:val="bottom"/>
          </w:tcPr>
          <w:p>
            <w:pPr>
              <w:ind w:left="920"/>
              <w:spacing w:after="0"/>
              <w:rPr>
                <w:sz w:val="20"/>
                <w:szCs w:val="20"/>
                <w:color w:val="auto"/>
              </w:rPr>
            </w:pPr>
            <w:r>
              <w:rPr>
                <w:rFonts w:ascii="Arial" w:cs="Arial" w:eastAsia="Arial" w:hAnsi="Arial"/>
                <w:sz w:val="16"/>
                <w:szCs w:val="16"/>
                <w:color w:val="auto"/>
              </w:rPr>
              <w:t>Other subsidiaries</w:t>
            </w:r>
          </w:p>
        </w:tc>
        <w:tc>
          <w:tcPr>
            <w:tcW w:w="27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12,731</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12,731</w:t>
            </w:r>
          </w:p>
        </w:tc>
      </w:tr>
      <w:tr>
        <w:trPr>
          <w:trHeight w:val="177"/>
        </w:trPr>
        <w:tc>
          <w:tcPr>
            <w:tcW w:w="48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14,620,846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394,883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15,015,729</w:t>
            </w:r>
          </w:p>
        </w:tc>
        <w:tc>
          <w:tcPr>
            <w:tcW w:w="140" w:type="dxa"/>
            <w:vAlign w:val="bottom"/>
          </w:tcPr>
          <w:p>
            <w:pPr>
              <w:spacing w:after="0"/>
              <w:rPr>
                <w:sz w:val="15"/>
                <w:szCs w:val="15"/>
                <w:color w:val="auto"/>
              </w:rPr>
            </w:pPr>
          </w:p>
        </w:tc>
      </w:tr>
      <w:tr>
        <w:trPr>
          <w:trHeight w:val="547"/>
        </w:trPr>
        <w:tc>
          <w:tcPr>
            <w:tcW w:w="4860" w:type="dxa"/>
            <w:vAlign w:val="bottom"/>
          </w:tcPr>
          <w:p>
            <w:pPr>
              <w:spacing w:after="0"/>
              <w:rPr>
                <w:sz w:val="24"/>
                <w:szCs w:val="24"/>
                <w:color w:val="auto"/>
              </w:rPr>
            </w:pPr>
          </w:p>
        </w:tc>
        <w:tc>
          <w:tcPr>
            <w:tcW w:w="2740" w:type="dxa"/>
            <w:vAlign w:val="bottom"/>
          </w:tcPr>
          <w:p>
            <w:pPr>
              <w:jc w:val="right"/>
              <w:ind w:right="1680"/>
              <w:spacing w:after="0"/>
              <w:rPr>
                <w:sz w:val="20"/>
                <w:szCs w:val="20"/>
                <w:color w:val="auto"/>
              </w:rPr>
            </w:pPr>
            <w:r>
              <w:rPr>
                <w:rFonts w:ascii="Arial" w:cs="Arial" w:eastAsia="Arial" w:hAnsi="Arial"/>
                <w:sz w:val="16"/>
                <w:szCs w:val="16"/>
                <w:color w:val="auto"/>
              </w:rPr>
              <w:t>- 102 -</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316" w:right="31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9"/>
              </w:rPr>
              <w:t>Number of shares</w:t>
            </w: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Shared-</w:t>
            </w: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based</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40" w:type="dxa"/>
            <w:vAlign w:val="bottom"/>
          </w:tcPr>
          <w:p>
            <w:pPr>
              <w:spacing w:after="0"/>
              <w:rPr>
                <w:sz w:val="20"/>
                <w:szCs w:val="20"/>
                <w:color w:val="auto"/>
              </w:rPr>
            </w:pPr>
            <w:r>
              <w:rPr>
                <w:rFonts w:ascii="Arial" w:cs="Arial" w:eastAsia="Arial" w:hAnsi="Arial"/>
                <w:sz w:val="16"/>
                <w:szCs w:val="16"/>
                <w:b w:val="1"/>
                <w:bCs w:val="1"/>
                <w:color w:val="auto"/>
              </w:rPr>
              <w:t>As of December 31, 2024</w:t>
            </w: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7"/>
              </w:rPr>
              <w:t>Treasury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payment (*)</w:t>
            </w:r>
          </w:p>
        </w:tc>
        <w:tc>
          <w:tcPr>
            <w:tcW w:w="180" w:type="dxa"/>
            <w:vAlign w:val="bottom"/>
          </w:tcPr>
          <w:p>
            <w:pPr>
              <w:spacing w:after="0"/>
              <w:rPr>
                <w:sz w:val="17"/>
                <w:szCs w:val="17"/>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6740" w:type="dxa"/>
            <w:vAlign w:val="bottom"/>
          </w:tcPr>
          <w:p>
            <w:pPr>
              <w:ind w:left="60"/>
              <w:spacing w:after="0"/>
              <w:rPr>
                <w:sz w:val="20"/>
                <w:szCs w:val="20"/>
                <w:color w:val="auto"/>
              </w:rPr>
            </w:pPr>
            <w:r>
              <w:rPr>
                <w:rFonts w:ascii="Arial" w:cs="Arial" w:eastAsia="Arial" w:hAnsi="Arial"/>
                <w:sz w:val="16"/>
                <w:szCs w:val="16"/>
                <w:color w:val="auto"/>
              </w:rPr>
              <w:t>Atlantic Security Holding Corporation</w:t>
            </w:r>
          </w:p>
        </w:tc>
        <w:tc>
          <w:tcPr>
            <w:tcW w:w="1040" w:type="dxa"/>
            <w:vAlign w:val="bottom"/>
          </w:tcPr>
          <w:p>
            <w:pPr>
              <w:jc w:val="right"/>
              <w:spacing w:after="0"/>
              <w:rPr>
                <w:sz w:val="20"/>
                <w:szCs w:val="20"/>
                <w:color w:val="auto"/>
              </w:rPr>
            </w:pPr>
            <w:r>
              <w:rPr>
                <w:rFonts w:ascii="Arial" w:cs="Arial" w:eastAsia="Arial" w:hAnsi="Arial"/>
                <w:sz w:val="16"/>
                <w:szCs w:val="16"/>
                <w:color w:val="auto"/>
              </w:rPr>
              <w:t>14,620,846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14,620,846</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Atlantic Security International Financial Services</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125,843</w:t>
            </w:r>
          </w:p>
        </w:tc>
        <w:tc>
          <w:tcPr>
            <w:tcW w:w="180" w:type="dxa"/>
            <w:vAlign w:val="bottom"/>
          </w:tcPr>
          <w:p>
            <w:pPr>
              <w:spacing w:after="0"/>
              <w:rPr>
                <w:sz w:val="15"/>
                <w:szCs w:val="15"/>
                <w:color w:val="auto"/>
              </w:rPr>
            </w:pP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125,843</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BCP</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94,686</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94,686</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Grupo Crédito</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38,050</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38,050</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Pacífico Seguros</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17,756</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17,756</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Mibanco</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12,720</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12,720</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Credicorp Capital Servicios Financieros</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10,440</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10,440</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ASB Bank Corp</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10,310</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10,310</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Prima AFP</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3,174</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0"/>
        </w:trPr>
        <w:tc>
          <w:tcPr>
            <w:tcW w:w="6740" w:type="dxa"/>
            <w:vAlign w:val="bottom"/>
          </w:tcPr>
          <w:p>
            <w:pPr>
              <w:ind w:left="60"/>
              <w:spacing w:after="0"/>
              <w:rPr>
                <w:sz w:val="20"/>
                <w:szCs w:val="20"/>
                <w:color w:val="auto"/>
              </w:rPr>
            </w:pPr>
            <w:r>
              <w:rPr>
                <w:rFonts w:ascii="Arial" w:cs="Arial" w:eastAsia="Arial" w:hAnsi="Arial"/>
                <w:sz w:val="16"/>
                <w:szCs w:val="16"/>
                <w:color w:val="auto"/>
              </w:rPr>
              <w:t>Other subsidiaries</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12,812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12,812</w:t>
            </w: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14,620,846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325,791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14,946,637</w:t>
            </w:r>
          </w:p>
        </w:tc>
        <w:tc>
          <w:tcPr>
            <w:tcW w:w="0" w:type="dxa"/>
            <w:vAlign w:val="bottom"/>
          </w:tcPr>
          <w:p>
            <w:pPr>
              <w:spacing w:after="0"/>
              <w:rPr>
                <w:sz w:val="1"/>
                <w:szCs w:val="1"/>
                <w:color w:val="auto"/>
              </w:rPr>
            </w:pPr>
          </w:p>
        </w:tc>
      </w:tr>
      <w:tr>
        <w:trPr>
          <w:trHeight w:val="374"/>
        </w:trPr>
        <w:tc>
          <w:tcPr>
            <w:tcW w:w="67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9"/>
              </w:rPr>
              <w:t>Number of shares</w:t>
            </w: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Shared-</w:t>
            </w: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7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As of December 31, 2023</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based</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40" w:type="dxa"/>
            <w:vAlign w:val="bottom"/>
            <w:vMerge w:val="continue"/>
          </w:tcPr>
          <w:p>
            <w:pPr>
              <w:spacing w:after="0"/>
              <w:rPr>
                <w:sz w:val="17"/>
                <w:szCs w:val="17"/>
                <w:color w:val="auto"/>
              </w:rPr>
            </w:pP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7"/>
              </w:rPr>
              <w:t>Treasury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payment (*)</w:t>
            </w:r>
          </w:p>
        </w:tc>
        <w:tc>
          <w:tcPr>
            <w:tcW w:w="180" w:type="dxa"/>
            <w:vAlign w:val="bottom"/>
          </w:tcPr>
          <w:p>
            <w:pPr>
              <w:spacing w:after="0"/>
              <w:rPr>
                <w:sz w:val="17"/>
                <w:szCs w:val="17"/>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6740" w:type="dxa"/>
            <w:vAlign w:val="bottom"/>
          </w:tcPr>
          <w:p>
            <w:pPr>
              <w:ind w:left="60"/>
              <w:spacing w:after="0"/>
              <w:rPr>
                <w:sz w:val="20"/>
                <w:szCs w:val="20"/>
                <w:color w:val="auto"/>
              </w:rPr>
            </w:pPr>
            <w:r>
              <w:rPr>
                <w:rFonts w:ascii="Arial" w:cs="Arial" w:eastAsia="Arial" w:hAnsi="Arial"/>
                <w:sz w:val="16"/>
                <w:szCs w:val="16"/>
                <w:color w:val="auto"/>
              </w:rPr>
              <w:t>Atlantic Security Holding Corporation</w:t>
            </w:r>
          </w:p>
        </w:tc>
        <w:tc>
          <w:tcPr>
            <w:tcW w:w="1040" w:type="dxa"/>
            <w:vAlign w:val="bottom"/>
          </w:tcPr>
          <w:p>
            <w:pPr>
              <w:jc w:val="right"/>
              <w:spacing w:after="0"/>
              <w:rPr>
                <w:sz w:val="20"/>
                <w:szCs w:val="20"/>
                <w:color w:val="auto"/>
              </w:rPr>
            </w:pPr>
            <w:r>
              <w:rPr>
                <w:rFonts w:ascii="Arial" w:cs="Arial" w:eastAsia="Arial" w:hAnsi="Arial"/>
                <w:sz w:val="16"/>
                <w:szCs w:val="16"/>
                <w:color w:val="auto"/>
              </w:rPr>
              <w:t>14,620,846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14,620,846</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BCP</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109,185</w:t>
            </w:r>
          </w:p>
        </w:tc>
        <w:tc>
          <w:tcPr>
            <w:tcW w:w="180" w:type="dxa"/>
            <w:vAlign w:val="bottom"/>
          </w:tcPr>
          <w:p>
            <w:pPr>
              <w:spacing w:after="0"/>
              <w:rPr>
                <w:sz w:val="15"/>
                <w:szCs w:val="15"/>
                <w:color w:val="auto"/>
              </w:rPr>
            </w:pP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109,185</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Atlantic Security International Financial Services</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39,309</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39,309</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Grupo Crédito</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36,698</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36,698</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Pacífico Seguros</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19,912</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19,912</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Mibanco</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14,128</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14,128</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Credicorp Capital Servicios Financieros</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13,267</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13,267</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ASB Bank Corp</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12,041</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12,041</w:t>
            </w:r>
          </w:p>
        </w:tc>
        <w:tc>
          <w:tcPr>
            <w:tcW w:w="0" w:type="dxa"/>
            <w:vAlign w:val="bottom"/>
          </w:tcPr>
          <w:p>
            <w:pPr>
              <w:spacing w:after="0"/>
              <w:rPr>
                <w:sz w:val="1"/>
                <w:szCs w:val="1"/>
                <w:color w:val="auto"/>
              </w:rPr>
            </w:pPr>
          </w:p>
        </w:tc>
      </w:tr>
      <w:tr>
        <w:trPr>
          <w:trHeight w:val="181"/>
        </w:trPr>
        <w:tc>
          <w:tcPr>
            <w:tcW w:w="6740" w:type="dxa"/>
            <w:vAlign w:val="bottom"/>
          </w:tcPr>
          <w:p>
            <w:pPr>
              <w:ind w:left="60"/>
              <w:spacing w:after="0" w:line="181" w:lineRule="exact"/>
              <w:rPr>
                <w:sz w:val="20"/>
                <w:szCs w:val="20"/>
                <w:color w:val="auto"/>
              </w:rPr>
            </w:pPr>
            <w:r>
              <w:rPr>
                <w:rFonts w:ascii="Arial" w:cs="Arial" w:eastAsia="Arial" w:hAnsi="Arial"/>
                <w:sz w:val="16"/>
                <w:szCs w:val="16"/>
                <w:color w:val="auto"/>
              </w:rPr>
              <w:t>Prima AFP</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3,920</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3,920</w:t>
            </w:r>
          </w:p>
        </w:tc>
        <w:tc>
          <w:tcPr>
            <w:tcW w:w="0" w:type="dxa"/>
            <w:vAlign w:val="bottom"/>
          </w:tcPr>
          <w:p>
            <w:pPr>
              <w:spacing w:after="0"/>
              <w:rPr>
                <w:sz w:val="1"/>
                <w:szCs w:val="1"/>
                <w:color w:val="auto"/>
              </w:rPr>
            </w:pPr>
          </w:p>
        </w:tc>
      </w:tr>
      <w:tr>
        <w:trPr>
          <w:trHeight w:val="210"/>
        </w:trPr>
        <w:tc>
          <w:tcPr>
            <w:tcW w:w="6740" w:type="dxa"/>
            <w:vAlign w:val="bottom"/>
          </w:tcPr>
          <w:p>
            <w:pPr>
              <w:ind w:left="60"/>
              <w:spacing w:after="0"/>
              <w:rPr>
                <w:sz w:val="20"/>
                <w:szCs w:val="20"/>
                <w:color w:val="auto"/>
              </w:rPr>
            </w:pPr>
            <w:r>
              <w:rPr>
                <w:rFonts w:ascii="Arial" w:cs="Arial" w:eastAsia="Arial" w:hAnsi="Arial"/>
                <w:sz w:val="16"/>
                <w:szCs w:val="16"/>
                <w:color w:val="auto"/>
              </w:rPr>
              <w:t>Other subsidiaries</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16,790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16,790</w:t>
            </w: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14,620,846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265,250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14,886,096</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300" w:hanging="295"/>
        <w:spacing w:after="0" w:line="255" w:lineRule="auto"/>
        <w:tabs>
          <w:tab w:leader="none" w:pos="3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This mainly relates to treasury shares acquired by the Group in order to cover the obligations of the share-based compensation and retention program. Such shares include those granted to employees and senior management which, as of the reporting date, have not yet vested in accordance with the terms and conditions of the program.</w:t>
      </w:r>
    </w:p>
    <w:p>
      <w:pPr>
        <w:spacing w:after="0" w:line="137"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During 2025, 2024 and 2023, the Group purchased 175,400, 174,161 and 163,067 shares of Credicorp Ltd., respectively, for a total of US$32.6 million (equivalent to S/119.3 million), US$29.3 million (equivalent to S/110.9 million) and US$22.5 million (equivalent to S/85.6 million), respectively.</w:t>
      </w:r>
    </w:p>
    <w:p>
      <w:pPr>
        <w:spacing w:after="0" w:line="137"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purchase of shares during 2025, measured at their respective market value at the acquisition date and amounting to S/119.3 million, comprise S/2.5 million corresponding to the shares at nominal value and S/116.8 million corresponding to the excess paid over the nominal value of the acquired shares. The purchase of shares during 2024 , measured at their respective market value at the acquisition date and amounting to S/110.9 million, comprise S/2.4 million corresponding to the shares at nominal value and S/108.5 million corresponding to the excess paid over the nominal value of the acquired shares.</w:t>
      </w: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400"/>
          </w:cols>
          <w:pgMar w:left="1180" w:top="328" w:right="319" w:bottom="1440" w:gutter="0" w:footer="0" w:header="0"/>
        </w:sectPr>
      </w:pPr>
    </w:p>
    <w:bookmarkStart w:id="108" w:name="page109"/>
    <w:bookmarkEnd w:id="108"/>
    <w:p>
      <w:pPr>
        <w:ind w:left="860" w:hanging="284"/>
        <w:spacing w:after="0"/>
        <w:tabs>
          <w:tab w:leader="none" w:pos="8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Reserves and other reserves -</w:t>
      </w:r>
    </w:p>
    <w:p>
      <w:pPr>
        <w:spacing w:after="0" w:line="177" w:lineRule="exact"/>
        <w:rPr>
          <w:rFonts w:ascii="Arial" w:cs="Arial" w:eastAsia="Arial" w:hAnsi="Arial"/>
          <w:sz w:val="16"/>
          <w:szCs w:val="16"/>
          <w:color w:val="auto"/>
        </w:rPr>
      </w:pPr>
    </w:p>
    <w:p>
      <w:pPr>
        <w:ind w:left="860" w:right="120"/>
        <w:spacing w:after="0" w:line="248" w:lineRule="auto"/>
        <w:rPr>
          <w:rFonts w:ascii="Arial" w:cs="Arial" w:eastAsia="Arial" w:hAnsi="Arial"/>
          <w:sz w:val="16"/>
          <w:szCs w:val="16"/>
          <w:color w:val="auto"/>
        </w:rPr>
      </w:pPr>
      <w:r>
        <w:rPr>
          <w:rFonts w:ascii="Arial" w:cs="Arial" w:eastAsia="Arial" w:hAnsi="Arial"/>
          <w:sz w:val="16"/>
          <w:szCs w:val="16"/>
          <w:color w:val="auto"/>
        </w:rPr>
        <w:t>Certain Group’s subsidiaries are required to keep a reserve that equals a percentage of paid-in capital (20.0, 30.0 or 50.0 percent, depending on its activities and the country in which production takes place); this reserve must be constituted with annual transfers of not less than 10.0 percent of net profits. As of December 31, 2025, 2024 and 2023, the balance of this reserves amounts approximately to S/9,810.2 million, S/9,175.8 million and S/8,621.7 million, respectively.</w:t>
      </w:r>
    </w:p>
    <w:p>
      <w:pPr>
        <w:spacing w:after="0" w:line="144" w:lineRule="exact"/>
        <w:rPr>
          <w:rFonts w:ascii="Arial" w:cs="Arial" w:eastAsia="Arial" w:hAnsi="Arial"/>
          <w:sz w:val="16"/>
          <w:szCs w:val="16"/>
          <w:color w:val="auto"/>
        </w:rPr>
      </w:pPr>
    </w:p>
    <w:p>
      <w:pPr>
        <w:ind w:left="860" w:right="120"/>
        <w:spacing w:after="0" w:line="274" w:lineRule="auto"/>
        <w:rPr>
          <w:rFonts w:ascii="Arial" w:cs="Arial" w:eastAsia="Arial" w:hAnsi="Arial"/>
          <w:sz w:val="16"/>
          <w:szCs w:val="16"/>
          <w:color w:val="auto"/>
        </w:rPr>
      </w:pPr>
      <w:r>
        <w:rPr>
          <w:rFonts w:ascii="Arial" w:cs="Arial" w:eastAsia="Arial" w:hAnsi="Arial"/>
          <w:sz w:val="16"/>
          <w:szCs w:val="16"/>
          <w:color w:val="auto"/>
        </w:rPr>
        <w:t>At the Board meetings held on February 27, 2025, April 27, 2024 and April 27, 2023, the decision was made to transfer from “Retained earnings” to “Reserves” S/5,637.7 million, S/1,778.8 million and S/2,593.6 million, respectively.</w:t>
      </w:r>
    </w:p>
    <w:p>
      <w:pPr>
        <w:spacing w:after="0" w:line="122" w:lineRule="exact"/>
        <w:rPr>
          <w:rFonts w:ascii="Arial" w:cs="Arial" w:eastAsia="Arial" w:hAnsi="Arial"/>
          <w:sz w:val="16"/>
          <w:szCs w:val="16"/>
          <w:color w:val="auto"/>
        </w:rPr>
      </w:pPr>
    </w:p>
    <w:p>
      <w:pPr>
        <w:ind w:left="860" w:right="320"/>
        <w:spacing w:after="0" w:line="274" w:lineRule="auto"/>
        <w:rPr>
          <w:rFonts w:ascii="Arial" w:cs="Arial" w:eastAsia="Arial" w:hAnsi="Arial"/>
          <w:sz w:val="16"/>
          <w:szCs w:val="16"/>
          <w:color w:val="auto"/>
        </w:rPr>
      </w:pPr>
      <w:r>
        <w:rPr>
          <w:rFonts w:ascii="Arial" w:cs="Arial" w:eastAsia="Arial" w:hAnsi="Arial"/>
          <w:sz w:val="16"/>
          <w:szCs w:val="16"/>
          <w:color w:val="auto"/>
        </w:rPr>
        <w:t>“Other reserves” include unrealized gains (losses) on fair value of investments through other comprehensive income and on cash flow hedges derivative instruments, net of deferred income tax and non-controlling interest. Movement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00" w:type="dxa"/>
            <w:vAlign w:val="bottom"/>
          </w:tcPr>
          <w:p>
            <w:pPr>
              <w:spacing w:after="0"/>
              <w:rPr>
                <w:sz w:val="17"/>
                <w:szCs w:val="17"/>
                <w:color w:val="auto"/>
              </w:rPr>
            </w:pPr>
          </w:p>
        </w:tc>
        <w:tc>
          <w:tcPr>
            <w:tcW w:w="22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Other reserves:</w:t>
            </w: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13"/>
        </w:trPr>
        <w:tc>
          <w:tcPr>
            <w:tcW w:w="500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Instruments</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5000" w:type="dxa"/>
            <w:vAlign w:val="bottom"/>
          </w:tcPr>
          <w:p>
            <w:pPr>
              <w:spacing w:after="0"/>
              <w:rPr>
                <w:sz w:val="15"/>
                <w:szCs w:val="15"/>
                <w:color w:val="auto"/>
              </w:rPr>
            </w:pPr>
          </w:p>
        </w:tc>
        <w:tc>
          <w:tcPr>
            <w:tcW w:w="10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that will not</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0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be</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0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reclassifed</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0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to profit or</w:t>
            </w:r>
          </w:p>
        </w:tc>
        <w:tc>
          <w:tcPr>
            <w:tcW w:w="5200" w:type="dxa"/>
            <w:vAlign w:val="bottom"/>
            <w:gridSpan w:val="14"/>
          </w:tcPr>
          <w:p>
            <w:pPr>
              <w:ind w:left="60"/>
              <w:spacing w:after="0" w:line="181" w:lineRule="exact"/>
              <w:rPr>
                <w:sz w:val="20"/>
                <w:szCs w:val="20"/>
                <w:color w:val="auto"/>
              </w:rPr>
            </w:pPr>
            <w:r>
              <w:rPr>
                <w:rFonts w:ascii="Arial" w:cs="Arial" w:eastAsia="Arial" w:hAnsi="Arial"/>
                <w:sz w:val="16"/>
                <w:szCs w:val="16"/>
                <w:b w:val="1"/>
                <w:bCs w:val="1"/>
                <w:color w:val="auto"/>
              </w:rPr>
              <w:t>Instruments that will be reclassified to consolidated statement of</w:t>
            </w:r>
          </w:p>
        </w:tc>
      </w:tr>
      <w:tr>
        <w:trPr>
          <w:trHeight w:val="198"/>
        </w:trPr>
        <w:tc>
          <w:tcPr>
            <w:tcW w:w="50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loss</w:t>
            </w: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income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6"/>
        </w:trPr>
        <w:tc>
          <w:tcPr>
            <w:tcW w:w="50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Reserve</w:t>
            </w: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Foreign</w:t>
            </w: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1"/>
        </w:trPr>
        <w:tc>
          <w:tcPr>
            <w:tcW w:w="5000" w:type="dxa"/>
            <w:vAlign w:val="bottom"/>
          </w:tcPr>
          <w:p>
            <w:pPr>
              <w:spacing w:after="0"/>
              <w:rPr>
                <w:sz w:val="15"/>
                <w:szCs w:val="15"/>
                <w:color w:val="auto"/>
              </w:rPr>
            </w:pPr>
          </w:p>
        </w:tc>
        <w:tc>
          <w:tcPr>
            <w:tcW w:w="10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Equity</w:t>
            </w:r>
          </w:p>
        </w:tc>
        <w:tc>
          <w:tcPr>
            <w:tcW w:w="1180" w:type="dxa"/>
            <w:vAlign w:val="bottom"/>
            <w:gridSpan w:val="3"/>
          </w:tcPr>
          <w:p>
            <w:pPr>
              <w:ind w:left="60"/>
              <w:spacing w:after="0" w:line="181" w:lineRule="exact"/>
              <w:rPr>
                <w:sz w:val="20"/>
                <w:szCs w:val="20"/>
                <w:color w:val="auto"/>
              </w:rPr>
            </w:pPr>
            <w:r>
              <w:rPr>
                <w:rFonts w:ascii="Arial" w:cs="Arial" w:eastAsia="Arial" w:hAnsi="Arial"/>
                <w:sz w:val="16"/>
                <w:szCs w:val="16"/>
                <w:b w:val="1"/>
                <w:bCs w:val="1"/>
                <w:color w:val="auto"/>
              </w:rPr>
              <w:t>Debt</w:t>
            </w:r>
          </w:p>
        </w:tc>
        <w:tc>
          <w:tcPr>
            <w:tcW w:w="9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for cash</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currency</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0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instruments</w:t>
            </w:r>
          </w:p>
        </w:tc>
        <w:tc>
          <w:tcPr>
            <w:tcW w:w="1180" w:type="dxa"/>
            <w:vAlign w:val="bottom"/>
            <w:gridSpan w:val="3"/>
          </w:tcPr>
          <w:p>
            <w:pPr>
              <w:ind w:left="60"/>
              <w:spacing w:after="0" w:line="181" w:lineRule="exact"/>
              <w:rPr>
                <w:sz w:val="20"/>
                <w:szCs w:val="20"/>
                <w:color w:val="auto"/>
              </w:rPr>
            </w:pPr>
            <w:r>
              <w:rPr>
                <w:rFonts w:ascii="Arial" w:cs="Arial" w:eastAsia="Arial" w:hAnsi="Arial"/>
                <w:sz w:val="16"/>
                <w:szCs w:val="16"/>
                <w:b w:val="1"/>
                <w:bCs w:val="1"/>
                <w:color w:val="auto"/>
              </w:rPr>
              <w:t>instruments</w:t>
            </w:r>
          </w:p>
        </w:tc>
        <w:tc>
          <w:tcPr>
            <w:tcW w:w="9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flow</w:t>
            </w:r>
          </w:p>
        </w:tc>
        <w:tc>
          <w:tcPr>
            <w:tcW w:w="1080" w:type="dxa"/>
            <w:vAlign w:val="bottom"/>
            <w:gridSpan w:val="3"/>
          </w:tcPr>
          <w:p>
            <w:pPr>
              <w:ind w:left="60"/>
              <w:spacing w:after="0" w:line="181" w:lineRule="exact"/>
              <w:rPr>
                <w:sz w:val="20"/>
                <w:szCs w:val="20"/>
                <w:color w:val="auto"/>
              </w:rPr>
            </w:pPr>
            <w:r>
              <w:rPr>
                <w:rFonts w:ascii="Arial" w:cs="Arial" w:eastAsia="Arial" w:hAnsi="Arial"/>
                <w:sz w:val="16"/>
                <w:szCs w:val="16"/>
                <w:b w:val="1"/>
                <w:bCs w:val="1"/>
                <w:color w:val="auto"/>
              </w:rPr>
              <w:t>Insurance</w:t>
            </w:r>
          </w:p>
        </w:tc>
        <w:tc>
          <w:tcPr>
            <w:tcW w:w="102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translation</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8"/>
        </w:trPr>
        <w:tc>
          <w:tcPr>
            <w:tcW w:w="50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at fair value</w:t>
            </w: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at fair value</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hedges</w:t>
            </w:r>
          </w:p>
        </w:tc>
        <w:tc>
          <w:tcPr>
            <w:tcW w:w="1080" w:type="dxa"/>
            <w:vAlign w:val="bottom"/>
            <w:gridSpan w:val="3"/>
          </w:tcPr>
          <w:p>
            <w:pPr>
              <w:ind w:left="60"/>
              <w:spacing w:after="0"/>
              <w:rPr>
                <w:sz w:val="20"/>
                <w:szCs w:val="20"/>
                <w:color w:val="auto"/>
              </w:rPr>
            </w:pPr>
            <w:r>
              <w:rPr>
                <w:rFonts w:ascii="Arial" w:cs="Arial" w:eastAsia="Arial" w:hAnsi="Arial"/>
                <w:sz w:val="16"/>
                <w:szCs w:val="16"/>
                <w:b w:val="1"/>
                <w:bCs w:val="1"/>
                <w:color w:val="auto"/>
              </w:rPr>
              <w:t>reserves</w:t>
            </w: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reserve</w:t>
            </w:r>
          </w:p>
        </w:tc>
        <w:tc>
          <w:tcPr>
            <w:tcW w:w="960" w:type="dxa"/>
            <w:vAlign w:val="bottom"/>
            <w:gridSpan w:val="4"/>
          </w:tcPr>
          <w:p>
            <w:pPr>
              <w:spacing w:after="0"/>
              <w:rPr>
                <w:sz w:val="20"/>
                <w:szCs w:val="20"/>
                <w:color w:val="auto"/>
              </w:rPr>
            </w:pPr>
            <w:r>
              <w:rPr>
                <w:rFonts w:ascii="Arial" w:cs="Arial" w:eastAsia="Arial" w:hAnsi="Arial"/>
                <w:sz w:val="16"/>
                <w:szCs w:val="16"/>
                <w:b w:val="1"/>
                <w:bCs w:val="1"/>
                <w:color w:val="auto"/>
              </w:rPr>
              <w:t>Total</w:t>
            </w:r>
          </w:p>
        </w:tc>
      </w:tr>
      <w:tr>
        <w:trPr>
          <w:trHeight w:val="214"/>
        </w:trPr>
        <w:tc>
          <w:tcPr>
            <w:tcW w:w="5000" w:type="dxa"/>
            <w:vAlign w:val="bottom"/>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gridSpan w:val="2"/>
          </w:tcPr>
          <w:p>
            <w:pPr>
              <w:spacing w:after="0"/>
              <w:rPr>
                <w:sz w:val="18"/>
                <w:szCs w:val="18"/>
                <w:color w:val="auto"/>
              </w:rPr>
            </w:pPr>
          </w:p>
        </w:tc>
      </w:tr>
      <w:tr>
        <w:trPr>
          <w:trHeight w:val="305"/>
        </w:trPr>
        <w:tc>
          <w:tcPr>
            <w:tcW w:w="5000" w:type="dxa"/>
            <w:vAlign w:val="bottom"/>
          </w:tcPr>
          <w:p>
            <w:pPr>
              <w:ind w:left="920"/>
              <w:spacing w:after="0"/>
              <w:rPr>
                <w:sz w:val="20"/>
                <w:szCs w:val="20"/>
                <w:color w:val="auto"/>
              </w:rPr>
            </w:pPr>
            <w:r>
              <w:rPr>
                <w:rFonts w:ascii="Arial" w:cs="Arial" w:eastAsia="Arial" w:hAnsi="Arial"/>
                <w:sz w:val="16"/>
                <w:szCs w:val="16"/>
                <w:b w:val="1"/>
                <w:bCs w:val="1"/>
                <w:color w:val="auto"/>
              </w:rPr>
              <w:t>Balance as of January 1, 2023</w:t>
            </w:r>
          </w:p>
        </w:tc>
        <w:tc>
          <w:tcPr>
            <w:tcW w:w="940" w:type="dxa"/>
            <w:vAlign w:val="bottom"/>
          </w:tcPr>
          <w:p>
            <w:pPr>
              <w:jc w:val="right"/>
              <w:spacing w:after="0"/>
              <w:rPr>
                <w:sz w:val="20"/>
                <w:szCs w:val="20"/>
                <w:color w:val="auto"/>
              </w:rPr>
            </w:pPr>
            <w:r>
              <w:rPr>
                <w:rFonts w:ascii="Arial" w:cs="Arial" w:eastAsia="Arial" w:hAnsi="Arial"/>
                <w:sz w:val="16"/>
                <w:szCs w:val="16"/>
                <w:color w:val="auto"/>
              </w:rPr>
              <w:t>170,408</w:t>
            </w:r>
          </w:p>
        </w:tc>
        <w:tc>
          <w:tcPr>
            <w:tcW w:w="120" w:type="dxa"/>
            <w:vAlign w:val="bottom"/>
          </w:tcPr>
          <w:p>
            <w:pPr>
              <w:spacing w:after="0"/>
              <w:rPr>
                <w:sz w:val="24"/>
                <w:szCs w:val="2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(1,655,559)</w:t>
            </w:r>
          </w:p>
        </w:tc>
        <w:tc>
          <w:tcPr>
            <w:tcW w:w="820" w:type="dxa"/>
            <w:vAlign w:val="bottom"/>
          </w:tcPr>
          <w:p>
            <w:pPr>
              <w:jc w:val="right"/>
              <w:spacing w:after="0"/>
              <w:rPr>
                <w:sz w:val="20"/>
                <w:szCs w:val="20"/>
                <w:color w:val="auto"/>
              </w:rPr>
            </w:pPr>
            <w:r>
              <w:rPr>
                <w:rFonts w:ascii="Arial" w:cs="Arial" w:eastAsia="Arial" w:hAnsi="Arial"/>
                <w:sz w:val="16"/>
                <w:szCs w:val="16"/>
                <w:color w:val="auto"/>
              </w:rPr>
              <w:t>788</w:t>
            </w:r>
          </w:p>
        </w:tc>
        <w:tc>
          <w:tcPr>
            <w:tcW w:w="14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1,133,536</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74,655</w:t>
            </w: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(276,172)</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Increase in net unrealized gains on investments</w:t>
            </w:r>
          </w:p>
        </w:tc>
        <w:tc>
          <w:tcPr>
            <w:tcW w:w="10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(12,247)</w:t>
            </w:r>
          </w:p>
        </w:tc>
        <w:tc>
          <w:tcPr>
            <w:tcW w:w="11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1,241,632</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1,229,385</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to results of the net realized loss of</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investments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7,789</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7,789</w:t>
            </w: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of credit loss of investments to profit or loss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8,716</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8,716</w:t>
            </w: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Change in net unrealized gain on cash flow hedges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derivatives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18,359</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18,359</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of net realized gain on cash flow hedges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derivatives to profit or loss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(30,550)</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rPr>
              <w:t>(30,550)</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Other reserves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(754,192)</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rPr>
              <w:t>(754,192)</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Foreign exchange translation</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73,498</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73,498</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Net movement in hedges of net investments in foreign</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5000" w:type="dxa"/>
            <w:vAlign w:val="bottom"/>
          </w:tcPr>
          <w:p>
            <w:pPr>
              <w:ind w:left="920"/>
              <w:spacing w:after="0"/>
              <w:rPr>
                <w:sz w:val="20"/>
                <w:szCs w:val="20"/>
                <w:color w:val="auto"/>
              </w:rPr>
            </w:pPr>
            <w:r>
              <w:rPr>
                <w:rFonts w:ascii="Arial" w:cs="Arial" w:eastAsia="Arial" w:hAnsi="Arial"/>
                <w:sz w:val="16"/>
                <w:szCs w:val="16"/>
                <w:color w:val="auto"/>
              </w:rPr>
              <w:t>businesses</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18,950</w:t>
            </w:r>
          </w:p>
        </w:tc>
        <w:tc>
          <w:tcPr>
            <w:tcW w:w="960" w:type="dxa"/>
            <w:vAlign w:val="bottom"/>
            <w:gridSpan w:val="4"/>
          </w:tcPr>
          <w:p>
            <w:pPr>
              <w:jc w:val="right"/>
              <w:ind w:right="140"/>
              <w:spacing w:after="0"/>
              <w:rPr>
                <w:sz w:val="20"/>
                <w:szCs w:val="20"/>
                <w:color w:val="auto"/>
              </w:rPr>
            </w:pPr>
            <w:r>
              <w:rPr>
                <w:rFonts w:ascii="Arial" w:cs="Arial" w:eastAsia="Arial" w:hAnsi="Arial"/>
                <w:sz w:val="16"/>
                <w:szCs w:val="16"/>
                <w:color w:val="auto"/>
              </w:rPr>
              <w:t>18,950</w:t>
            </w:r>
          </w:p>
        </w:tc>
      </w:tr>
      <w:tr>
        <w:trPr>
          <w:trHeight w:val="156"/>
        </w:trPr>
        <w:tc>
          <w:tcPr>
            <w:tcW w:w="5000" w:type="dxa"/>
            <w:vAlign w:val="bottom"/>
          </w:tcPr>
          <w:p>
            <w:pPr>
              <w:ind w:left="920"/>
              <w:spacing w:after="0" w:line="156" w:lineRule="exact"/>
              <w:rPr>
                <w:sz w:val="20"/>
                <w:szCs w:val="20"/>
                <w:color w:val="auto"/>
              </w:rPr>
            </w:pPr>
            <w:r>
              <w:rPr>
                <w:rFonts w:ascii="Arial" w:cs="Arial" w:eastAsia="Arial" w:hAnsi="Arial"/>
                <w:sz w:val="16"/>
                <w:szCs w:val="16"/>
                <w:b w:val="1"/>
                <w:bCs w:val="1"/>
                <w:color w:val="auto"/>
              </w:rPr>
              <w:t>Balance as of December 31, 2023</w:t>
            </w: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158,161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(397,422)</w:t>
            </w:r>
          </w:p>
        </w:tc>
        <w:tc>
          <w:tcPr>
            <w:tcW w:w="180" w:type="dxa"/>
            <w:vAlign w:val="bottom"/>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(11,403)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379,344</w:t>
            </w:r>
          </w:p>
        </w:tc>
        <w:tc>
          <w:tcPr>
            <w:tcW w:w="200" w:type="dxa"/>
            <w:vAlign w:val="bottom"/>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167,103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295,783</w:t>
            </w:r>
          </w:p>
        </w:tc>
        <w:tc>
          <w:tcPr>
            <w:tcW w:w="120" w:type="dxa"/>
            <w:vAlign w:val="bottom"/>
          </w:tcPr>
          <w:p>
            <w:pPr>
              <w:spacing w:after="0"/>
              <w:rPr>
                <w:sz w:val="13"/>
                <w:szCs w:val="13"/>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Increase in net unrealized gains on investments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24,116</w:t>
            </w:r>
          </w:p>
        </w:tc>
        <w:tc>
          <w:tcPr>
            <w:tcW w:w="11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136,783</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160,899</w:t>
            </w: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to results of the net realized loss of</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investments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36,712</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36,712</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of credit loss of investments to profit or loss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32,776</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32,776</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Change in net unrealized gain on cash flow hedges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derivatives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27,186</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27,186</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of net realized gain on cash flow hedges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derivatives to profit or loss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(17,416)</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rPr>
              <w:t>(17,416)</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Other reserves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(69,383)</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rPr>
              <w:t>(69,383)</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Foreign exchange translation</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(114,143)</w:t>
            </w:r>
          </w:p>
        </w:tc>
        <w:tc>
          <w:tcPr>
            <w:tcW w:w="9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rPr>
              <w:t>(114,143)</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Net movement in hedges of net investments in foreign</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5000" w:type="dxa"/>
            <w:vAlign w:val="bottom"/>
          </w:tcPr>
          <w:p>
            <w:pPr>
              <w:ind w:left="920"/>
              <w:spacing w:after="0"/>
              <w:rPr>
                <w:sz w:val="20"/>
                <w:szCs w:val="20"/>
                <w:color w:val="auto"/>
              </w:rPr>
            </w:pPr>
            <w:r>
              <w:rPr>
                <w:rFonts w:ascii="Arial" w:cs="Arial" w:eastAsia="Arial" w:hAnsi="Arial"/>
                <w:sz w:val="16"/>
                <w:szCs w:val="16"/>
                <w:color w:val="auto"/>
              </w:rPr>
              <w:t>businesses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(137,787)</w:t>
            </w:r>
          </w:p>
        </w:tc>
        <w:tc>
          <w:tcPr>
            <w:tcW w:w="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(137,787)</w:t>
            </w:r>
          </w:p>
        </w:tc>
      </w:tr>
      <w:tr>
        <w:trPr>
          <w:trHeight w:val="156"/>
        </w:trPr>
        <w:tc>
          <w:tcPr>
            <w:tcW w:w="5000" w:type="dxa"/>
            <w:vAlign w:val="bottom"/>
          </w:tcPr>
          <w:p>
            <w:pPr>
              <w:ind w:left="920"/>
              <w:spacing w:after="0" w:line="156" w:lineRule="exact"/>
              <w:rPr>
                <w:sz w:val="20"/>
                <w:szCs w:val="20"/>
                <w:color w:val="auto"/>
              </w:rPr>
            </w:pPr>
            <w:r>
              <w:rPr>
                <w:rFonts w:ascii="Arial" w:cs="Arial" w:eastAsia="Arial" w:hAnsi="Arial"/>
                <w:sz w:val="16"/>
                <w:szCs w:val="16"/>
                <w:b w:val="1"/>
                <w:bCs w:val="1"/>
                <w:color w:val="auto"/>
              </w:rPr>
              <w:t>Balance as of December 31, 2024</w:t>
            </w: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44,490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(191,151)</w:t>
            </w:r>
          </w:p>
        </w:tc>
        <w:tc>
          <w:tcPr>
            <w:tcW w:w="180" w:type="dxa"/>
            <w:vAlign w:val="bottom"/>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(1,633)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309,961</w:t>
            </w:r>
          </w:p>
        </w:tc>
        <w:tc>
          <w:tcPr>
            <w:tcW w:w="200" w:type="dxa"/>
            <w:vAlign w:val="bottom"/>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52,960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214,627</w:t>
            </w:r>
          </w:p>
        </w:tc>
        <w:tc>
          <w:tcPr>
            <w:tcW w:w="120" w:type="dxa"/>
            <w:vAlign w:val="bottom"/>
          </w:tcPr>
          <w:p>
            <w:pPr>
              <w:spacing w:after="0"/>
              <w:rPr>
                <w:sz w:val="13"/>
                <w:szCs w:val="13"/>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Increase in net unrealized gains on investments</w:t>
            </w:r>
          </w:p>
        </w:tc>
        <w:tc>
          <w:tcPr>
            <w:tcW w:w="10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(20,927)</w:t>
            </w:r>
          </w:p>
        </w:tc>
        <w:tc>
          <w:tcPr>
            <w:tcW w:w="11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1,322,876</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1,301,949</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to results of the net realized gain of</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investments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(142,245)</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rPr>
              <w:t>(142,245)</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of credit loss of investments to profit or loss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84,830</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84,830</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Change in net unrealized gain on cash flow hedges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derivatives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(10,490)</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rPr>
              <w:t>(10,490)</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Transfer of net realized gain on cash flow hedges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derivatives to profit or loss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12,350</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40"/>
              <w:spacing w:after="0" w:line="181" w:lineRule="exact"/>
              <w:rPr>
                <w:sz w:val="20"/>
                <w:szCs w:val="20"/>
                <w:color w:val="auto"/>
              </w:rPr>
            </w:pPr>
            <w:r>
              <w:rPr>
                <w:rFonts w:ascii="Arial" w:cs="Arial" w:eastAsia="Arial" w:hAnsi="Arial"/>
                <w:sz w:val="16"/>
                <w:szCs w:val="16"/>
                <w:color w:val="auto"/>
              </w:rPr>
              <w:t>12,350</w:t>
            </w: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Net movement in hedges of net investments in foreign</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businesses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8,336</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8,336</w:t>
            </w:r>
          </w:p>
        </w:tc>
        <w:tc>
          <w:tcPr>
            <w:tcW w:w="120" w:type="dxa"/>
            <w:vAlign w:val="bottom"/>
          </w:tcPr>
          <w:p>
            <w:pPr>
              <w:spacing w:after="0"/>
              <w:rPr>
                <w:sz w:val="15"/>
                <w:szCs w:val="15"/>
                <w:color w:val="auto"/>
              </w:rPr>
            </w:pPr>
          </w:p>
        </w:tc>
      </w:tr>
      <w:tr>
        <w:trPr>
          <w:trHeight w:val="181"/>
        </w:trPr>
        <w:tc>
          <w:tcPr>
            <w:tcW w:w="5000" w:type="dxa"/>
            <w:vAlign w:val="bottom"/>
          </w:tcPr>
          <w:p>
            <w:pPr>
              <w:ind w:left="920"/>
              <w:spacing w:after="0" w:line="181" w:lineRule="exact"/>
              <w:rPr>
                <w:sz w:val="20"/>
                <w:szCs w:val="20"/>
                <w:color w:val="auto"/>
              </w:rPr>
            </w:pPr>
            <w:r>
              <w:rPr>
                <w:rFonts w:ascii="Arial" w:cs="Arial" w:eastAsia="Arial" w:hAnsi="Arial"/>
                <w:sz w:val="16"/>
                <w:szCs w:val="16"/>
                <w:color w:val="auto"/>
              </w:rPr>
              <w:t>Other reserves</w:t>
            </w:r>
          </w:p>
        </w:tc>
        <w:tc>
          <w:tcPr>
            <w:tcW w:w="10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(518,071)</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rPr>
              <w:t>(518,071)</w:t>
            </w:r>
          </w:p>
        </w:tc>
      </w:tr>
      <w:tr>
        <w:trPr>
          <w:trHeight w:val="202"/>
        </w:trPr>
        <w:tc>
          <w:tcPr>
            <w:tcW w:w="5000" w:type="dxa"/>
            <w:vAlign w:val="bottom"/>
          </w:tcPr>
          <w:p>
            <w:pPr>
              <w:ind w:left="920"/>
              <w:spacing w:after="0"/>
              <w:rPr>
                <w:sz w:val="20"/>
                <w:szCs w:val="20"/>
                <w:color w:val="auto"/>
              </w:rPr>
            </w:pPr>
            <w:r>
              <w:rPr>
                <w:rFonts w:ascii="Arial" w:cs="Arial" w:eastAsia="Arial" w:hAnsi="Arial"/>
                <w:sz w:val="16"/>
                <w:szCs w:val="16"/>
                <w:color w:val="auto"/>
              </w:rPr>
              <w:t>Foreign exchange translation</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(406,519)</w:t>
            </w: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(406,519)</w:t>
            </w:r>
          </w:p>
        </w:tc>
      </w:tr>
      <w:tr>
        <w:trPr>
          <w:trHeight w:val="185"/>
        </w:trPr>
        <w:tc>
          <w:tcPr>
            <w:tcW w:w="5000" w:type="dxa"/>
            <w:vAlign w:val="bottom"/>
          </w:tcPr>
          <w:p>
            <w:pPr>
              <w:ind w:left="920"/>
              <w:spacing w:after="0" w:line="181" w:lineRule="exact"/>
              <w:rPr>
                <w:sz w:val="20"/>
                <w:szCs w:val="20"/>
                <w:color w:val="auto"/>
              </w:rPr>
            </w:pPr>
            <w:r>
              <w:rPr>
                <w:rFonts w:ascii="Arial" w:cs="Arial" w:eastAsia="Arial" w:hAnsi="Arial"/>
                <w:sz w:val="16"/>
                <w:szCs w:val="16"/>
                <w:b w:val="1"/>
                <w:bCs w:val="1"/>
                <w:color w:val="auto"/>
              </w:rPr>
              <w:t>Balance as of December 31, 2025</w:t>
            </w:r>
          </w:p>
        </w:tc>
        <w:tc>
          <w:tcPr>
            <w:tcW w:w="9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31,899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1,074,310</w:t>
            </w:r>
          </w:p>
        </w:tc>
        <w:tc>
          <w:tcPr>
            <w:tcW w:w="180" w:type="dxa"/>
            <w:vAlign w:val="bottom"/>
          </w:tcPr>
          <w:p>
            <w:pPr>
              <w:spacing w:after="0"/>
              <w:rPr>
                <w:sz w:val="16"/>
                <w:szCs w:val="16"/>
                <w:color w:val="auto"/>
              </w:rPr>
            </w:pPr>
          </w:p>
        </w:tc>
        <w:tc>
          <w:tcPr>
            <w:tcW w:w="8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227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(208,110</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(353,559</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6"/>
                <w:szCs w:val="16"/>
                <w:color w:val="auto"/>
              </w:rPr>
            </w:pPr>
          </w:p>
        </w:tc>
        <w:tc>
          <w:tcPr>
            <w:tcW w:w="82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544,767</w:t>
            </w:r>
          </w:p>
        </w:tc>
        <w:tc>
          <w:tcPr>
            <w:tcW w:w="120" w:type="dxa"/>
            <w:vAlign w:val="bottom"/>
          </w:tcPr>
          <w:p>
            <w:pPr>
              <w:spacing w:after="0"/>
              <w:rPr>
                <w:sz w:val="16"/>
                <w:szCs w:val="16"/>
                <w:color w:val="auto"/>
              </w:rPr>
            </w:pPr>
          </w:p>
        </w:tc>
      </w:tr>
      <w:tr>
        <w:trPr>
          <w:trHeight w:val="547"/>
        </w:trPr>
        <w:tc>
          <w:tcPr>
            <w:tcW w:w="5000" w:type="dxa"/>
            <w:vAlign w:val="bottom"/>
          </w:tcPr>
          <w:p>
            <w:pPr>
              <w:spacing w:after="0"/>
              <w:rPr>
                <w:sz w:val="24"/>
                <w:szCs w:val="24"/>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- 104 -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
        </w:trPr>
        <w:tc>
          <w:tcPr>
            <w:tcW w:w="50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16" w:right="31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Pr>
          <w:p>
            <w:pPr>
              <w:ind w:left="580"/>
              <w:spacing w:after="0"/>
              <w:rPr>
                <w:sz w:val="20"/>
                <w:szCs w:val="20"/>
                <w:color w:val="auto"/>
              </w:rPr>
            </w:pPr>
            <w:r>
              <w:rPr>
                <w:rFonts w:ascii="Arial" w:cs="Arial" w:eastAsia="Arial" w:hAnsi="Arial"/>
                <w:sz w:val="16"/>
                <w:szCs w:val="16"/>
                <w:color w:val="auto"/>
              </w:rPr>
              <w:t>d)  Components of other comprehensive income -</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7640" w:type="dxa"/>
            <w:vAlign w:val="bottom"/>
          </w:tcPr>
          <w:p>
            <w:pPr>
              <w:ind w:left="860"/>
              <w:spacing w:after="0"/>
              <w:rPr>
                <w:sz w:val="20"/>
                <w:szCs w:val="20"/>
                <w:color w:val="auto"/>
              </w:rPr>
            </w:pPr>
            <w:r>
              <w:rPr>
                <w:rFonts w:ascii="Arial" w:cs="Arial" w:eastAsia="Arial" w:hAnsi="Arial"/>
                <w:sz w:val="16"/>
                <w:szCs w:val="16"/>
                <w:color w:val="auto"/>
              </w:rPr>
              <w:t>The movement of the item is as follows: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64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6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To be reclassified to the consolidated statement of income in later periods</w:t>
            </w:r>
          </w:p>
        </w:tc>
        <w:tc>
          <w:tcPr>
            <w:tcW w:w="10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6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7640" w:type="dxa"/>
            <w:vAlign w:val="bottom"/>
          </w:tcPr>
          <w:p>
            <w:pPr>
              <w:ind w:left="860"/>
              <w:spacing w:after="0"/>
              <w:rPr>
                <w:sz w:val="20"/>
                <w:szCs w:val="20"/>
                <w:color w:val="auto"/>
              </w:rPr>
            </w:pPr>
            <w:r>
              <w:rPr>
                <w:rFonts w:ascii="Arial" w:cs="Arial" w:eastAsia="Arial" w:hAnsi="Arial"/>
                <w:sz w:val="16"/>
                <w:szCs w:val="16"/>
                <w:b w:val="1"/>
                <w:bCs w:val="1"/>
                <w:color w:val="auto"/>
              </w:rPr>
              <w:t>Debt instruments at fair value through ither comprehensive income (FVOCI) -</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Net unrealized gain</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1,322,876</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136,783</w:t>
            </w:r>
          </w:p>
        </w:tc>
        <w:tc>
          <w:tcPr>
            <w:tcW w:w="1080" w:type="dxa"/>
            <w:vAlign w:val="bottom"/>
            <w:gridSpan w:val="3"/>
          </w:tcPr>
          <w:p>
            <w:pPr>
              <w:jc w:val="right"/>
              <w:ind w:right="35"/>
              <w:spacing w:after="0" w:line="181" w:lineRule="exact"/>
              <w:rPr>
                <w:sz w:val="20"/>
                <w:szCs w:val="20"/>
                <w:color w:val="auto"/>
              </w:rPr>
            </w:pPr>
            <w:r>
              <w:rPr>
                <w:rFonts w:ascii="Arial" w:cs="Arial" w:eastAsia="Arial" w:hAnsi="Arial"/>
                <w:sz w:val="16"/>
                <w:szCs w:val="16"/>
                <w:color w:val="auto"/>
              </w:rPr>
              <w:t>1,241,632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Transfer to results of net realized gain (loss)</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(142,245)</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36,712</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7,789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1000"/>
              <w:spacing w:after="0"/>
              <w:rPr>
                <w:sz w:val="20"/>
                <w:szCs w:val="20"/>
                <w:color w:val="auto"/>
              </w:rPr>
            </w:pPr>
            <w:r>
              <w:rPr>
                <w:rFonts w:ascii="Arial" w:cs="Arial" w:eastAsia="Arial" w:hAnsi="Arial"/>
                <w:sz w:val="16"/>
                <w:szCs w:val="16"/>
                <w:color w:val="auto"/>
              </w:rPr>
              <w:t>Transfer of credit loss to profit or loss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84,830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32,776</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8,716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40" w:type="dxa"/>
            <w:vAlign w:val="bottom"/>
          </w:tcPr>
          <w:p>
            <w:pPr>
              <w:ind w:left="1000"/>
              <w:spacing w:after="0" w:line="156" w:lineRule="exact"/>
              <w:rPr>
                <w:sz w:val="20"/>
                <w:szCs w:val="20"/>
                <w:color w:val="auto"/>
              </w:rPr>
            </w:pPr>
            <w:r>
              <w:rPr>
                <w:rFonts w:ascii="Arial" w:cs="Arial" w:eastAsia="Arial" w:hAnsi="Arial"/>
                <w:sz w:val="16"/>
                <w:szCs w:val="16"/>
                <w:b w:val="1"/>
                <w:bCs w:val="1"/>
                <w:color w:val="auto"/>
              </w:rPr>
              <w:t>Sub total</w:t>
            </w: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1,265,461</w:t>
            </w:r>
          </w:p>
        </w:tc>
        <w:tc>
          <w:tcPr>
            <w:tcW w:w="200" w:type="dxa"/>
            <w:vAlign w:val="bottom"/>
          </w:tcPr>
          <w:p>
            <w:pPr>
              <w:spacing w:after="0"/>
              <w:rPr>
                <w:sz w:val="13"/>
                <w:szCs w:val="13"/>
                <w:color w:val="auto"/>
              </w:rPr>
            </w:pP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206,271</w:t>
            </w:r>
          </w:p>
        </w:tc>
        <w:tc>
          <w:tcPr>
            <w:tcW w:w="20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1,258,137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18,419</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4,612</w:t>
            </w:r>
          </w:p>
        </w:tc>
        <w:tc>
          <w:tcPr>
            <w:tcW w:w="1080" w:type="dxa"/>
            <w:vAlign w:val="bottom"/>
            <w:gridSpan w:val="3"/>
          </w:tcPr>
          <w:p>
            <w:pPr>
              <w:jc w:val="right"/>
              <w:ind w:right="35"/>
              <w:spacing w:after="0" w:line="181" w:lineRule="exact"/>
              <w:rPr>
                <w:sz w:val="20"/>
                <w:szCs w:val="20"/>
                <w:color w:val="auto"/>
              </w:rPr>
            </w:pPr>
            <w:r>
              <w:rPr>
                <w:rFonts w:ascii="Arial" w:cs="Arial" w:eastAsia="Arial" w:hAnsi="Arial"/>
                <w:sz w:val="16"/>
                <w:szCs w:val="16"/>
                <w:color w:val="auto"/>
              </w:rPr>
              <w:t>18,317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1000"/>
              <w:spacing w:after="0"/>
              <w:rPr>
                <w:sz w:val="20"/>
                <w:szCs w:val="20"/>
                <w:color w:val="auto"/>
              </w:rPr>
            </w:pPr>
            <w:r>
              <w:rPr>
                <w:rFonts w:ascii="Arial" w:cs="Arial" w:eastAsia="Arial" w:hAnsi="Arial"/>
                <w:sz w:val="16"/>
                <w:szCs w:val="16"/>
                <w:color w:val="auto"/>
              </w:rPr>
              <w:t>Income tax</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(24,152)</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(5,118)</w:t>
            </w:r>
          </w:p>
        </w:tc>
        <w:tc>
          <w:tcPr>
            <w:tcW w:w="1080" w:type="dxa"/>
            <w:vAlign w:val="bottom"/>
            <w:gridSpan w:val="3"/>
          </w:tcPr>
          <w:p>
            <w:pPr>
              <w:jc w:val="right"/>
              <w:ind w:right="35"/>
              <w:spacing w:after="0"/>
              <w:rPr>
                <w:sz w:val="20"/>
                <w:szCs w:val="20"/>
                <w:color w:val="auto"/>
              </w:rPr>
            </w:pPr>
            <w:r>
              <w:rPr>
                <w:rFonts w:ascii="Arial" w:cs="Arial" w:eastAsia="Arial" w:hAnsi="Arial"/>
                <w:sz w:val="16"/>
                <w:szCs w:val="16"/>
                <w:color w:val="auto"/>
              </w:rPr>
              <w:t>58,489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6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Cash flow hedge reserves:</w:t>
            </w: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1,259,728</w:t>
            </w:r>
          </w:p>
        </w:tc>
        <w:tc>
          <w:tcPr>
            <w:tcW w:w="200" w:type="dxa"/>
            <w:vAlign w:val="bottom"/>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205,765</w:t>
            </w:r>
          </w:p>
        </w:tc>
        <w:tc>
          <w:tcPr>
            <w:tcW w:w="200" w:type="dxa"/>
            <w:vAlign w:val="bottom"/>
          </w:tcPr>
          <w:p>
            <w:pPr>
              <w:spacing w:after="0"/>
              <w:rPr>
                <w:sz w:val="15"/>
                <w:szCs w:val="15"/>
                <w:color w:val="auto"/>
              </w:rPr>
            </w:pPr>
          </w:p>
        </w:tc>
        <w:tc>
          <w:tcPr>
            <w:tcW w:w="1080" w:type="dxa"/>
            <w:vAlign w:val="bottom"/>
            <w:tcBorders>
              <w:top w:val="single" w:sz="8" w:color="auto"/>
            </w:tcBorders>
            <w:gridSpan w:val="3"/>
          </w:tcPr>
          <w:p>
            <w:pPr>
              <w:jc w:val="right"/>
              <w:ind w:right="35"/>
              <w:spacing w:after="0" w:line="173" w:lineRule="exact"/>
              <w:rPr>
                <w:sz w:val="20"/>
                <w:szCs w:val="20"/>
                <w:color w:val="auto"/>
              </w:rPr>
            </w:pPr>
            <w:r>
              <w:rPr>
                <w:rFonts w:ascii="Arial" w:cs="Arial" w:eastAsia="Arial" w:hAnsi="Arial"/>
                <w:sz w:val="16"/>
                <w:szCs w:val="16"/>
                <w:color w:val="auto"/>
              </w:rPr>
              <w:t>1,334,943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40" w:type="dxa"/>
            <w:vAlign w:val="bottom"/>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640" w:type="dxa"/>
            <w:vAlign w:val="bottom"/>
          </w:tcPr>
          <w:p>
            <w:pPr>
              <w:ind w:left="1000"/>
              <w:spacing w:after="0"/>
              <w:rPr>
                <w:sz w:val="20"/>
                <w:szCs w:val="20"/>
                <w:color w:val="auto"/>
              </w:rPr>
            </w:pPr>
            <w:r>
              <w:rPr>
                <w:rFonts w:ascii="Arial" w:cs="Arial" w:eastAsia="Arial" w:hAnsi="Arial"/>
                <w:sz w:val="16"/>
                <w:szCs w:val="16"/>
                <w:color w:val="auto"/>
              </w:rPr>
              <w:t>Net (loss) gain on cash flow hedges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(10,490)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27,186</w:t>
            </w:r>
          </w:p>
        </w:tc>
        <w:tc>
          <w:tcPr>
            <w:tcW w:w="1080" w:type="dxa"/>
            <w:vAlign w:val="bottom"/>
            <w:gridSpan w:val="3"/>
          </w:tcPr>
          <w:p>
            <w:pPr>
              <w:jc w:val="right"/>
              <w:ind w:right="35"/>
              <w:spacing w:after="0"/>
              <w:rPr>
                <w:sz w:val="20"/>
                <w:szCs w:val="20"/>
                <w:color w:val="auto"/>
              </w:rPr>
            </w:pPr>
            <w:r>
              <w:rPr>
                <w:rFonts w:ascii="Arial" w:cs="Arial" w:eastAsia="Arial" w:hAnsi="Arial"/>
                <w:sz w:val="16"/>
                <w:szCs w:val="16"/>
                <w:color w:val="auto"/>
              </w:rPr>
              <w:t>18,359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640" w:type="dxa"/>
            <w:vAlign w:val="bottom"/>
          </w:tcPr>
          <w:p>
            <w:pPr>
              <w:ind w:left="1000"/>
              <w:spacing w:after="0"/>
              <w:rPr>
                <w:sz w:val="20"/>
                <w:szCs w:val="20"/>
                <w:color w:val="auto"/>
              </w:rPr>
            </w:pPr>
            <w:r>
              <w:rPr>
                <w:rFonts w:ascii="Arial" w:cs="Arial" w:eastAsia="Arial" w:hAnsi="Arial"/>
                <w:sz w:val="16"/>
                <w:szCs w:val="16"/>
                <w:color w:val="auto"/>
              </w:rPr>
              <w:t>Transfer of net realized gains (losses) on cash flow hedges derivatives to profit or loss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12,350</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(17,416)</w:t>
            </w:r>
          </w:p>
        </w:tc>
        <w:tc>
          <w:tcPr>
            <w:tcW w:w="1140" w:type="dxa"/>
            <w:vAlign w:val="bottom"/>
            <w:gridSpan w:val="4"/>
          </w:tcPr>
          <w:p>
            <w:pPr>
              <w:jc w:val="right"/>
              <w:ind w:right="60"/>
              <w:spacing w:after="0"/>
              <w:rPr>
                <w:sz w:val="20"/>
                <w:szCs w:val="20"/>
                <w:color w:val="auto"/>
              </w:rPr>
            </w:pPr>
            <w:r>
              <w:rPr>
                <w:rFonts w:ascii="Arial" w:cs="Arial" w:eastAsia="Arial" w:hAnsi="Arial"/>
                <w:sz w:val="16"/>
                <w:szCs w:val="16"/>
                <w:color w:val="auto"/>
              </w:rPr>
              <w:t>(30,550)</w:t>
            </w:r>
          </w:p>
        </w:tc>
        <w:tc>
          <w:tcPr>
            <w:tcW w:w="0" w:type="dxa"/>
            <w:vAlign w:val="bottom"/>
          </w:tcPr>
          <w:p>
            <w:pPr>
              <w:spacing w:after="0"/>
              <w:rPr>
                <w:sz w:val="1"/>
                <w:szCs w:val="1"/>
                <w:color w:val="auto"/>
              </w:rPr>
            </w:pPr>
          </w:p>
        </w:tc>
      </w:tr>
      <w:tr>
        <w:trPr>
          <w:trHeight w:val="156"/>
        </w:trPr>
        <w:tc>
          <w:tcPr>
            <w:tcW w:w="7640" w:type="dxa"/>
            <w:vAlign w:val="bottom"/>
          </w:tcPr>
          <w:p>
            <w:pPr>
              <w:ind w:left="1000"/>
              <w:spacing w:after="0" w:line="156" w:lineRule="exact"/>
              <w:rPr>
                <w:sz w:val="20"/>
                <w:szCs w:val="20"/>
                <w:color w:val="auto"/>
              </w:rPr>
            </w:pPr>
            <w:r>
              <w:rPr>
                <w:rFonts w:ascii="Arial" w:cs="Arial" w:eastAsia="Arial" w:hAnsi="Arial"/>
                <w:sz w:val="16"/>
                <w:szCs w:val="16"/>
                <w:b w:val="1"/>
                <w:bCs w:val="1"/>
                <w:color w:val="auto"/>
              </w:rPr>
              <w:t>Sub total</w:t>
            </w: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1,860</w:t>
            </w:r>
          </w:p>
        </w:tc>
        <w:tc>
          <w:tcPr>
            <w:tcW w:w="200" w:type="dxa"/>
            <w:vAlign w:val="bottom"/>
          </w:tcPr>
          <w:p>
            <w:pPr>
              <w:spacing w:after="0"/>
              <w:rPr>
                <w:sz w:val="13"/>
                <w:szCs w:val="13"/>
                <w:color w:val="auto"/>
              </w:rPr>
            </w:pP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9,770</w:t>
            </w:r>
          </w:p>
        </w:tc>
        <w:tc>
          <w:tcPr>
            <w:tcW w:w="20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(12,191)</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29</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125</w:t>
            </w:r>
          </w:p>
        </w:tc>
        <w:tc>
          <w:tcPr>
            <w:tcW w:w="114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2"/>
        </w:trPr>
        <w:tc>
          <w:tcPr>
            <w:tcW w:w="7640" w:type="dxa"/>
            <w:vAlign w:val="bottom"/>
          </w:tcPr>
          <w:p>
            <w:pPr>
              <w:ind w:left="1000"/>
              <w:spacing w:after="0"/>
              <w:rPr>
                <w:sz w:val="20"/>
                <w:szCs w:val="20"/>
                <w:color w:val="auto"/>
              </w:rPr>
            </w:pPr>
            <w:r>
              <w:rPr>
                <w:rFonts w:ascii="Arial" w:cs="Arial" w:eastAsia="Arial" w:hAnsi="Arial"/>
                <w:sz w:val="16"/>
                <w:szCs w:val="16"/>
                <w:color w:val="auto"/>
              </w:rPr>
              <w:t>Income tax</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1,575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4,030</w:t>
            </w:r>
          </w:p>
        </w:tc>
        <w:tc>
          <w:tcPr>
            <w:tcW w:w="1140" w:type="dxa"/>
            <w:vAlign w:val="bottom"/>
            <w:gridSpan w:val="4"/>
          </w:tcPr>
          <w:p>
            <w:pPr>
              <w:jc w:val="right"/>
              <w:ind w:right="60"/>
              <w:spacing w:after="0"/>
              <w:rPr>
                <w:sz w:val="20"/>
                <w:szCs w:val="20"/>
                <w:color w:val="auto"/>
              </w:rPr>
            </w:pPr>
            <w:r>
              <w:rPr>
                <w:rFonts w:ascii="Arial" w:cs="Arial" w:eastAsia="Arial" w:hAnsi="Arial"/>
                <w:sz w:val="16"/>
                <w:szCs w:val="16"/>
                <w:color w:val="auto"/>
              </w:rPr>
              <w:t>(5,104)</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3,464</w:t>
            </w:r>
          </w:p>
        </w:tc>
        <w:tc>
          <w:tcPr>
            <w:tcW w:w="200" w:type="dxa"/>
            <w:vAlign w:val="bottom"/>
          </w:tcPr>
          <w:p>
            <w:pPr>
              <w:spacing w:after="0"/>
              <w:rPr>
                <w:sz w:val="16"/>
                <w:szCs w:val="16"/>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13,925</w:t>
            </w:r>
          </w:p>
        </w:tc>
        <w:tc>
          <w:tcPr>
            <w:tcW w:w="200" w:type="dxa"/>
            <w:vAlign w:val="bottom"/>
          </w:tcPr>
          <w:p>
            <w:pPr>
              <w:spacing w:after="0"/>
              <w:rPr>
                <w:sz w:val="16"/>
                <w:szCs w:val="16"/>
                <w:color w:val="auto"/>
              </w:rPr>
            </w:pPr>
          </w:p>
        </w:tc>
        <w:tc>
          <w:tcPr>
            <w:tcW w:w="106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(17,443</w:t>
            </w:r>
          </w:p>
        </w:tc>
        <w:tc>
          <w:tcPr>
            <w:tcW w:w="80" w:type="dxa"/>
            <w:vAlign w:val="bottom"/>
            <w:gridSpan w:val="2"/>
          </w:tcPr>
          <w:p>
            <w:pPr>
              <w:jc w:val="right"/>
              <w:ind w:right="60"/>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345"/>
        </w:trPr>
        <w:tc>
          <w:tcPr>
            <w:tcW w:w="7640" w:type="dxa"/>
            <w:vAlign w:val="bottom"/>
          </w:tcPr>
          <w:p>
            <w:pPr>
              <w:ind w:left="860"/>
              <w:spacing w:after="0"/>
              <w:rPr>
                <w:sz w:val="20"/>
                <w:szCs w:val="20"/>
                <w:color w:val="auto"/>
              </w:rPr>
            </w:pPr>
            <w:r>
              <w:rPr>
                <w:rFonts w:ascii="Arial" w:cs="Arial" w:eastAsia="Arial" w:hAnsi="Arial"/>
                <w:sz w:val="16"/>
                <w:szCs w:val="16"/>
                <w:b w:val="1"/>
                <w:bCs w:val="1"/>
                <w:color w:val="auto"/>
              </w:rPr>
              <w:t>Other reserves:</w:t>
            </w: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Insurance reserves</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(518,071)</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(69,383)</w:t>
            </w:r>
          </w:p>
        </w:tc>
        <w:tc>
          <w:tcPr>
            <w:tcW w:w="114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(754,192)</w:t>
            </w:r>
          </w:p>
        </w:tc>
        <w:tc>
          <w:tcPr>
            <w:tcW w:w="0" w:type="dxa"/>
            <w:vAlign w:val="bottom"/>
          </w:tcPr>
          <w:p>
            <w:pPr>
              <w:spacing w:after="0"/>
              <w:rPr>
                <w:sz w:val="1"/>
                <w:szCs w:val="1"/>
                <w:color w:val="auto"/>
              </w:rPr>
            </w:pPr>
          </w:p>
        </w:tc>
      </w:tr>
      <w:tr>
        <w:trPr>
          <w:trHeight w:val="202"/>
        </w:trPr>
        <w:tc>
          <w:tcPr>
            <w:tcW w:w="7640" w:type="dxa"/>
            <w:vAlign w:val="bottom"/>
          </w:tcPr>
          <w:p>
            <w:pPr>
              <w:ind w:left="100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(5,921)</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(793)</w:t>
            </w:r>
          </w:p>
        </w:tc>
        <w:tc>
          <w:tcPr>
            <w:tcW w:w="1140" w:type="dxa"/>
            <w:vAlign w:val="bottom"/>
            <w:gridSpan w:val="4"/>
          </w:tcPr>
          <w:p>
            <w:pPr>
              <w:jc w:val="right"/>
              <w:ind w:right="60"/>
              <w:spacing w:after="0"/>
              <w:rPr>
                <w:sz w:val="20"/>
                <w:szCs w:val="20"/>
                <w:color w:val="auto"/>
              </w:rPr>
            </w:pPr>
            <w:r>
              <w:rPr>
                <w:rFonts w:ascii="Arial" w:cs="Arial" w:eastAsia="Arial" w:hAnsi="Arial"/>
                <w:sz w:val="16"/>
                <w:szCs w:val="16"/>
                <w:color w:val="auto"/>
              </w:rPr>
              <w:t>(8,619)</w:t>
            </w:r>
          </w:p>
        </w:tc>
        <w:tc>
          <w:tcPr>
            <w:tcW w:w="0" w:type="dxa"/>
            <w:vAlign w:val="bottom"/>
          </w:tcPr>
          <w:p>
            <w:pPr>
              <w:spacing w:after="0"/>
              <w:rPr>
                <w:sz w:val="1"/>
                <w:szCs w:val="1"/>
                <w:color w:val="auto"/>
              </w:rPr>
            </w:pPr>
          </w:p>
        </w:tc>
      </w:tr>
      <w:tr>
        <w:trPr>
          <w:trHeight w:val="185"/>
        </w:trPr>
        <w:tc>
          <w:tcPr>
            <w:tcW w:w="76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Foreign exchange translation:</w:t>
            </w: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(523,992</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(70,176</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(762,811</w:t>
            </w:r>
          </w:p>
        </w:tc>
        <w:tc>
          <w:tcPr>
            <w:tcW w:w="80" w:type="dxa"/>
            <w:vAlign w:val="bottom"/>
            <w:gridSpan w:val="2"/>
          </w:tcPr>
          <w:p>
            <w:pPr>
              <w:jc w:val="right"/>
              <w:ind w:right="60"/>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64"/>
        </w:trPr>
        <w:tc>
          <w:tcPr>
            <w:tcW w:w="7640" w:type="dxa"/>
            <w:vAlign w:val="bottom"/>
            <w:vMerge w:val="continue"/>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Foreign currency translation differences arising from the translation of foreign operations</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(406,519)</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(114,143)</w:t>
            </w:r>
          </w:p>
        </w:tc>
        <w:tc>
          <w:tcPr>
            <w:tcW w:w="1080" w:type="dxa"/>
            <w:vAlign w:val="bottom"/>
            <w:gridSpan w:val="3"/>
          </w:tcPr>
          <w:p>
            <w:pPr>
              <w:jc w:val="right"/>
              <w:ind w:right="35"/>
              <w:spacing w:after="0" w:line="181" w:lineRule="exact"/>
              <w:rPr>
                <w:sz w:val="20"/>
                <w:szCs w:val="20"/>
                <w:color w:val="auto"/>
              </w:rPr>
            </w:pPr>
            <w:r>
              <w:rPr>
                <w:rFonts w:ascii="Arial" w:cs="Arial" w:eastAsia="Arial" w:hAnsi="Arial"/>
                <w:sz w:val="16"/>
                <w:szCs w:val="16"/>
                <w:color w:val="auto"/>
              </w:rPr>
              <w:t>73,498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1000"/>
              <w:spacing w:after="0"/>
              <w:rPr>
                <w:sz w:val="20"/>
                <w:szCs w:val="20"/>
                <w:color w:val="auto"/>
              </w:rPr>
            </w:pPr>
            <w:r>
              <w:rPr>
                <w:rFonts w:ascii="Arial" w:cs="Arial" w:eastAsia="Arial" w:hAnsi="Arial"/>
                <w:sz w:val="16"/>
                <w:szCs w:val="16"/>
                <w:color w:val="auto"/>
              </w:rPr>
              <w:t>Net movement in hedges of net investments in foreign businesses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35"/>
              <w:spacing w:after="0"/>
              <w:rPr>
                <w:sz w:val="20"/>
                <w:szCs w:val="20"/>
                <w:color w:val="auto"/>
              </w:rPr>
            </w:pPr>
            <w:r>
              <w:rPr>
                <w:rFonts w:ascii="Arial" w:cs="Arial" w:eastAsia="Arial" w:hAnsi="Arial"/>
                <w:sz w:val="16"/>
                <w:szCs w:val="16"/>
                <w:color w:val="auto"/>
              </w:rPr>
              <w:t>18,950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40" w:type="dxa"/>
            <w:vAlign w:val="bottom"/>
          </w:tcPr>
          <w:p>
            <w:pPr>
              <w:ind w:left="1000"/>
              <w:spacing w:after="0" w:line="156" w:lineRule="exact"/>
              <w:rPr>
                <w:sz w:val="20"/>
                <w:szCs w:val="20"/>
                <w:color w:val="auto"/>
              </w:rPr>
            </w:pPr>
            <w:r>
              <w:rPr>
                <w:rFonts w:ascii="Arial" w:cs="Arial" w:eastAsia="Arial" w:hAnsi="Arial"/>
                <w:sz w:val="16"/>
                <w:szCs w:val="16"/>
                <w:b w:val="1"/>
                <w:bCs w:val="1"/>
                <w:color w:val="auto"/>
              </w:rPr>
              <w:t>Sub total</w:t>
            </w: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(406,519)</w:t>
            </w:r>
          </w:p>
        </w:tc>
        <w:tc>
          <w:tcPr>
            <w:tcW w:w="200" w:type="dxa"/>
            <w:vAlign w:val="bottom"/>
          </w:tcPr>
          <w:p>
            <w:pPr>
              <w:spacing w:after="0"/>
              <w:rPr>
                <w:sz w:val="13"/>
                <w:szCs w:val="13"/>
                <w:color w:val="auto"/>
              </w:rPr>
            </w:pP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(114,143)</w:t>
            </w:r>
          </w:p>
        </w:tc>
        <w:tc>
          <w:tcPr>
            <w:tcW w:w="200" w:type="dxa"/>
            <w:vAlign w:val="bottom"/>
          </w:tcPr>
          <w:p>
            <w:pPr>
              <w:spacing w:after="0"/>
              <w:rPr>
                <w:sz w:val="13"/>
                <w:szCs w:val="13"/>
                <w:color w:val="auto"/>
              </w:rPr>
            </w:pPr>
          </w:p>
        </w:tc>
        <w:tc>
          <w:tcPr>
            <w:tcW w:w="1080" w:type="dxa"/>
            <w:vAlign w:val="bottom"/>
            <w:tcBorders>
              <w:top w:val="single" w:sz="8" w:color="auto"/>
            </w:tcBorders>
            <w:gridSpan w:val="3"/>
          </w:tcPr>
          <w:p>
            <w:pPr>
              <w:jc w:val="right"/>
              <w:ind w:right="35"/>
              <w:spacing w:after="0" w:line="156" w:lineRule="exact"/>
              <w:rPr>
                <w:sz w:val="20"/>
                <w:szCs w:val="20"/>
                <w:color w:val="auto"/>
              </w:rPr>
            </w:pPr>
            <w:r>
              <w:rPr>
                <w:rFonts w:ascii="Arial" w:cs="Arial" w:eastAsia="Arial" w:hAnsi="Arial"/>
                <w:sz w:val="16"/>
                <w:szCs w:val="16"/>
                <w:color w:val="auto"/>
              </w:rPr>
              <w:t>92,448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100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(436)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140" w:type="dxa"/>
            <w:vAlign w:val="bottom"/>
            <w:gridSpan w:val="4"/>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5"/>
        </w:trPr>
        <w:tc>
          <w:tcPr>
            <w:tcW w:w="76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Not to be reclassified to the consolidated statement of income in later periods:</w:t>
            </w: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(406,955</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(114,142</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tcBorders>
            <w:gridSpan w:val="3"/>
          </w:tcPr>
          <w:p>
            <w:pPr>
              <w:jc w:val="right"/>
              <w:ind w:right="35"/>
              <w:spacing w:after="0" w:line="181" w:lineRule="exact"/>
              <w:rPr>
                <w:sz w:val="20"/>
                <w:szCs w:val="20"/>
                <w:color w:val="auto"/>
              </w:rPr>
            </w:pPr>
            <w:r>
              <w:rPr>
                <w:rFonts w:ascii="Arial" w:cs="Arial" w:eastAsia="Arial" w:hAnsi="Arial"/>
                <w:sz w:val="16"/>
                <w:szCs w:val="16"/>
                <w:color w:val="auto"/>
              </w:rPr>
              <w:t>92,414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640" w:type="dxa"/>
            <w:vAlign w:val="bottom"/>
            <w:vMerge w:val="continue"/>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860"/>
              <w:spacing w:after="0" w:line="181" w:lineRule="exact"/>
              <w:rPr>
                <w:sz w:val="20"/>
                <w:szCs w:val="20"/>
                <w:color w:val="auto"/>
              </w:rPr>
            </w:pPr>
            <w:r>
              <w:rPr>
                <w:rFonts w:ascii="Arial" w:cs="Arial" w:eastAsia="Arial" w:hAnsi="Arial"/>
                <w:sz w:val="16"/>
                <w:szCs w:val="16"/>
                <w:b w:val="1"/>
                <w:bCs w:val="1"/>
                <w:color w:val="auto"/>
              </w:rPr>
              <w:t>Equity instruments at fair value through other comprehensive income -</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Net unrealized gains</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(20,927)</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24,116</w:t>
            </w:r>
          </w:p>
        </w:tc>
        <w:tc>
          <w:tcPr>
            <w:tcW w:w="114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(12,247)</w:t>
            </w: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Transfer of the fair value reserve of equity instruments designated at FVOCI for sale</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8,336</w:t>
            </w: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(137,787)</w:t>
            </w:r>
          </w:p>
        </w:tc>
        <w:tc>
          <w:tcPr>
            <w:tcW w:w="1140" w:type="dxa"/>
            <w:vAlign w:val="bottom"/>
            <w:gridSpan w:val="4"/>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40" w:type="dxa"/>
            <w:vAlign w:val="bottom"/>
          </w:tcPr>
          <w:p>
            <w:pPr>
              <w:ind w:left="100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40" w:type="dxa"/>
            <w:vAlign w:val="bottom"/>
          </w:tcPr>
          <w:p>
            <w:pPr>
              <w:ind w:left="1000"/>
              <w:spacing w:after="0" w:line="156" w:lineRule="exact"/>
              <w:rPr>
                <w:sz w:val="20"/>
                <w:szCs w:val="20"/>
                <w:color w:val="auto"/>
              </w:rPr>
            </w:pPr>
            <w:r>
              <w:rPr>
                <w:rFonts w:ascii="Arial" w:cs="Arial" w:eastAsia="Arial" w:hAnsi="Arial"/>
                <w:sz w:val="16"/>
                <w:szCs w:val="16"/>
                <w:b w:val="1"/>
                <w:bCs w:val="1"/>
                <w:color w:val="auto"/>
              </w:rPr>
              <w:t>Sub total</w:t>
            </w: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(12,595)</w:t>
            </w:r>
          </w:p>
        </w:tc>
        <w:tc>
          <w:tcPr>
            <w:tcW w:w="200" w:type="dxa"/>
            <w:vAlign w:val="bottom"/>
          </w:tcPr>
          <w:p>
            <w:pPr>
              <w:spacing w:after="0"/>
              <w:rPr>
                <w:sz w:val="13"/>
                <w:szCs w:val="13"/>
                <w:color w:val="auto"/>
              </w:rPr>
            </w:pP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(113,664)</w:t>
            </w:r>
          </w:p>
        </w:tc>
        <w:tc>
          <w:tcPr>
            <w:tcW w:w="20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(12,120)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1000"/>
              <w:spacing w:after="0"/>
              <w:rPr>
                <w:sz w:val="20"/>
                <w:szCs w:val="20"/>
                <w:color w:val="auto"/>
              </w:rPr>
            </w:pPr>
            <w:r>
              <w:rPr>
                <w:rFonts w:ascii="Arial" w:cs="Arial" w:eastAsia="Arial" w:hAnsi="Arial"/>
                <w:sz w:val="16"/>
                <w:szCs w:val="16"/>
                <w:color w:val="auto"/>
              </w:rPr>
              <w:t>Income tax</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2,332</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(8,439)</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3,791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6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Attributable to:</w:t>
            </w: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(10,263</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(122,103</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(8,329</w:t>
            </w:r>
          </w:p>
        </w:tc>
        <w:tc>
          <w:tcPr>
            <w:tcW w:w="80" w:type="dxa"/>
            <w:vAlign w:val="bottom"/>
            <w:gridSpan w:val="2"/>
          </w:tcPr>
          <w:p>
            <w:pPr>
              <w:jc w:val="right"/>
              <w:ind w:right="60"/>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64"/>
        </w:trPr>
        <w:tc>
          <w:tcPr>
            <w:tcW w:w="7640" w:type="dxa"/>
            <w:vAlign w:val="bottom"/>
            <w:vMerge w:val="continue"/>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40" w:type="dxa"/>
            <w:vAlign w:val="bottom"/>
          </w:tcPr>
          <w:p>
            <w:pPr>
              <w:ind w:left="1000"/>
              <w:spacing w:after="0" w:line="181" w:lineRule="exact"/>
              <w:rPr>
                <w:sz w:val="20"/>
                <w:szCs w:val="20"/>
                <w:color w:val="auto"/>
              </w:rPr>
            </w:pPr>
            <w:r>
              <w:rPr>
                <w:rFonts w:ascii="Arial" w:cs="Arial" w:eastAsia="Arial" w:hAnsi="Arial"/>
                <w:sz w:val="16"/>
                <w:szCs w:val="16"/>
                <w:color w:val="auto"/>
              </w:rPr>
              <w:t>Credicorp's equity holders</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330,140</w:t>
            </w:r>
          </w:p>
        </w:tc>
        <w:tc>
          <w:tcPr>
            <w:tcW w:w="200" w:type="dxa"/>
            <w:vAlign w:val="bottom"/>
          </w:tcPr>
          <w:p>
            <w:pPr>
              <w:spacing w:after="0"/>
              <w:rPr>
                <w:sz w:val="15"/>
                <w:szCs w:val="15"/>
                <w:color w:val="auto"/>
              </w:rPr>
            </w:pP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(81,156)</w:t>
            </w: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571,955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100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12,087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3,952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9,643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342,227</w:t>
            </w:r>
          </w:p>
        </w:tc>
        <w:tc>
          <w:tcPr>
            <w:tcW w:w="200" w:type="dxa"/>
            <w:vAlign w:val="bottom"/>
          </w:tcPr>
          <w:p>
            <w:pPr>
              <w:spacing w:after="0"/>
              <w:rPr>
                <w:sz w:val="16"/>
                <w:szCs w:val="16"/>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(77,204</w:t>
            </w:r>
          </w:p>
        </w:tc>
        <w:tc>
          <w:tcPr>
            <w:tcW w:w="200" w:type="dxa"/>
            <w:vAlign w:val="bottom"/>
          </w:tcPr>
          <w:p>
            <w:pPr>
              <w:jc w:val="right"/>
              <w:ind w:right="60"/>
              <w:spacing w:after="0" w:line="181" w:lineRule="exact"/>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581,598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7640" w:type="dxa"/>
            <w:vAlign w:val="bottom"/>
          </w:tcPr>
          <w:p>
            <w:pPr>
              <w:ind w:left="5380"/>
              <w:spacing w:after="0"/>
              <w:rPr>
                <w:sz w:val="20"/>
                <w:szCs w:val="20"/>
                <w:color w:val="auto"/>
              </w:rPr>
            </w:pPr>
            <w:r>
              <w:rPr>
                <w:rFonts w:ascii="Arial" w:cs="Arial" w:eastAsia="Arial" w:hAnsi="Arial"/>
                <w:sz w:val="16"/>
                <w:szCs w:val="16"/>
                <w:color w:val="auto"/>
              </w:rPr>
              <w:t>- 105 -</w:t>
            </w: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6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110" w:name="page111"/>
    <w:bookmarkEnd w:id="110"/>
    <w:p>
      <w:pPr>
        <w:ind w:left="863" w:hanging="284"/>
        <w:spacing w:after="0"/>
        <w:tabs>
          <w:tab w:leader="none" w:pos="86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Dividend distribution –</w:t>
      </w:r>
    </w:p>
    <w:p>
      <w:pPr>
        <w:spacing w:after="0" w:line="177"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The chart below shows the distribution of dividends agreed by the Board of Directors:</w:t>
      </w:r>
    </w:p>
    <w:p>
      <w:pPr>
        <w:spacing w:after="0" w:line="190" w:lineRule="exact"/>
        <w:rPr>
          <w:sz w:val="20"/>
          <w:szCs w:val="20"/>
          <w:color w:val="auto"/>
        </w:rPr>
      </w:pPr>
    </w:p>
    <w:tbl>
      <w:tblPr>
        <w:tblLayout w:type="fixed"/>
        <w:tblInd w:w="863" w:type="dxa"/>
        <w:tblCellMar>
          <w:top w:w="0" w:type="dxa"/>
          <w:left w:w="0" w:type="dxa"/>
          <w:bottom w:w="0" w:type="dxa"/>
          <w:right w:w="0" w:type="dxa"/>
        </w:tblCellMar>
      </w:tblPr>
      <w:tr>
        <w:trPr>
          <w:trHeight w:val="198"/>
        </w:trPr>
        <w:tc>
          <w:tcPr>
            <w:tcW w:w="6440" w:type="dxa"/>
            <w:vAlign w:val="bottom"/>
          </w:tcPr>
          <w:p>
            <w:pPr>
              <w:spacing w:after="0"/>
              <w:rPr>
                <w:sz w:val="17"/>
                <w:szCs w:val="17"/>
                <w:color w:val="auto"/>
              </w:rPr>
            </w:pPr>
          </w:p>
        </w:tc>
        <w:tc>
          <w:tcPr>
            <w:tcW w:w="114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b w:val="1"/>
                <w:bCs w:val="1"/>
                <w:color w:val="auto"/>
                <w:w w:val="95"/>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b w:val="1"/>
                <w:bCs w:val="1"/>
                <w:color w:val="auto"/>
                <w:w w:val="95"/>
              </w:rPr>
              <w:t>2024</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b w:val="1"/>
                <w:bCs w:val="1"/>
                <w:color w:val="auto"/>
                <w:w w:val="95"/>
              </w:rPr>
              <w:t>2023</w:t>
            </w:r>
          </w:p>
        </w:tc>
      </w:tr>
      <w:tr>
        <w:trPr>
          <w:trHeight w:val="337"/>
        </w:trPr>
        <w:tc>
          <w:tcPr>
            <w:tcW w:w="6440" w:type="dxa"/>
            <w:vAlign w:val="bottom"/>
          </w:tcPr>
          <w:p>
            <w:pPr>
              <w:spacing w:after="0"/>
              <w:rPr>
                <w:sz w:val="20"/>
                <w:szCs w:val="20"/>
                <w:color w:val="auto"/>
              </w:rPr>
            </w:pPr>
            <w:r>
              <w:rPr>
                <w:rFonts w:ascii="Arial" w:cs="Arial" w:eastAsia="Arial" w:hAnsi="Arial"/>
                <w:sz w:val="16"/>
                <w:szCs w:val="16"/>
                <w:color w:val="auto"/>
              </w:rPr>
              <w:t>Date of Meeting - Board of Directors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24.04.2025</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25.04.2024</w:t>
            </w:r>
          </w:p>
        </w:tc>
        <w:tc>
          <w:tcPr>
            <w:tcW w:w="1120" w:type="dxa"/>
            <w:vAlign w:val="bottom"/>
          </w:tcPr>
          <w:p>
            <w:pPr>
              <w:jc w:val="right"/>
              <w:spacing w:after="0"/>
              <w:rPr>
                <w:sz w:val="20"/>
                <w:szCs w:val="20"/>
                <w:color w:val="auto"/>
              </w:rPr>
            </w:pPr>
            <w:r>
              <w:rPr>
                <w:rFonts w:ascii="Arial" w:cs="Arial" w:eastAsia="Arial" w:hAnsi="Arial"/>
                <w:sz w:val="16"/>
                <w:szCs w:val="16"/>
                <w:color w:val="auto"/>
              </w:rPr>
              <w:t>27.04.2023</w:t>
            </w:r>
          </w:p>
        </w:tc>
      </w:tr>
      <w:tr>
        <w:trPr>
          <w:trHeight w:val="181"/>
        </w:trPr>
        <w:tc>
          <w:tcPr>
            <w:tcW w:w="6440" w:type="dxa"/>
            <w:vAlign w:val="bottom"/>
          </w:tcPr>
          <w:p>
            <w:pPr>
              <w:spacing w:after="0" w:line="181" w:lineRule="exact"/>
              <w:rPr>
                <w:sz w:val="20"/>
                <w:szCs w:val="20"/>
                <w:color w:val="auto"/>
              </w:rPr>
            </w:pPr>
            <w:r>
              <w:rPr>
                <w:rFonts w:ascii="Arial" w:cs="Arial" w:eastAsia="Arial" w:hAnsi="Arial"/>
                <w:sz w:val="16"/>
                <w:szCs w:val="16"/>
                <w:color w:val="auto"/>
              </w:rPr>
              <w:t>Dividends distribution, net of treasury shares effect (in thousands of soles)</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3,181,454</w:t>
            </w:r>
          </w:p>
        </w:tc>
        <w:tc>
          <w:tcPr>
            <w:tcW w:w="134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2,788,657</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1,994,037</w:t>
            </w:r>
          </w:p>
        </w:tc>
      </w:tr>
      <w:tr>
        <w:trPr>
          <w:trHeight w:val="181"/>
        </w:trPr>
        <w:tc>
          <w:tcPr>
            <w:tcW w:w="6440" w:type="dxa"/>
            <w:vAlign w:val="bottom"/>
          </w:tcPr>
          <w:p>
            <w:pPr>
              <w:spacing w:after="0" w:line="181" w:lineRule="exact"/>
              <w:rPr>
                <w:sz w:val="20"/>
                <w:szCs w:val="20"/>
                <w:color w:val="auto"/>
              </w:rPr>
            </w:pPr>
            <w:r>
              <w:rPr>
                <w:rFonts w:ascii="Arial" w:cs="Arial" w:eastAsia="Arial" w:hAnsi="Arial"/>
                <w:sz w:val="16"/>
                <w:szCs w:val="16"/>
                <w:color w:val="auto"/>
              </w:rPr>
              <w:t>Payment of dividends per share (in soles)</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40.00</w:t>
            </w:r>
          </w:p>
        </w:tc>
        <w:tc>
          <w:tcPr>
            <w:tcW w:w="134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35.00</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25.00</w:t>
            </w:r>
          </w:p>
        </w:tc>
      </w:tr>
      <w:tr>
        <w:trPr>
          <w:trHeight w:val="181"/>
        </w:trPr>
        <w:tc>
          <w:tcPr>
            <w:tcW w:w="6440" w:type="dxa"/>
            <w:vAlign w:val="bottom"/>
          </w:tcPr>
          <w:p>
            <w:pPr>
              <w:spacing w:after="0" w:line="181" w:lineRule="exact"/>
              <w:rPr>
                <w:sz w:val="20"/>
                <w:szCs w:val="20"/>
                <w:color w:val="auto"/>
              </w:rPr>
            </w:pPr>
            <w:r>
              <w:rPr>
                <w:rFonts w:ascii="Arial" w:cs="Arial" w:eastAsia="Arial" w:hAnsi="Arial"/>
                <w:sz w:val="16"/>
                <w:szCs w:val="16"/>
                <w:color w:val="auto"/>
              </w:rPr>
              <w:t>Date of dividends payout</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13.06.2025</w:t>
            </w:r>
          </w:p>
        </w:tc>
        <w:tc>
          <w:tcPr>
            <w:tcW w:w="134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14.06.2024</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09.06.2023</w:t>
            </w:r>
          </w:p>
        </w:tc>
      </w:tr>
      <w:tr>
        <w:trPr>
          <w:trHeight w:val="181"/>
        </w:trPr>
        <w:tc>
          <w:tcPr>
            <w:tcW w:w="6440" w:type="dxa"/>
            <w:vAlign w:val="bottom"/>
          </w:tcPr>
          <w:p>
            <w:pPr>
              <w:spacing w:after="0" w:line="181" w:lineRule="exact"/>
              <w:rPr>
                <w:sz w:val="20"/>
                <w:szCs w:val="20"/>
                <w:color w:val="auto"/>
              </w:rPr>
            </w:pPr>
            <w:r>
              <w:rPr>
                <w:rFonts w:ascii="Arial" w:cs="Arial" w:eastAsia="Arial" w:hAnsi="Arial"/>
                <w:sz w:val="16"/>
                <w:szCs w:val="16"/>
                <w:color w:val="auto"/>
              </w:rPr>
              <w:t>Exchange rate published by the SBS</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3.6327</w:t>
            </w:r>
          </w:p>
        </w:tc>
        <w:tc>
          <w:tcPr>
            <w:tcW w:w="134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3.7685</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3.6901</w:t>
            </w:r>
          </w:p>
        </w:tc>
      </w:tr>
      <w:tr>
        <w:trPr>
          <w:trHeight w:val="214"/>
        </w:trPr>
        <w:tc>
          <w:tcPr>
            <w:tcW w:w="6440" w:type="dxa"/>
            <w:vAlign w:val="bottom"/>
          </w:tcPr>
          <w:p>
            <w:pPr>
              <w:spacing w:after="0"/>
              <w:rPr>
                <w:sz w:val="20"/>
                <w:szCs w:val="20"/>
                <w:color w:val="auto"/>
              </w:rPr>
            </w:pPr>
            <w:r>
              <w:rPr>
                <w:rFonts w:ascii="Arial" w:cs="Arial" w:eastAsia="Arial" w:hAnsi="Arial"/>
                <w:sz w:val="16"/>
                <w:szCs w:val="16"/>
                <w:color w:val="auto"/>
              </w:rPr>
              <w:t>Dividends payout (equivalent in thousands of US$)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875,782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739,991</w:t>
            </w:r>
          </w:p>
        </w:tc>
        <w:tc>
          <w:tcPr>
            <w:tcW w:w="1120" w:type="dxa"/>
            <w:vAlign w:val="bottom"/>
          </w:tcPr>
          <w:p>
            <w:pPr>
              <w:jc w:val="right"/>
              <w:spacing w:after="0"/>
              <w:rPr>
                <w:sz w:val="20"/>
                <w:szCs w:val="20"/>
                <w:color w:val="auto"/>
              </w:rPr>
            </w:pPr>
            <w:r>
              <w:rPr>
                <w:rFonts w:ascii="Arial" w:cs="Arial" w:eastAsia="Arial" w:hAnsi="Arial"/>
                <w:sz w:val="16"/>
                <w:szCs w:val="16"/>
                <w:color w:val="auto"/>
              </w:rPr>
              <w:t>540,375</w:t>
            </w:r>
          </w:p>
        </w:tc>
      </w:tr>
    </w:tbl>
    <w:p>
      <w:pPr>
        <w:spacing w:after="0" w:line="14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As of December 31, 2025, no additional dividend payments were made.</w:t>
      </w:r>
    </w:p>
    <w:p>
      <w:pPr>
        <w:spacing w:after="0" w:line="178" w:lineRule="exact"/>
        <w:rPr>
          <w:sz w:val="20"/>
          <w:szCs w:val="20"/>
          <w:color w:val="auto"/>
        </w:rPr>
      </w:pPr>
    </w:p>
    <w:p>
      <w:pPr>
        <w:ind w:left="863" w:right="180"/>
        <w:spacing w:after="0" w:line="274" w:lineRule="auto"/>
        <w:rPr>
          <w:sz w:val="20"/>
          <w:szCs w:val="20"/>
          <w:color w:val="auto"/>
        </w:rPr>
      </w:pPr>
      <w:r>
        <w:rPr>
          <w:rFonts w:ascii="Arial" w:cs="Arial" w:eastAsia="Arial" w:hAnsi="Arial"/>
          <w:sz w:val="16"/>
          <w:szCs w:val="16"/>
          <w:color w:val="auto"/>
        </w:rPr>
        <w:t>At the Board of Directors’ meeting held on August 29, 2024, the distribution of an additional dividend was approved, net of the effect of treasury shares held in treasury stock, for approximately S/875.9 million, charged to reserves. Such dividend was paid on October 18, 2024.</w:t>
      </w:r>
    </w:p>
    <w:p>
      <w:pPr>
        <w:spacing w:after="0" w:line="123" w:lineRule="exact"/>
        <w:rPr>
          <w:sz w:val="20"/>
          <w:szCs w:val="20"/>
          <w:color w:val="auto"/>
        </w:rPr>
      </w:pPr>
    </w:p>
    <w:p>
      <w:pPr>
        <w:jc w:val="both"/>
        <w:ind w:left="863" w:right="80"/>
        <w:spacing w:after="0" w:line="255" w:lineRule="auto"/>
        <w:rPr>
          <w:sz w:val="20"/>
          <w:szCs w:val="20"/>
          <w:color w:val="auto"/>
        </w:rPr>
      </w:pPr>
      <w:r>
        <w:rPr>
          <w:rFonts w:ascii="Arial" w:cs="Arial" w:eastAsia="Arial" w:hAnsi="Arial"/>
          <w:sz w:val="16"/>
          <w:szCs w:val="16"/>
          <w:color w:val="auto"/>
        </w:rPr>
        <w:t>In accordance with the legal regulations in force in Peru, there are no restrictions on the remittance of dividends abroad or on the repatriation of foreign investment. As of December 31, 2025, 2024, and 2023, dividends paid by Peruvian subsidiaries to Credicorp are subject to a 5.0 percent withholding tax.</w:t>
      </w:r>
    </w:p>
    <w:p>
      <w:pPr>
        <w:spacing w:after="0" w:line="137" w:lineRule="exact"/>
        <w:rPr>
          <w:sz w:val="20"/>
          <w:szCs w:val="20"/>
          <w:color w:val="auto"/>
        </w:rPr>
      </w:pPr>
    </w:p>
    <w:p>
      <w:pPr>
        <w:ind w:left="863" w:hanging="284"/>
        <w:spacing w:after="0"/>
        <w:tabs>
          <w:tab w:leader="none" w:pos="86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Regulatory capital -</w:t>
      </w:r>
    </w:p>
    <w:p>
      <w:pPr>
        <w:spacing w:after="0" w:line="177" w:lineRule="exact"/>
        <w:rPr>
          <w:rFonts w:ascii="Arial" w:cs="Arial" w:eastAsia="Arial" w:hAnsi="Arial"/>
          <w:sz w:val="16"/>
          <w:szCs w:val="16"/>
          <w:color w:val="auto"/>
        </w:rPr>
      </w:pPr>
    </w:p>
    <w:p>
      <w:pPr>
        <w:ind w:left="863" w:right="320"/>
        <w:spacing w:after="0" w:line="245" w:lineRule="auto"/>
        <w:rPr>
          <w:rFonts w:ascii="Arial" w:cs="Arial" w:eastAsia="Arial" w:hAnsi="Arial"/>
          <w:sz w:val="16"/>
          <w:szCs w:val="16"/>
          <w:color w:val="auto"/>
        </w:rPr>
      </w:pPr>
      <w:r>
        <w:rPr>
          <w:rFonts w:ascii="Arial" w:cs="Arial" w:eastAsia="Arial" w:hAnsi="Arial"/>
          <w:sz w:val="16"/>
          <w:szCs w:val="16"/>
          <w:color w:val="auto"/>
        </w:rPr>
        <w:t>In accordance with the regulations issued by the SBS related to the “Regulation for the Consolidated Supervision of Financial and Mixed Conglomerates”, the regulatory capital required at the Credicorp and its subsidiaries level is determined based on the specific requirements applicable to each subsidiary, including capital requirements for additional risks, and in accordance with the requirements established by the respective regulators in the countries in which they operate. As of December 31, 2025, and 2024, the required regulatory capital amounted to approximately S/32,346.5 million and S/29,123.5 million, respectively.</w:t>
      </w:r>
    </w:p>
    <w:p>
      <w:pPr>
        <w:spacing w:after="0" w:line="147" w:lineRule="exact"/>
        <w:rPr>
          <w:sz w:val="20"/>
          <w:szCs w:val="20"/>
          <w:color w:val="auto"/>
        </w:rPr>
      </w:pPr>
    </w:p>
    <w:p>
      <w:pPr>
        <w:jc w:val="both"/>
        <w:ind w:left="863"/>
        <w:spacing w:after="0" w:line="255" w:lineRule="auto"/>
        <w:rPr>
          <w:sz w:val="20"/>
          <w:szCs w:val="20"/>
          <w:color w:val="auto"/>
        </w:rPr>
      </w:pPr>
      <w:r>
        <w:rPr>
          <w:rFonts w:ascii="Arial" w:cs="Arial" w:eastAsia="Arial" w:hAnsi="Arial"/>
          <w:sz w:val="16"/>
          <w:szCs w:val="16"/>
          <w:color w:val="auto"/>
        </w:rPr>
        <w:t>The consolidated regulatory capital of Credicorp and its subsidiaries, determined in accordance with the provisions of this regulation, amounted to S/43,813.2 million and S/40,009.5 million as of December 31, 2025 and 2024, respectively, exceeding the minimum regulatory capital required by the SBS by S/11,466.7 million and S/10,885.9 million, respectively.</w:t>
      </w:r>
    </w:p>
    <w:p>
      <w:pPr>
        <w:spacing w:after="0" w:line="137" w:lineRule="exact"/>
        <w:rPr>
          <w:sz w:val="20"/>
          <w:szCs w:val="20"/>
          <w:color w:val="auto"/>
        </w:rPr>
      </w:pPr>
    </w:p>
    <w:p>
      <w:pPr>
        <w:ind w:left="583" w:hanging="583"/>
        <w:spacing w:after="0"/>
        <w:tabs>
          <w:tab w:leader="none" w:pos="583"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TAX SITUATION</w:t>
      </w:r>
    </w:p>
    <w:p>
      <w:pPr>
        <w:spacing w:after="0" w:line="177" w:lineRule="exact"/>
        <w:rPr>
          <w:rFonts w:ascii="Arial" w:cs="Arial" w:eastAsia="Arial" w:hAnsi="Arial"/>
          <w:sz w:val="16"/>
          <w:szCs w:val="16"/>
          <w:b w:val="1"/>
          <w:bCs w:val="1"/>
          <w:color w:val="auto"/>
        </w:rPr>
      </w:pPr>
    </w:p>
    <w:p>
      <w:pPr>
        <w:ind w:left="863" w:hanging="284"/>
        <w:spacing w:after="0" w:line="245" w:lineRule="auto"/>
        <w:tabs>
          <w:tab w:leader="none" w:pos="86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As of January 1, 2025, the Corporate Income Tax Act 2023, enacted by the Government of Bermuda in connection with the Pillar Two rules, entered into force. This legislation introduces a corporate income tax at a rate of 15.0 percent applicable to entities that are part of multinational groups with consolidated revenues equal to or exceeding EUR 750 million. Credicorp Ltd. and its subsidiaries domiciled in Bermuda fall within the scope of this regulation. As of December 31, 2025, Management has assessed the impact of this tax and concluded that it is not material to the consolidated financial statements.</w:t>
      </w:r>
    </w:p>
    <w:p>
      <w:pPr>
        <w:spacing w:after="0" w:line="146"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Credicorp's Peruvian subsidiaries are subject to the Peruvian tax regime.</w:t>
      </w:r>
    </w:p>
    <w:p>
      <w:pPr>
        <w:spacing w:after="0" w:line="177" w:lineRule="exact"/>
        <w:rPr>
          <w:rFonts w:ascii="Arial" w:cs="Arial" w:eastAsia="Arial" w:hAnsi="Arial"/>
          <w:sz w:val="16"/>
          <w:szCs w:val="16"/>
          <w:color w:val="auto"/>
        </w:rPr>
      </w:pPr>
    </w:p>
    <w:p>
      <w:pPr>
        <w:ind w:left="863" w:right="120"/>
        <w:spacing w:after="0" w:line="274" w:lineRule="auto"/>
        <w:rPr>
          <w:rFonts w:ascii="Arial" w:cs="Arial" w:eastAsia="Arial" w:hAnsi="Arial"/>
          <w:sz w:val="16"/>
          <w:szCs w:val="16"/>
          <w:color w:val="auto"/>
        </w:rPr>
      </w:pPr>
      <w:r>
        <w:rPr>
          <w:rFonts w:ascii="Arial" w:cs="Arial" w:eastAsia="Arial" w:hAnsi="Arial"/>
          <w:sz w:val="16"/>
          <w:szCs w:val="16"/>
          <w:color w:val="auto"/>
        </w:rPr>
        <w:t>The Peruvian corporate income tax rate as of December 31, 2025, 2024 and 2023 was 29.5 percent of taxable income after calculating workers' participation, which is determined using a rate of 5.0 percent.</w:t>
      </w:r>
    </w:p>
    <w:p>
      <w:pPr>
        <w:spacing w:after="0" w:line="122" w:lineRule="exact"/>
        <w:rPr>
          <w:rFonts w:ascii="Arial" w:cs="Arial" w:eastAsia="Arial" w:hAnsi="Arial"/>
          <w:sz w:val="16"/>
          <w:szCs w:val="16"/>
          <w:color w:val="auto"/>
        </w:rPr>
      </w:pPr>
    </w:p>
    <w:p>
      <w:pPr>
        <w:ind w:left="863" w:right="220"/>
        <w:spacing w:after="0" w:line="255" w:lineRule="auto"/>
        <w:rPr>
          <w:rFonts w:ascii="Arial" w:cs="Arial" w:eastAsia="Arial" w:hAnsi="Arial"/>
          <w:sz w:val="16"/>
          <w:szCs w:val="16"/>
          <w:color w:val="auto"/>
        </w:rPr>
      </w:pPr>
      <w:r>
        <w:rPr>
          <w:rFonts w:ascii="Arial" w:cs="Arial" w:eastAsia="Arial" w:hAnsi="Arial"/>
          <w:sz w:val="16"/>
          <w:szCs w:val="16"/>
          <w:color w:val="auto"/>
        </w:rPr>
        <w:t>The corporate income tax rate in Bolivia is 25.0 percent as of December 31, 2025, 2024 and 2023. Bolivian financial entities are subject to an additional rate to the extent that the ROE exceeds 6.0 percent; in that case, they must consider an additional rate of 25.0 percent, which would bring the rate to 50.0 percent.</w:t>
      </w:r>
    </w:p>
    <w:p>
      <w:pPr>
        <w:spacing w:after="0" w:line="306" w:lineRule="exact"/>
        <w:rPr>
          <w:rFonts w:ascii="Arial" w:cs="Arial" w:eastAsia="Arial" w:hAnsi="Arial"/>
          <w:sz w:val="16"/>
          <w:szCs w:val="16"/>
          <w:color w:val="auto"/>
        </w:rPr>
      </w:pPr>
    </w:p>
    <w:p>
      <w:pPr>
        <w:ind w:left="5463" w:hanging="88"/>
        <w:spacing w:after="0"/>
        <w:tabs>
          <w:tab w:leader="none" w:pos="5463" w:val="left"/>
        </w:tabs>
        <w:numPr>
          <w:ilvl w:val="2"/>
          <w:numId w:val="124"/>
        </w:numPr>
        <w:rPr>
          <w:rFonts w:ascii="Arial" w:cs="Arial" w:eastAsia="Arial" w:hAnsi="Arial"/>
          <w:sz w:val="16"/>
          <w:szCs w:val="16"/>
          <w:color w:val="auto"/>
        </w:rPr>
      </w:pPr>
      <w:r>
        <w:rPr>
          <w:rFonts w:ascii="Arial" w:cs="Arial" w:eastAsia="Arial" w:hAnsi="Arial"/>
          <w:sz w:val="16"/>
          <w:szCs w:val="16"/>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03"/>
          </w:cols>
          <w:pgMar w:left="317" w:top="316" w:right="379" w:bottom="1440" w:gutter="0" w:footer="0" w:header="0"/>
        </w:sectPr>
      </w:pPr>
    </w:p>
    <w:bookmarkStart w:id="111" w:name="page112"/>
    <w:bookmarkEnd w:id="111"/>
    <w:p>
      <w:pPr>
        <w:ind w:left="860" w:right="260"/>
        <w:spacing w:after="0" w:line="255" w:lineRule="auto"/>
        <w:rPr>
          <w:sz w:val="20"/>
          <w:szCs w:val="20"/>
          <w:color w:val="auto"/>
        </w:rPr>
      </w:pPr>
      <w:r>
        <w:rPr>
          <w:rFonts w:ascii="Arial" w:cs="Arial" w:eastAsia="Arial" w:hAnsi="Arial"/>
          <w:sz w:val="16"/>
          <w:szCs w:val="16"/>
          <w:color w:val="auto"/>
        </w:rPr>
        <w:t>In the case of Chile, the tax legislation changed in 2020, establishing two new regimes currently in force: the general regime and the Pro-Pyme regime, the latter applicable to smaller companies. Credicorp Capital Holding Chile, as well as all its subsidiaries, are taxed under the general regime, whose corporate income tax rate for domiciled legal entities remains at 27.0 percent as of December 31, 2025, 2024 and 2023.</w:t>
      </w:r>
    </w:p>
    <w:p>
      <w:pPr>
        <w:spacing w:after="0" w:line="137" w:lineRule="exact"/>
        <w:rPr>
          <w:sz w:val="20"/>
          <w:szCs w:val="20"/>
          <w:color w:val="auto"/>
        </w:rPr>
      </w:pPr>
    </w:p>
    <w:p>
      <w:pPr>
        <w:ind w:left="860" w:right="100"/>
        <w:spacing w:after="0" w:line="274" w:lineRule="auto"/>
        <w:rPr>
          <w:sz w:val="20"/>
          <w:szCs w:val="20"/>
          <w:color w:val="auto"/>
        </w:rPr>
      </w:pPr>
      <w:r>
        <w:rPr>
          <w:rFonts w:ascii="Arial" w:cs="Arial" w:eastAsia="Arial" w:hAnsi="Arial"/>
          <w:sz w:val="16"/>
          <w:szCs w:val="16"/>
          <w:color w:val="auto"/>
        </w:rPr>
        <w:t>Individuals or legal entities not domiciled in Chile will be subject to an additional tax at rates between 4.0 percent and 35.0 percent, depending on the nature of the income.</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 Colombia, the income tax rate has been set at 35.0 percent for the years 2023, 2024 and 2025.</w:t>
      </w:r>
    </w:p>
    <w:p>
      <w:pPr>
        <w:spacing w:after="0" w:line="178" w:lineRule="exact"/>
        <w:rPr>
          <w:sz w:val="20"/>
          <w:szCs w:val="20"/>
          <w:color w:val="auto"/>
        </w:rPr>
      </w:pPr>
    </w:p>
    <w:p>
      <w:pPr>
        <w:ind w:left="860" w:right="40"/>
        <w:spacing w:after="0" w:line="274" w:lineRule="auto"/>
        <w:rPr>
          <w:sz w:val="20"/>
          <w:szCs w:val="20"/>
          <w:color w:val="auto"/>
        </w:rPr>
      </w:pPr>
      <w:r>
        <w:rPr>
          <w:rFonts w:ascii="Arial" w:cs="Arial" w:eastAsia="Arial" w:hAnsi="Arial"/>
          <w:sz w:val="16"/>
          <w:szCs w:val="16"/>
          <w:color w:val="auto"/>
        </w:rPr>
        <w:t>For financial entities with a taxable base exceeding 120,000 taxable units (as of December 31, 2025, 2024 and 2023, equivalent to a total of S/5.3 million, S/5.1 million and S/4.4 million, respectively), the income tax rate is 40.0 percent.</w:t>
      </w:r>
    </w:p>
    <w:p>
      <w:pPr>
        <w:spacing w:after="0" w:line="123" w:lineRule="exact"/>
        <w:rPr>
          <w:sz w:val="20"/>
          <w:szCs w:val="20"/>
          <w:color w:val="auto"/>
        </w:rPr>
      </w:pPr>
    </w:p>
    <w:p>
      <w:pPr>
        <w:ind w:left="860" w:right="220"/>
        <w:spacing w:after="0" w:line="255" w:lineRule="auto"/>
        <w:rPr>
          <w:sz w:val="20"/>
          <w:szCs w:val="20"/>
          <w:color w:val="auto"/>
        </w:rPr>
      </w:pPr>
      <w:r>
        <w:rPr>
          <w:rFonts w:ascii="Arial" w:cs="Arial" w:eastAsia="Arial" w:hAnsi="Arial"/>
          <w:sz w:val="16"/>
          <w:szCs w:val="16"/>
          <w:color w:val="auto"/>
        </w:rPr>
        <w:t>Additionally, in the event of receiving occasional profits, listed and established by the National Government in the Tax Statute and which are not subject to income tax, for the year 2025 a differential rate of 15.0 percent must be applied on the net profit and the associated expenses, respectively.</w:t>
      </w:r>
    </w:p>
    <w:p>
      <w:pPr>
        <w:spacing w:after="0" w:line="137" w:lineRule="exact"/>
        <w:rPr>
          <w:sz w:val="20"/>
          <w:szCs w:val="20"/>
          <w:color w:val="auto"/>
        </w:rPr>
      </w:pPr>
    </w:p>
    <w:p>
      <w:pPr>
        <w:ind w:left="860" w:right="40"/>
        <w:spacing w:after="0" w:line="274" w:lineRule="auto"/>
        <w:rPr>
          <w:sz w:val="20"/>
          <w:szCs w:val="20"/>
          <w:color w:val="auto"/>
        </w:rPr>
      </w:pPr>
      <w:r>
        <w:rPr>
          <w:rFonts w:ascii="Arial" w:cs="Arial" w:eastAsia="Arial" w:hAnsi="Arial"/>
          <w:sz w:val="16"/>
          <w:szCs w:val="16"/>
          <w:color w:val="auto"/>
        </w:rPr>
        <w:t>Dividends and participations are subject to a 20.0 percent rate as withholding at source on income, which will be transferable and imputable to the resident individual or investor residing abroad.</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reconciliation of the statutory income tax rate to the effective tax rate for the Group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8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56"/>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6"/>
                <w:szCs w:val="16"/>
                <w:b w:val="1"/>
                <w:bCs w:val="1"/>
                <w:color w:val="auto"/>
              </w:rPr>
              <w:t>In millions</w:t>
            </w:r>
          </w:p>
        </w:tc>
        <w:tc>
          <w:tcPr>
            <w:tcW w:w="660" w:type="dxa"/>
            <w:vAlign w:val="bottom"/>
            <w:tcBorders>
              <w:top w:val="single" w:sz="8" w:color="auto"/>
            </w:tcBorders>
          </w:tcPr>
          <w:p>
            <w:pPr>
              <w:jc w:val="right"/>
              <w:ind w:right="320"/>
              <w:spacing w:after="0" w:line="156"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300"/>
              <w:spacing w:after="0" w:line="156" w:lineRule="exact"/>
              <w:rPr>
                <w:sz w:val="20"/>
                <w:szCs w:val="20"/>
                <w:color w:val="auto"/>
              </w:rPr>
            </w:pPr>
            <w:r>
              <w:rPr>
                <w:rFonts w:ascii="Arial" w:cs="Arial" w:eastAsia="Arial" w:hAnsi="Arial"/>
                <w:sz w:val="16"/>
                <w:szCs w:val="16"/>
                <w:b w:val="1"/>
                <w:bCs w:val="1"/>
                <w:color w:val="auto"/>
                <w:w w:val="95"/>
              </w:rPr>
              <w:t>In millions</w:t>
            </w:r>
          </w:p>
        </w:tc>
        <w:tc>
          <w:tcPr>
            <w:tcW w:w="940" w:type="dxa"/>
            <w:vAlign w:val="bottom"/>
            <w:tcBorders>
              <w:top w:val="single" w:sz="8" w:color="auto"/>
            </w:tcBorders>
          </w:tcPr>
          <w:p>
            <w:pPr>
              <w:jc w:val="right"/>
              <w:ind w:right="320"/>
              <w:spacing w:after="0" w:line="156"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3"/>
                <w:szCs w:val="13"/>
                <w:color w:val="auto"/>
              </w:rPr>
            </w:pPr>
          </w:p>
        </w:tc>
        <w:tc>
          <w:tcPr>
            <w:tcW w:w="112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6"/>
                <w:szCs w:val="16"/>
                <w:b w:val="1"/>
                <w:bCs w:val="1"/>
                <w:color w:val="auto"/>
              </w:rPr>
              <w:t>In millions</w:t>
            </w:r>
          </w:p>
        </w:tc>
        <w:tc>
          <w:tcPr>
            <w:tcW w:w="940" w:type="dxa"/>
            <w:vAlign w:val="bottom"/>
            <w:tcBorders>
              <w:top w:val="single" w:sz="8" w:color="auto"/>
            </w:tcBorders>
          </w:tcPr>
          <w:p>
            <w:pPr>
              <w:jc w:val="right"/>
              <w:ind w:right="320"/>
              <w:spacing w:after="0" w:line="156"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3"/>
                <w:szCs w:val="13"/>
                <w:color w:val="auto"/>
              </w:rPr>
            </w:pPr>
          </w:p>
        </w:tc>
      </w:tr>
      <w:tr>
        <w:trPr>
          <w:trHeight w:val="181"/>
        </w:trPr>
        <w:tc>
          <w:tcPr>
            <w:tcW w:w="4380" w:type="dxa"/>
            <w:vAlign w:val="bottom"/>
          </w:tcPr>
          <w:p>
            <w:pPr>
              <w:ind w:left="920"/>
              <w:spacing w:after="0" w:line="181" w:lineRule="exact"/>
              <w:rPr>
                <w:sz w:val="20"/>
                <w:szCs w:val="20"/>
                <w:color w:val="auto"/>
              </w:rPr>
            </w:pPr>
            <w:r>
              <w:rPr>
                <w:rFonts w:ascii="Arial" w:cs="Arial" w:eastAsia="Arial" w:hAnsi="Arial"/>
                <w:sz w:val="16"/>
                <w:szCs w:val="16"/>
                <w:color w:val="auto"/>
              </w:rPr>
              <w:t>Theoretical tax and income tax rate in Perú</w:t>
            </w:r>
          </w:p>
        </w:tc>
        <w:tc>
          <w:tcPr>
            <w:tcW w:w="128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(2,914.2)</w:t>
            </w:r>
          </w:p>
        </w:tc>
        <w:tc>
          <w:tcPr>
            <w:tcW w:w="280" w:type="dxa"/>
            <w:vAlign w:val="bottom"/>
          </w:tcPr>
          <w:p>
            <w:pPr>
              <w:spacing w:after="0"/>
              <w:rPr>
                <w:sz w:val="15"/>
                <w:szCs w:val="15"/>
                <w:color w:val="auto"/>
              </w:rPr>
            </w:pPr>
          </w:p>
        </w:tc>
        <w:tc>
          <w:tcPr>
            <w:tcW w:w="8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(29.50)</w:t>
            </w:r>
          </w:p>
        </w:tc>
        <w:tc>
          <w:tcPr>
            <w:tcW w:w="120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(2,307.3)</w:t>
            </w: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(29.50)</w:t>
            </w:r>
          </w:p>
        </w:tc>
        <w:tc>
          <w:tcPr>
            <w:tcW w:w="112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(2,040.9)</w:t>
            </w:r>
          </w:p>
        </w:tc>
        <w:tc>
          <w:tcPr>
            <w:tcW w:w="10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(29.50)</w:t>
            </w:r>
          </w:p>
        </w:tc>
      </w:tr>
      <w:tr>
        <w:trPr>
          <w:trHeight w:val="181"/>
        </w:trPr>
        <w:tc>
          <w:tcPr>
            <w:tcW w:w="4380" w:type="dxa"/>
            <w:vAlign w:val="bottom"/>
          </w:tcPr>
          <w:p>
            <w:pPr>
              <w:ind w:left="920"/>
              <w:spacing w:after="0" w:line="181" w:lineRule="exact"/>
              <w:rPr>
                <w:sz w:val="20"/>
                <w:szCs w:val="20"/>
                <w:color w:val="auto"/>
              </w:rPr>
            </w:pPr>
            <w:r>
              <w:rPr>
                <w:rFonts w:ascii="Arial" w:cs="Arial" w:eastAsia="Arial" w:hAnsi="Arial"/>
                <w:sz w:val="16"/>
                <w:szCs w:val="16"/>
                <w:b w:val="1"/>
                <w:bCs w:val="1"/>
                <w:color w:val="auto"/>
              </w:rPr>
              <w:t>Decrease (Increase) in the statutory tax rate</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4380" w:type="dxa"/>
            <w:vAlign w:val="bottom"/>
          </w:tcPr>
          <w:p>
            <w:pPr>
              <w:ind w:left="920"/>
              <w:spacing w:after="0" w:line="181" w:lineRule="exact"/>
              <w:rPr>
                <w:sz w:val="20"/>
                <w:szCs w:val="20"/>
                <w:color w:val="auto"/>
              </w:rPr>
            </w:pPr>
            <w:r>
              <w:rPr>
                <w:rFonts w:ascii="Arial" w:cs="Arial" w:eastAsia="Arial" w:hAnsi="Arial"/>
                <w:sz w:val="16"/>
                <w:szCs w:val="16"/>
                <w:b w:val="1"/>
                <w:bCs w:val="1"/>
                <w:color w:val="auto"/>
              </w:rPr>
              <w:t>due to:</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4380" w:type="dxa"/>
            <w:vAlign w:val="bottom"/>
          </w:tcPr>
          <w:p>
            <w:pPr>
              <w:ind w:left="920"/>
              <w:spacing w:after="0" w:line="181" w:lineRule="exact"/>
              <w:rPr>
                <w:sz w:val="20"/>
                <w:szCs w:val="20"/>
                <w:color w:val="auto"/>
              </w:rPr>
            </w:pPr>
            <w:r>
              <w:rPr>
                <w:rFonts w:ascii="Arial" w:cs="Arial" w:eastAsia="Arial" w:hAnsi="Arial"/>
                <w:sz w:val="16"/>
                <w:szCs w:val="16"/>
                <w:color w:val="auto"/>
              </w:rPr>
              <w:t>(i) Decrease (Increase) due to the profit of</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4380" w:type="dxa"/>
            <w:vAlign w:val="bottom"/>
          </w:tcPr>
          <w:p>
            <w:pPr>
              <w:ind w:left="920"/>
              <w:spacing w:after="0" w:line="181" w:lineRule="exact"/>
              <w:rPr>
                <w:sz w:val="20"/>
                <w:szCs w:val="20"/>
                <w:color w:val="auto"/>
              </w:rPr>
            </w:pPr>
            <w:r>
              <w:rPr>
                <w:rFonts w:ascii="Arial" w:cs="Arial" w:eastAsia="Arial" w:hAnsi="Arial"/>
                <w:sz w:val="16"/>
                <w:szCs w:val="16"/>
                <w:color w:val="auto"/>
              </w:rPr>
              <w:t>subsidiaries not domiciled in Perú</w:t>
            </w:r>
          </w:p>
        </w:tc>
        <w:tc>
          <w:tcPr>
            <w:tcW w:w="128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(15.7)</w:t>
            </w:r>
          </w:p>
        </w:tc>
        <w:tc>
          <w:tcPr>
            <w:tcW w:w="280" w:type="dxa"/>
            <w:vAlign w:val="bottom"/>
          </w:tcPr>
          <w:p>
            <w:pPr>
              <w:spacing w:after="0"/>
              <w:rPr>
                <w:sz w:val="15"/>
                <w:szCs w:val="15"/>
                <w:color w:val="auto"/>
              </w:rPr>
            </w:pPr>
          </w:p>
        </w:tc>
        <w:tc>
          <w:tcPr>
            <w:tcW w:w="8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(0.16)</w:t>
            </w:r>
          </w:p>
        </w:tc>
        <w:tc>
          <w:tcPr>
            <w:tcW w:w="120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(77.2)</w:t>
            </w: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(0.99)</w:t>
            </w:r>
          </w:p>
        </w:tc>
        <w:tc>
          <w:tcPr>
            <w:tcW w:w="112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52.8</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0.77</w:t>
            </w:r>
          </w:p>
        </w:tc>
        <w:tc>
          <w:tcPr>
            <w:tcW w:w="140" w:type="dxa"/>
            <w:vAlign w:val="bottom"/>
          </w:tcPr>
          <w:p>
            <w:pPr>
              <w:spacing w:after="0"/>
              <w:rPr>
                <w:sz w:val="15"/>
                <w:szCs w:val="15"/>
                <w:color w:val="auto"/>
              </w:rPr>
            </w:pPr>
          </w:p>
        </w:tc>
      </w:tr>
      <w:tr>
        <w:trPr>
          <w:trHeight w:val="181"/>
        </w:trPr>
        <w:tc>
          <w:tcPr>
            <w:tcW w:w="4380" w:type="dxa"/>
            <w:vAlign w:val="bottom"/>
          </w:tcPr>
          <w:p>
            <w:pPr>
              <w:ind w:left="920"/>
              <w:spacing w:after="0" w:line="181" w:lineRule="exact"/>
              <w:rPr>
                <w:sz w:val="20"/>
                <w:szCs w:val="20"/>
                <w:color w:val="auto"/>
              </w:rPr>
            </w:pPr>
            <w:r>
              <w:rPr>
                <w:rFonts w:ascii="Arial" w:cs="Arial" w:eastAsia="Arial" w:hAnsi="Arial"/>
                <w:sz w:val="16"/>
                <w:szCs w:val="16"/>
                <w:color w:val="auto"/>
              </w:rPr>
              <w:t>(ii) Provision tax on dividends</w:t>
            </w:r>
          </w:p>
        </w:tc>
        <w:tc>
          <w:tcPr>
            <w:tcW w:w="128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(215.9)</w:t>
            </w:r>
          </w:p>
        </w:tc>
        <w:tc>
          <w:tcPr>
            <w:tcW w:w="280" w:type="dxa"/>
            <w:vAlign w:val="bottom"/>
          </w:tcPr>
          <w:p>
            <w:pPr>
              <w:spacing w:after="0"/>
              <w:rPr>
                <w:sz w:val="15"/>
                <w:szCs w:val="15"/>
                <w:color w:val="auto"/>
              </w:rPr>
            </w:pPr>
          </w:p>
        </w:tc>
        <w:tc>
          <w:tcPr>
            <w:tcW w:w="8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(2.17)</w:t>
            </w:r>
          </w:p>
        </w:tc>
        <w:tc>
          <w:tcPr>
            <w:tcW w:w="120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(146.7)</w:t>
            </w: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(1.88)</w:t>
            </w:r>
          </w:p>
        </w:tc>
        <w:tc>
          <w:tcPr>
            <w:tcW w:w="112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(235.7)</w:t>
            </w:r>
          </w:p>
        </w:tc>
        <w:tc>
          <w:tcPr>
            <w:tcW w:w="10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(3.44)</w:t>
            </w:r>
          </w:p>
        </w:tc>
      </w:tr>
      <w:tr>
        <w:trPr>
          <w:trHeight w:val="202"/>
        </w:trPr>
        <w:tc>
          <w:tcPr>
            <w:tcW w:w="4380" w:type="dxa"/>
            <w:vAlign w:val="bottom"/>
          </w:tcPr>
          <w:p>
            <w:pPr>
              <w:ind w:left="920"/>
              <w:spacing w:after="0"/>
              <w:rPr>
                <w:sz w:val="20"/>
                <w:szCs w:val="20"/>
                <w:color w:val="auto"/>
              </w:rPr>
            </w:pPr>
            <w:r>
              <w:rPr>
                <w:rFonts w:ascii="Arial" w:cs="Arial" w:eastAsia="Arial" w:hAnsi="Arial"/>
                <w:sz w:val="16"/>
                <w:szCs w:val="16"/>
                <w:color w:val="auto"/>
              </w:rPr>
              <w:t>(iii) Non-taxable income, net</w:t>
            </w:r>
          </w:p>
        </w:tc>
        <w:tc>
          <w:tcPr>
            <w:tcW w:w="1280" w:type="dxa"/>
            <w:vAlign w:val="bottom"/>
            <w:gridSpan w:val="3"/>
          </w:tcPr>
          <w:p>
            <w:pPr>
              <w:jc w:val="right"/>
              <w:ind w:right="140"/>
              <w:spacing w:after="0"/>
              <w:rPr>
                <w:sz w:val="20"/>
                <w:szCs w:val="20"/>
                <w:color w:val="auto"/>
              </w:rPr>
            </w:pPr>
            <w:r>
              <w:rPr>
                <w:rFonts w:ascii="Arial" w:cs="Arial" w:eastAsia="Arial" w:hAnsi="Arial"/>
                <w:sz w:val="16"/>
                <w:szCs w:val="16"/>
                <w:color w:val="auto"/>
              </w:rPr>
              <w:t>280.8</w:t>
            </w:r>
          </w:p>
        </w:tc>
        <w:tc>
          <w:tcPr>
            <w:tcW w:w="2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2.82</w:t>
            </w:r>
          </w:p>
        </w:tc>
        <w:tc>
          <w:tcPr>
            <w:tcW w:w="1200" w:type="dxa"/>
            <w:vAlign w:val="bottom"/>
            <w:gridSpan w:val="3"/>
          </w:tcPr>
          <w:p>
            <w:pPr>
              <w:jc w:val="right"/>
              <w:ind w:right="140"/>
              <w:spacing w:after="0"/>
              <w:rPr>
                <w:sz w:val="20"/>
                <w:szCs w:val="20"/>
                <w:color w:val="auto"/>
              </w:rPr>
            </w:pPr>
            <w:r>
              <w:rPr>
                <w:rFonts w:ascii="Arial" w:cs="Arial" w:eastAsia="Arial" w:hAnsi="Arial"/>
                <w:sz w:val="16"/>
                <w:szCs w:val="16"/>
                <w:color w:val="auto"/>
              </w:rPr>
              <w:t>329.9</w:t>
            </w:r>
          </w:p>
        </w:tc>
        <w:tc>
          <w:tcPr>
            <w:tcW w:w="940" w:type="dxa"/>
            <w:vAlign w:val="bottom"/>
          </w:tcPr>
          <w:p>
            <w:pPr>
              <w:jc w:val="right"/>
              <w:spacing w:after="0"/>
              <w:rPr>
                <w:sz w:val="20"/>
                <w:szCs w:val="20"/>
                <w:color w:val="auto"/>
              </w:rPr>
            </w:pPr>
            <w:r>
              <w:rPr>
                <w:rFonts w:ascii="Arial" w:cs="Arial" w:eastAsia="Arial" w:hAnsi="Arial"/>
                <w:sz w:val="16"/>
                <w:szCs w:val="16"/>
                <w:color w:val="auto"/>
              </w:rPr>
              <w:t>4.22</w:t>
            </w:r>
          </w:p>
        </w:tc>
        <w:tc>
          <w:tcPr>
            <w:tcW w:w="18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335.3</w:t>
            </w:r>
          </w:p>
        </w:tc>
        <w:tc>
          <w:tcPr>
            <w:tcW w:w="940" w:type="dxa"/>
            <w:vAlign w:val="bottom"/>
          </w:tcPr>
          <w:p>
            <w:pPr>
              <w:jc w:val="right"/>
              <w:spacing w:after="0"/>
              <w:rPr>
                <w:sz w:val="20"/>
                <w:szCs w:val="20"/>
                <w:color w:val="auto"/>
              </w:rPr>
            </w:pPr>
            <w:r>
              <w:rPr>
                <w:rFonts w:ascii="Arial" w:cs="Arial" w:eastAsia="Arial" w:hAnsi="Arial"/>
                <w:sz w:val="16"/>
                <w:szCs w:val="16"/>
                <w:color w:val="auto"/>
              </w:rPr>
              <w:t>4.59</w:t>
            </w:r>
          </w:p>
        </w:tc>
        <w:tc>
          <w:tcPr>
            <w:tcW w:w="140" w:type="dxa"/>
            <w:vAlign w:val="bottom"/>
          </w:tcPr>
          <w:p>
            <w:pPr>
              <w:spacing w:after="0"/>
              <w:rPr>
                <w:sz w:val="17"/>
                <w:szCs w:val="17"/>
                <w:color w:val="auto"/>
              </w:rPr>
            </w:pPr>
          </w:p>
        </w:tc>
      </w:tr>
      <w:tr>
        <w:trPr>
          <w:trHeight w:val="185"/>
        </w:trPr>
        <w:tc>
          <w:tcPr>
            <w:tcW w:w="4380" w:type="dxa"/>
            <w:vAlign w:val="bottom"/>
          </w:tcPr>
          <w:p>
            <w:pPr>
              <w:ind w:left="920"/>
              <w:spacing w:after="0" w:line="181" w:lineRule="exact"/>
              <w:rPr>
                <w:sz w:val="20"/>
                <w:szCs w:val="20"/>
                <w:color w:val="auto"/>
              </w:rPr>
            </w:pPr>
            <w:r>
              <w:rPr>
                <w:rFonts w:ascii="Arial" w:cs="Arial" w:eastAsia="Arial" w:hAnsi="Arial"/>
                <w:sz w:val="16"/>
                <w:szCs w:val="16"/>
                <w:b w:val="1"/>
                <w:bCs w:val="1"/>
                <w:color w:val="auto"/>
              </w:rPr>
              <w:t>Income tax and effective income tax rate</w:t>
            </w:r>
          </w:p>
        </w:tc>
        <w:tc>
          <w:tcPr>
            <w:tcW w:w="1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(2,865.0</w:t>
            </w:r>
          </w:p>
        </w:tc>
        <w:tc>
          <w:tcPr>
            <w:tcW w:w="220" w:type="dxa"/>
            <w:vAlign w:val="bottom"/>
          </w:tcPr>
          <w:p>
            <w:pPr>
              <w:jc w:val="right"/>
              <w:ind w:right="80"/>
              <w:spacing w:after="0" w:line="181" w:lineRule="exact"/>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(29.01</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(2,201.3</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(28.15</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(1,888.5</w:t>
            </w:r>
          </w:p>
        </w:tc>
        <w:tc>
          <w:tcPr>
            <w:tcW w:w="180" w:type="dxa"/>
            <w:vAlign w:val="bottom"/>
          </w:tcPr>
          <w:p>
            <w:pPr>
              <w:jc w:val="right"/>
              <w:ind w:right="40"/>
              <w:spacing w:after="0" w:line="181" w:lineRule="exact"/>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(27.58</w:t>
            </w: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74"/>
              </w:rPr>
              <w:t>)</w:t>
            </w:r>
          </w:p>
        </w:tc>
      </w:tr>
      <w:tr>
        <w:trPr>
          <w:trHeight w:val="547"/>
        </w:trPr>
        <w:tc>
          <w:tcPr>
            <w:tcW w:w="4380" w:type="dxa"/>
            <w:vAlign w:val="bottom"/>
          </w:tcPr>
          <w:p>
            <w:pPr>
              <w:spacing w:after="0"/>
              <w:rPr>
                <w:sz w:val="24"/>
                <w:szCs w:val="24"/>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6"/>
                <w:szCs w:val="16"/>
                <w:color w:val="auto"/>
              </w:rPr>
              <w:t>- 107 -</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
        </w:trPr>
        <w:tc>
          <w:tcPr>
            <w:tcW w:w="4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16" w:right="319" w:bottom="1440" w:gutter="0" w:footer="0" w:header="0"/>
        </w:sectPr>
      </w:pPr>
    </w:p>
    <w:bookmarkStart w:id="112" w:name="page113"/>
    <w:bookmarkEnd w:id="112"/>
    <w:p>
      <w:pPr>
        <w:ind w:left="580"/>
        <w:spacing w:after="0"/>
        <w:tabs>
          <w:tab w:leader="none" w:pos="840" w:val="left"/>
        </w:tabs>
        <w:rPr>
          <w:sz w:val="20"/>
          <w:szCs w:val="20"/>
          <w:color w:val="auto"/>
        </w:rPr>
      </w:pPr>
      <w:r>
        <w:rPr>
          <w:rFonts w:ascii="Arial" w:cs="Arial" w:eastAsia="Arial" w:hAnsi="Arial"/>
          <w:sz w:val="16"/>
          <w:szCs w:val="16"/>
          <w:color w:val="auto"/>
        </w:rPr>
        <w:t>b)</w:t>
        <w:tab/>
        <w:t>Income tax expense for the years ended December 31, 2025, 2024 and 2023 comprises: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40" w:type="dxa"/>
            <w:vAlign w:val="bottom"/>
          </w:tcPr>
          <w:p>
            <w:pPr>
              <w:spacing w:after="0"/>
              <w:rPr>
                <w:sz w:val="17"/>
                <w:szCs w:val="17"/>
                <w:color w:val="auto"/>
              </w:rPr>
            </w:pPr>
          </w:p>
        </w:tc>
        <w:tc>
          <w:tcPr>
            <w:tcW w:w="4900" w:type="dxa"/>
            <w:vAlign w:val="bottom"/>
            <w:gridSpan w:val="2"/>
          </w:tcPr>
          <w:p>
            <w:pPr>
              <w:ind w:left="3860"/>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Current -</w:t>
            </w:r>
          </w:p>
        </w:tc>
        <w:tc>
          <w:tcPr>
            <w:tcW w:w="386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740" w:type="dxa"/>
            <w:vAlign w:val="bottom"/>
            <w:vMerge w:val="continue"/>
          </w:tcPr>
          <w:p>
            <w:pPr>
              <w:spacing w:after="0"/>
              <w:rPr>
                <w:sz w:val="10"/>
                <w:szCs w:val="10"/>
                <w:color w:val="auto"/>
              </w:rPr>
            </w:pPr>
          </w:p>
        </w:tc>
        <w:tc>
          <w:tcPr>
            <w:tcW w:w="3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740" w:type="dxa"/>
            <w:vAlign w:val="bottom"/>
          </w:tcPr>
          <w:p>
            <w:pPr>
              <w:ind w:left="860"/>
              <w:spacing w:after="0" w:line="181" w:lineRule="exact"/>
              <w:rPr>
                <w:sz w:val="20"/>
                <w:szCs w:val="20"/>
                <w:color w:val="auto"/>
              </w:rPr>
            </w:pPr>
            <w:r>
              <w:rPr>
                <w:rFonts w:ascii="Arial" w:cs="Arial" w:eastAsia="Arial" w:hAnsi="Arial"/>
                <w:sz w:val="16"/>
                <w:szCs w:val="16"/>
                <w:color w:val="auto"/>
              </w:rPr>
              <w:t>In Peru</w:t>
            </w:r>
          </w:p>
        </w:tc>
        <w:tc>
          <w:tcPr>
            <w:tcW w:w="512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2,661,742</w:t>
            </w:r>
          </w:p>
        </w:tc>
        <w:tc>
          <w:tcPr>
            <w:tcW w:w="124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1,966,524</w:t>
            </w:r>
          </w:p>
        </w:tc>
        <w:tc>
          <w:tcPr>
            <w:tcW w:w="106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auto"/>
              </w:rPr>
              <w:t>1,669,370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860"/>
              <w:spacing w:after="0"/>
              <w:rPr>
                <w:sz w:val="20"/>
                <w:szCs w:val="20"/>
                <w:color w:val="auto"/>
              </w:rPr>
            </w:pPr>
            <w:r>
              <w:rPr>
                <w:rFonts w:ascii="Arial" w:cs="Arial" w:eastAsia="Arial" w:hAnsi="Arial"/>
                <w:sz w:val="16"/>
                <w:szCs w:val="16"/>
                <w:color w:val="auto"/>
              </w:rPr>
              <w:t>In other countries</w:t>
            </w:r>
          </w:p>
        </w:tc>
        <w:tc>
          <w:tcPr>
            <w:tcW w:w="4900" w:type="dxa"/>
            <w:vAlign w:val="bottom"/>
            <w:gridSpan w:val="2"/>
          </w:tcPr>
          <w:p>
            <w:pPr>
              <w:jc w:val="right"/>
              <w:spacing w:after="0"/>
              <w:rPr>
                <w:sz w:val="20"/>
                <w:szCs w:val="20"/>
                <w:color w:val="auto"/>
              </w:rPr>
            </w:pPr>
            <w:r>
              <w:rPr>
                <w:rFonts w:ascii="Arial" w:cs="Arial" w:eastAsia="Arial" w:hAnsi="Arial"/>
                <w:sz w:val="16"/>
                <w:szCs w:val="16"/>
                <w:color w:val="auto"/>
              </w:rPr>
              <w:t>328,881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289,694</w:t>
            </w:r>
          </w:p>
        </w:tc>
        <w:tc>
          <w:tcPr>
            <w:tcW w:w="2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295,169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2,990,623</w:t>
            </w:r>
          </w:p>
        </w:tc>
        <w:tc>
          <w:tcPr>
            <w:tcW w:w="220" w:type="dxa"/>
            <w:vAlign w:val="bottom"/>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2,256,218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1,964,539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3740" w:type="dxa"/>
            <w:vAlign w:val="bottom"/>
          </w:tcPr>
          <w:p>
            <w:pPr>
              <w:ind w:left="860"/>
              <w:spacing w:after="0"/>
              <w:rPr>
                <w:sz w:val="20"/>
                <w:szCs w:val="20"/>
                <w:color w:val="auto"/>
              </w:rPr>
            </w:pPr>
            <w:r>
              <w:rPr>
                <w:rFonts w:ascii="Arial" w:cs="Arial" w:eastAsia="Arial" w:hAnsi="Arial"/>
                <w:sz w:val="16"/>
                <w:szCs w:val="16"/>
                <w:b w:val="1"/>
                <w:bCs w:val="1"/>
                <w:color w:val="auto"/>
              </w:rPr>
              <w:t>Deferred -</w:t>
            </w:r>
          </w:p>
        </w:tc>
        <w:tc>
          <w:tcPr>
            <w:tcW w:w="38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740" w:type="dxa"/>
            <w:vAlign w:val="bottom"/>
          </w:tcPr>
          <w:p>
            <w:pPr>
              <w:ind w:left="860"/>
              <w:spacing w:after="0" w:line="181" w:lineRule="exact"/>
              <w:rPr>
                <w:sz w:val="20"/>
                <w:szCs w:val="20"/>
                <w:color w:val="auto"/>
              </w:rPr>
            </w:pPr>
            <w:r>
              <w:rPr>
                <w:rFonts w:ascii="Arial" w:cs="Arial" w:eastAsia="Arial" w:hAnsi="Arial"/>
                <w:sz w:val="16"/>
                <w:szCs w:val="16"/>
                <w:color w:val="auto"/>
              </w:rPr>
              <w:t>In Peru</w:t>
            </w:r>
          </w:p>
        </w:tc>
        <w:tc>
          <w:tcPr>
            <w:tcW w:w="512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(66,431)</w:t>
            </w:r>
          </w:p>
        </w:tc>
        <w:tc>
          <w:tcPr>
            <w:tcW w:w="12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(23,182)</w:t>
            </w:r>
          </w:p>
        </w:tc>
        <w:tc>
          <w:tcPr>
            <w:tcW w:w="1160" w:type="dxa"/>
            <w:vAlign w:val="bottom"/>
            <w:gridSpan w:val="5"/>
          </w:tcPr>
          <w:p>
            <w:pPr>
              <w:jc w:val="right"/>
              <w:ind w:right="80"/>
              <w:spacing w:after="0" w:line="181" w:lineRule="exact"/>
              <w:rPr>
                <w:sz w:val="20"/>
                <w:szCs w:val="20"/>
                <w:color w:val="auto"/>
              </w:rPr>
            </w:pPr>
            <w:r>
              <w:rPr>
                <w:rFonts w:ascii="Arial" w:cs="Arial" w:eastAsia="Arial" w:hAnsi="Arial"/>
                <w:sz w:val="16"/>
                <w:szCs w:val="16"/>
                <w:color w:val="auto"/>
              </w:rPr>
              <w:t>(28,734)</w:t>
            </w:r>
          </w:p>
        </w:tc>
        <w:tc>
          <w:tcPr>
            <w:tcW w:w="0" w:type="dxa"/>
            <w:vAlign w:val="bottom"/>
          </w:tcPr>
          <w:p>
            <w:pPr>
              <w:spacing w:after="0"/>
              <w:rPr>
                <w:sz w:val="1"/>
                <w:szCs w:val="1"/>
                <w:color w:val="auto"/>
              </w:rPr>
            </w:pPr>
          </w:p>
        </w:tc>
      </w:tr>
      <w:tr>
        <w:trPr>
          <w:trHeight w:val="210"/>
        </w:trPr>
        <w:tc>
          <w:tcPr>
            <w:tcW w:w="3740" w:type="dxa"/>
            <w:vAlign w:val="bottom"/>
          </w:tcPr>
          <w:p>
            <w:pPr>
              <w:ind w:left="860"/>
              <w:spacing w:after="0"/>
              <w:rPr>
                <w:sz w:val="20"/>
                <w:szCs w:val="20"/>
                <w:color w:val="auto"/>
              </w:rPr>
            </w:pPr>
            <w:r>
              <w:rPr>
                <w:rFonts w:ascii="Arial" w:cs="Arial" w:eastAsia="Arial" w:hAnsi="Arial"/>
                <w:sz w:val="16"/>
                <w:szCs w:val="16"/>
                <w:color w:val="auto"/>
              </w:rPr>
              <w:t>In other countries</w:t>
            </w:r>
          </w:p>
        </w:tc>
        <w:tc>
          <w:tcPr>
            <w:tcW w:w="5120" w:type="dxa"/>
            <w:vAlign w:val="bottom"/>
            <w:gridSpan w:val="3"/>
          </w:tcPr>
          <w:p>
            <w:pPr>
              <w:jc w:val="right"/>
              <w:ind w:right="160"/>
              <w:spacing w:after="0"/>
              <w:rPr>
                <w:sz w:val="20"/>
                <w:szCs w:val="20"/>
                <w:color w:val="auto"/>
              </w:rPr>
            </w:pPr>
            <w:r>
              <w:rPr>
                <w:rFonts w:ascii="Arial" w:cs="Arial" w:eastAsia="Arial" w:hAnsi="Arial"/>
                <w:sz w:val="16"/>
                <w:szCs w:val="16"/>
                <w:color w:val="auto"/>
              </w:rPr>
              <w:t>(59,293)</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(31,761)</w:t>
            </w:r>
          </w:p>
        </w:tc>
        <w:tc>
          <w:tcPr>
            <w:tcW w:w="1160" w:type="dxa"/>
            <w:vAlign w:val="bottom"/>
            <w:gridSpan w:val="5"/>
          </w:tcPr>
          <w:p>
            <w:pPr>
              <w:jc w:val="right"/>
              <w:ind w:right="80"/>
              <w:spacing w:after="0"/>
              <w:rPr>
                <w:sz w:val="20"/>
                <w:szCs w:val="20"/>
                <w:color w:val="auto"/>
              </w:rPr>
            </w:pPr>
            <w:r>
              <w:rPr>
                <w:rFonts w:ascii="Arial" w:cs="Arial" w:eastAsia="Arial" w:hAnsi="Arial"/>
                <w:sz w:val="16"/>
                <w:szCs w:val="16"/>
                <w:color w:val="auto"/>
              </w:rPr>
              <w:t>(47,354)</w:t>
            </w:r>
          </w:p>
        </w:tc>
        <w:tc>
          <w:tcPr>
            <w:tcW w:w="0" w:type="dxa"/>
            <w:vAlign w:val="bottom"/>
          </w:tcPr>
          <w:p>
            <w:pPr>
              <w:spacing w:after="0"/>
              <w:rPr>
                <w:sz w:val="1"/>
                <w:szCs w:val="1"/>
                <w:color w:val="auto"/>
              </w:rPr>
            </w:pPr>
          </w:p>
        </w:tc>
      </w:tr>
      <w:tr>
        <w:trPr>
          <w:trHeight w:val="173"/>
        </w:trPr>
        <w:tc>
          <w:tcPr>
            <w:tcW w:w="37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Total</w:t>
            </w:r>
          </w:p>
        </w:tc>
        <w:tc>
          <w:tcPr>
            <w:tcW w:w="3860" w:type="dxa"/>
            <w:vAlign w:val="bottom"/>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(125,724)</w:t>
            </w:r>
          </w:p>
        </w:tc>
        <w:tc>
          <w:tcPr>
            <w:tcW w:w="220" w:type="dxa"/>
            <w:vAlign w:val="bottom"/>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(54,943)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(76,088)</w:t>
            </w: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40" w:type="dxa"/>
            <w:vAlign w:val="bottom"/>
            <w:vMerge w:val="continue"/>
          </w:tcPr>
          <w:p>
            <w:pPr>
              <w:spacing w:after="0"/>
              <w:rPr>
                <w:sz w:val="15"/>
                <w:szCs w:val="15"/>
                <w:color w:val="auto"/>
              </w:rPr>
            </w:pPr>
          </w:p>
        </w:tc>
        <w:tc>
          <w:tcPr>
            <w:tcW w:w="3860" w:type="dxa"/>
            <w:vAlign w:val="bottom"/>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2,864,899</w:t>
            </w:r>
          </w:p>
        </w:tc>
        <w:tc>
          <w:tcPr>
            <w:tcW w:w="220" w:type="dxa"/>
            <w:vAlign w:val="bottom"/>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2,201,275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top w:val="single" w:sz="8" w:color="auto"/>
            </w:tcBorders>
            <w:gridSpan w:val="3"/>
          </w:tcPr>
          <w:p>
            <w:pPr>
              <w:jc w:val="right"/>
              <w:ind w:right="40"/>
              <w:spacing w:after="0" w:line="173" w:lineRule="exact"/>
              <w:rPr>
                <w:sz w:val="20"/>
                <w:szCs w:val="20"/>
                <w:color w:val="auto"/>
              </w:rPr>
            </w:pPr>
            <w:r>
              <w:rPr>
                <w:rFonts w:ascii="Arial" w:cs="Arial" w:eastAsia="Arial" w:hAnsi="Arial"/>
                <w:sz w:val="16"/>
                <w:szCs w:val="16"/>
                <w:color w:val="auto"/>
              </w:rPr>
              <w:t>1,888,451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3740" w:type="dxa"/>
            <w:vAlign w:val="bottom"/>
          </w:tcPr>
          <w:p>
            <w:pPr>
              <w:spacing w:after="0"/>
              <w:rPr>
                <w:sz w:val="24"/>
                <w:szCs w:val="24"/>
                <w:color w:val="auto"/>
              </w:rPr>
            </w:pPr>
          </w:p>
        </w:tc>
        <w:tc>
          <w:tcPr>
            <w:tcW w:w="3860" w:type="dxa"/>
            <w:vAlign w:val="bottom"/>
          </w:tcPr>
          <w:p>
            <w:pPr>
              <w:jc w:val="right"/>
              <w:ind w:right="1680"/>
              <w:spacing w:after="0"/>
              <w:rPr>
                <w:sz w:val="20"/>
                <w:szCs w:val="20"/>
                <w:color w:val="auto"/>
              </w:rPr>
            </w:pPr>
            <w:r>
              <w:rPr>
                <w:rFonts w:ascii="Arial" w:cs="Arial" w:eastAsia="Arial" w:hAnsi="Arial"/>
                <w:sz w:val="16"/>
                <w:szCs w:val="16"/>
                <w:color w:val="auto"/>
              </w:rPr>
              <w:t>- 108 -</w:t>
            </w: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74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113" w:name="page114"/>
    <w:bookmarkEnd w:id="113"/>
    <w:p>
      <w:pPr>
        <w:ind w:left="580"/>
        <w:spacing w:after="0"/>
        <w:tabs>
          <w:tab w:leader="none" w:pos="840" w:val="left"/>
        </w:tabs>
        <w:rPr>
          <w:sz w:val="20"/>
          <w:szCs w:val="20"/>
          <w:color w:val="auto"/>
        </w:rPr>
      </w:pPr>
      <w:r>
        <w:rPr>
          <w:rFonts w:ascii="Arial" w:cs="Arial" w:eastAsia="Arial" w:hAnsi="Arial"/>
          <w:sz w:val="16"/>
          <w:szCs w:val="16"/>
          <w:color w:val="auto"/>
        </w:rPr>
        <w:t>c)</w:t>
        <w:tab/>
        <w:t>The following table presents a summary of the Group’s deferred income tax:</w:t>
      </w:r>
    </w:p>
    <w:p>
      <w:pPr>
        <w:spacing w:after="0" w:line="175" w:lineRule="exact"/>
        <w:rPr>
          <w:sz w:val="20"/>
          <w:szCs w:val="20"/>
          <w:color w:val="auto"/>
        </w:rPr>
      </w:pPr>
    </w:p>
    <w:tbl>
      <w:tblPr>
        <w:tblLayout w:type="fixed"/>
        <w:tblInd w:w="5940" w:type="dxa"/>
        <w:tblCellMar>
          <w:top w:w="0" w:type="dxa"/>
          <w:left w:w="0" w:type="dxa"/>
          <w:bottom w:w="0" w:type="dxa"/>
          <w:right w:w="0" w:type="dxa"/>
        </w:tblCellMar>
      </w:tblPr>
      <w:tr>
        <w:trPr>
          <w:trHeight w:val="184"/>
        </w:trPr>
        <w:tc>
          <w:tcPr>
            <w:tcW w:w="2660" w:type="dxa"/>
            <w:vAlign w:val="bottom"/>
            <w:gridSpan w:val="4"/>
          </w:tcPr>
          <w:p>
            <w:pPr>
              <w:spacing w:after="0"/>
              <w:rPr>
                <w:sz w:val="20"/>
                <w:szCs w:val="20"/>
                <w:color w:val="auto"/>
              </w:rPr>
            </w:pPr>
            <w:r>
              <w:rPr>
                <w:rFonts w:ascii="Arial" w:cs="Arial" w:eastAsia="Arial" w:hAnsi="Arial"/>
                <w:sz w:val="16"/>
                <w:szCs w:val="16"/>
                <w:b w:val="1"/>
                <w:bCs w:val="1"/>
                <w:color w:val="auto"/>
              </w:rPr>
              <w:t>Consolidated statement of</w:t>
            </w: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w:t>
            </w:r>
          </w:p>
        </w:tc>
      </w:tr>
      <w:tr>
        <w:trPr>
          <w:trHeight w:val="198"/>
        </w:trPr>
        <w:tc>
          <w:tcPr>
            <w:tcW w:w="2660" w:type="dxa"/>
            <w:vAlign w:val="bottom"/>
            <w:gridSpan w:val="4"/>
          </w:tcPr>
          <w:p>
            <w:pPr>
              <w:spacing w:after="0"/>
              <w:rPr>
                <w:sz w:val="20"/>
                <w:szCs w:val="20"/>
                <w:color w:val="auto"/>
              </w:rPr>
            </w:pPr>
            <w:r>
              <w:rPr>
                <w:rFonts w:ascii="Arial" w:cs="Arial" w:eastAsia="Arial" w:hAnsi="Arial"/>
                <w:sz w:val="16"/>
                <w:szCs w:val="16"/>
                <w:b w:val="1"/>
                <w:bCs w:val="1"/>
                <w:color w:val="auto"/>
              </w:rPr>
              <w:t>financial position</w:t>
            </w:r>
          </w:p>
        </w:tc>
        <w:tc>
          <w:tcPr>
            <w:tcW w:w="96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154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2025</w:t>
            </w:r>
          </w:p>
        </w:tc>
        <w:tc>
          <w:tcPr>
            <w:tcW w:w="1520" w:type="dxa"/>
            <w:vAlign w:val="bottom"/>
            <w:tcBorders>
              <w:top w:val="single" w:sz="8" w:color="auto"/>
              <w:bottom w:val="single" w:sz="8" w:color="auto"/>
            </w:tcBorders>
          </w:tcPr>
          <w:p>
            <w:pPr>
              <w:ind w:left="400"/>
              <w:spacing w:after="0" w:line="173"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96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2025</w:t>
            </w:r>
          </w:p>
        </w:tc>
        <w:tc>
          <w:tcPr>
            <w:tcW w:w="1540" w:type="dxa"/>
            <w:vAlign w:val="bottom"/>
            <w:tcBorders>
              <w:top w:val="single" w:sz="8" w:color="auto"/>
              <w:bottom w:val="single" w:sz="8" w:color="auto"/>
            </w:tcBorders>
          </w:tcPr>
          <w:p>
            <w:pPr>
              <w:ind w:left="400"/>
              <w:spacing w:after="0" w:line="173" w:lineRule="exact"/>
              <w:rPr>
                <w:sz w:val="20"/>
                <w:szCs w:val="20"/>
                <w:color w:val="auto"/>
              </w:rPr>
            </w:pPr>
            <w:r>
              <w:rPr>
                <w:rFonts w:ascii="Arial" w:cs="Arial" w:eastAsia="Arial" w:hAnsi="Arial"/>
                <w:sz w:val="16"/>
                <w:szCs w:val="16"/>
                <w:b w:val="1"/>
                <w:bCs w:val="1"/>
                <w:color w:val="auto"/>
              </w:rPr>
              <w:t>2024</w:t>
            </w:r>
          </w:p>
        </w:tc>
      </w:tr>
      <w:tr>
        <w:trPr>
          <w:trHeight w:val="172"/>
        </w:trPr>
        <w:tc>
          <w:tcPr>
            <w:tcW w:w="20" w:type="dxa"/>
            <w:vAlign w:val="bottom"/>
          </w:tcPr>
          <w:p>
            <w:pPr>
              <w:spacing w:after="0"/>
              <w:rPr>
                <w:sz w:val="14"/>
                <w:szCs w:val="14"/>
                <w:color w:val="auto"/>
              </w:rPr>
            </w:pPr>
          </w:p>
        </w:tc>
        <w:tc>
          <w:tcPr>
            <w:tcW w:w="900" w:type="dxa"/>
            <w:vAlign w:val="bottom"/>
          </w:tcPr>
          <w:p>
            <w:pPr>
              <w:spacing w:after="0" w:line="172" w:lineRule="exact"/>
              <w:rPr>
                <w:sz w:val="20"/>
                <w:szCs w:val="20"/>
                <w:color w:val="auto"/>
              </w:rPr>
            </w:pPr>
            <w:r>
              <w:rPr>
                <w:rFonts w:ascii="Arial" w:cs="Arial" w:eastAsia="Arial" w:hAnsi="Arial"/>
                <w:sz w:val="16"/>
                <w:szCs w:val="16"/>
                <w:b w:val="1"/>
                <w:bCs w:val="1"/>
                <w:color w:val="auto"/>
              </w:rPr>
              <w:t>S/(000)</w:t>
            </w:r>
          </w:p>
        </w:tc>
        <w:tc>
          <w:tcPr>
            <w:tcW w:w="1520" w:type="dxa"/>
            <w:vAlign w:val="bottom"/>
          </w:tcPr>
          <w:p>
            <w:pPr>
              <w:ind w:left="400"/>
              <w:spacing w:after="0" w:line="172"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4"/>
                <w:szCs w:val="14"/>
                <w:color w:val="auto"/>
              </w:rPr>
            </w:pPr>
          </w:p>
        </w:tc>
        <w:tc>
          <w:tcPr>
            <w:tcW w:w="960" w:type="dxa"/>
            <w:vAlign w:val="bottom"/>
          </w:tcPr>
          <w:p>
            <w:pPr>
              <w:spacing w:after="0" w:line="172" w:lineRule="exact"/>
              <w:rPr>
                <w:sz w:val="20"/>
                <w:szCs w:val="20"/>
                <w:color w:val="auto"/>
              </w:rPr>
            </w:pPr>
            <w:r>
              <w:rPr>
                <w:rFonts w:ascii="Arial" w:cs="Arial" w:eastAsia="Arial" w:hAnsi="Arial"/>
                <w:sz w:val="16"/>
                <w:szCs w:val="16"/>
                <w:b w:val="1"/>
                <w:bCs w:val="1"/>
                <w:color w:val="auto"/>
              </w:rPr>
              <w:t>S/(000)</w:t>
            </w:r>
          </w:p>
        </w:tc>
        <w:tc>
          <w:tcPr>
            <w:tcW w:w="1540" w:type="dxa"/>
            <w:vAlign w:val="bottom"/>
          </w:tcPr>
          <w:p>
            <w:pPr>
              <w:ind w:left="400"/>
              <w:spacing w:after="0" w:line="172"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40" w:type="dxa"/>
            <w:vAlign w:val="bottom"/>
          </w:tcPr>
          <w:p>
            <w:pPr>
              <w:ind w:left="860"/>
              <w:spacing w:after="0" w:line="165" w:lineRule="exact"/>
              <w:rPr>
                <w:sz w:val="20"/>
                <w:szCs w:val="20"/>
                <w:color w:val="auto"/>
              </w:rPr>
            </w:pPr>
            <w:r>
              <w:rPr>
                <w:rFonts w:ascii="Arial" w:cs="Arial" w:eastAsia="Arial" w:hAnsi="Arial"/>
                <w:sz w:val="16"/>
                <w:szCs w:val="16"/>
                <w:b w:val="1"/>
                <w:bCs w:val="1"/>
                <w:color w:val="auto"/>
              </w:rPr>
              <w:t>Deferred income tax asset, net</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b w:val="1"/>
                <w:bCs w:val="1"/>
                <w:color w:val="auto"/>
              </w:rPr>
              <w:t>Deferred asset</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Allowance for loan losses for loan portfolio</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951,617</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949,040</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1,947</w:t>
            </w: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(73,960)</w:t>
            </w: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Carry forward tax losses</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245,210</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198,248</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46,962</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130,243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Provision for profit sharing</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128,198</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94,344</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19,892</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23,436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Provision for sundry expenses and risks</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114,559</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60,148</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45,514</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Unrealized losses due to valuation of investments at fair value</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through other comprehensive income</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54,359</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21,143</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Provision for pending vacations</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50,382</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37,107</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10,573</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4,687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Provision for stock awards</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17,300</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13,872</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3,130</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52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Depreciation of improvements for leased premises</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13,911</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15,219</w:t>
            </w:r>
          </w:p>
        </w:tc>
        <w:tc>
          <w:tcPr>
            <w:tcW w:w="154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(1,412)</w:t>
            </w: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(5,217)</w:t>
            </w:r>
          </w:p>
        </w:tc>
        <w:tc>
          <w:tcPr>
            <w:tcW w:w="40" w:type="dxa"/>
            <w:vAlign w:val="bottom"/>
          </w:tcPr>
          <w:p>
            <w:pPr>
              <w:spacing w:after="0"/>
              <w:rPr>
                <w:sz w:val="15"/>
                <w:szCs w:val="15"/>
                <w:color w:val="auto"/>
              </w:rPr>
            </w:pPr>
          </w:p>
        </w:tc>
      </w:tr>
      <w:tr>
        <w:trPr>
          <w:trHeight w:val="214"/>
        </w:trPr>
        <w:tc>
          <w:tcPr>
            <w:tcW w:w="5940" w:type="dxa"/>
            <w:vAlign w:val="bottom"/>
          </w:tcPr>
          <w:p>
            <w:pPr>
              <w:ind w:left="860"/>
              <w:spacing w:after="0"/>
              <w:rPr>
                <w:sz w:val="20"/>
                <w:szCs w:val="20"/>
                <w:color w:val="auto"/>
              </w:rPr>
            </w:pPr>
            <w:r>
              <w:rPr>
                <w:rFonts w:ascii="Arial" w:cs="Arial" w:eastAsia="Arial" w:hAnsi="Arial"/>
                <w:sz w:val="16"/>
                <w:szCs w:val="16"/>
                <w:color w:val="auto"/>
              </w:rPr>
              <w:t>Others</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153,974</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58,099</w:t>
            </w:r>
          </w:p>
        </w:tc>
        <w:tc>
          <w:tcPr>
            <w:tcW w:w="1540" w:type="dxa"/>
            <w:vAlign w:val="bottom"/>
          </w:tcPr>
          <w:p>
            <w:pPr>
              <w:jc w:val="right"/>
              <w:ind w:right="320"/>
              <w:spacing w:after="0"/>
              <w:rPr>
                <w:sz w:val="20"/>
                <w:szCs w:val="20"/>
                <w:color w:val="auto"/>
              </w:rPr>
            </w:pPr>
            <w:r>
              <w:rPr>
                <w:rFonts w:ascii="Arial" w:cs="Arial" w:eastAsia="Arial" w:hAnsi="Arial"/>
                <w:sz w:val="16"/>
                <w:szCs w:val="16"/>
                <w:color w:val="auto"/>
              </w:rPr>
              <w:t>82,835</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(112,193)</w:t>
            </w:r>
          </w:p>
        </w:tc>
        <w:tc>
          <w:tcPr>
            <w:tcW w:w="40" w:type="dxa"/>
            <w:vAlign w:val="bottom"/>
          </w:tcPr>
          <w:p>
            <w:pPr>
              <w:spacing w:after="0"/>
              <w:rPr>
                <w:sz w:val="18"/>
                <w:szCs w:val="18"/>
                <w:color w:val="auto"/>
              </w:rPr>
            </w:pPr>
          </w:p>
        </w:tc>
      </w:tr>
      <w:tr>
        <w:trPr>
          <w:trHeight w:val="329"/>
        </w:trPr>
        <w:tc>
          <w:tcPr>
            <w:tcW w:w="5940" w:type="dxa"/>
            <w:vAlign w:val="bottom"/>
          </w:tcPr>
          <w:p>
            <w:pPr>
              <w:ind w:left="860"/>
              <w:spacing w:after="0"/>
              <w:rPr>
                <w:sz w:val="20"/>
                <w:szCs w:val="20"/>
                <w:color w:val="auto"/>
              </w:rPr>
            </w:pPr>
            <w:r>
              <w:rPr>
                <w:rFonts w:ascii="Arial" w:cs="Arial" w:eastAsia="Arial" w:hAnsi="Arial"/>
                <w:sz w:val="16"/>
                <w:szCs w:val="16"/>
                <w:b w:val="1"/>
                <w:bCs w:val="1"/>
                <w:color w:val="auto"/>
              </w:rPr>
              <w:t>Deferred liability</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Intangibles, net</w:t>
            </w:r>
          </w:p>
        </w:tc>
        <w:tc>
          <w:tcPr>
            <w:tcW w:w="146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(75,009)</w:t>
            </w:r>
          </w:p>
        </w:tc>
        <w:tc>
          <w:tcPr>
            <w:tcW w:w="120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(101,945)</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27,347</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74,326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Adjustment for difference in exchange of Superintendencia Nacional</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de Aduanas y de Administración Tributaria (SUNAT) and SBS</w:t>
            </w:r>
          </w:p>
        </w:tc>
        <w:tc>
          <w:tcPr>
            <w:tcW w:w="146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(69,997)</w:t>
            </w:r>
          </w:p>
        </w:tc>
        <w:tc>
          <w:tcPr>
            <w:tcW w:w="120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(76,059)</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6,062</w:t>
            </w: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(31,043)</w:t>
            </w: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Buildings depreciation</w:t>
            </w:r>
          </w:p>
        </w:tc>
        <w:tc>
          <w:tcPr>
            <w:tcW w:w="146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(63,004)</w:t>
            </w:r>
          </w:p>
        </w:tc>
        <w:tc>
          <w:tcPr>
            <w:tcW w:w="120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(50,556)</w:t>
            </w:r>
          </w:p>
        </w:tc>
        <w:tc>
          <w:tcPr>
            <w:tcW w:w="154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(8,794)</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13,283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Deferred acquisitions costs - DAC</w:t>
            </w:r>
          </w:p>
        </w:tc>
        <w:tc>
          <w:tcPr>
            <w:tcW w:w="146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(18,574)</w:t>
            </w:r>
          </w:p>
        </w:tc>
        <w:tc>
          <w:tcPr>
            <w:tcW w:w="120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(17,362)</w:t>
            </w:r>
          </w:p>
        </w:tc>
        <w:tc>
          <w:tcPr>
            <w:tcW w:w="154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(1,212)</w:t>
            </w: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(1,292)</w:t>
            </w: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Unrealized gain due to valuation of investments at fair value through</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other comprehensive income</w:t>
            </w:r>
          </w:p>
        </w:tc>
        <w:tc>
          <w:tcPr>
            <w:tcW w:w="146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(11,575)</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853</w:t>
            </w:r>
          </w:p>
        </w:tc>
        <w:tc>
          <w:tcPr>
            <w:tcW w:w="220" w:type="dxa"/>
            <w:vAlign w:val="bottom"/>
          </w:tcPr>
          <w:p>
            <w:pPr>
              <w:spacing w:after="0"/>
              <w:rPr>
                <w:sz w:val="15"/>
                <w:szCs w:val="15"/>
                <w:color w:val="auto"/>
              </w:rPr>
            </w:pP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r>
      <w:tr>
        <w:trPr>
          <w:trHeight w:val="210"/>
        </w:trPr>
        <w:tc>
          <w:tcPr>
            <w:tcW w:w="5940" w:type="dxa"/>
            <w:vAlign w:val="bottom"/>
          </w:tcPr>
          <w:p>
            <w:pPr>
              <w:ind w:left="860"/>
              <w:spacing w:after="0"/>
              <w:rPr>
                <w:sz w:val="20"/>
                <w:szCs w:val="20"/>
                <w:color w:val="auto"/>
              </w:rPr>
            </w:pPr>
            <w:r>
              <w:rPr>
                <w:rFonts w:ascii="Arial" w:cs="Arial" w:eastAsia="Arial" w:hAnsi="Arial"/>
                <w:sz w:val="16"/>
                <w:szCs w:val="16"/>
                <w:color w:val="auto"/>
              </w:rPr>
              <w:t>Others</w:t>
            </w:r>
          </w:p>
        </w:tc>
        <w:tc>
          <w:tcPr>
            <w:tcW w:w="1460" w:type="dxa"/>
            <w:vAlign w:val="bottom"/>
          </w:tcPr>
          <w:p>
            <w:pPr>
              <w:jc w:val="right"/>
              <w:ind w:right="200"/>
              <w:spacing w:after="0"/>
              <w:rPr>
                <w:sz w:val="20"/>
                <w:szCs w:val="20"/>
                <w:color w:val="auto"/>
              </w:rPr>
            </w:pPr>
            <w:r>
              <w:rPr>
                <w:rFonts w:ascii="Arial" w:cs="Arial" w:eastAsia="Arial" w:hAnsi="Arial"/>
                <w:sz w:val="16"/>
                <w:szCs w:val="16"/>
                <w:color w:val="auto"/>
              </w:rPr>
              <w:t>(99,715)</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(31,285)</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(45,163)</w:t>
            </w:r>
          </w:p>
        </w:tc>
        <w:tc>
          <w:tcPr>
            <w:tcW w:w="960" w:type="dxa"/>
            <w:vAlign w:val="bottom"/>
          </w:tcPr>
          <w:p>
            <w:pPr>
              <w:jc w:val="right"/>
              <w:spacing w:after="0"/>
              <w:rPr>
                <w:sz w:val="20"/>
                <w:szCs w:val="20"/>
                <w:color w:val="auto"/>
              </w:rPr>
            </w:pPr>
            <w:r>
              <w:rPr>
                <w:rFonts w:ascii="Arial" w:cs="Arial" w:eastAsia="Arial" w:hAnsi="Arial"/>
                <w:sz w:val="16"/>
                <w:szCs w:val="16"/>
                <w:color w:val="auto"/>
              </w:rPr>
              <w:t>20,860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7"/>
        </w:trPr>
        <w:tc>
          <w:tcPr>
            <w:tcW w:w="594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ind w:right="260"/>
              <w:spacing w:after="0" w:line="173" w:lineRule="exact"/>
              <w:rPr>
                <w:sz w:val="20"/>
                <w:szCs w:val="20"/>
                <w:color w:val="auto"/>
              </w:rPr>
            </w:pPr>
            <w:r>
              <w:rPr>
                <w:rFonts w:ascii="Arial" w:cs="Arial" w:eastAsia="Arial" w:hAnsi="Arial"/>
                <w:sz w:val="16"/>
                <w:szCs w:val="16"/>
                <w:color w:val="auto"/>
              </w:rPr>
              <w:t>1,391,636</w:t>
            </w:r>
          </w:p>
        </w:tc>
        <w:tc>
          <w:tcPr>
            <w:tcW w:w="98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1,170,866</w:t>
            </w:r>
          </w:p>
        </w:tc>
        <w:tc>
          <w:tcPr>
            <w:tcW w:w="220" w:type="dxa"/>
            <w:vAlign w:val="bottom"/>
          </w:tcPr>
          <w:p>
            <w:pPr>
              <w:spacing w:after="0"/>
              <w:rPr>
                <w:sz w:val="15"/>
                <w:szCs w:val="15"/>
                <w:color w:val="auto"/>
              </w:rPr>
            </w:pPr>
          </w:p>
        </w:tc>
        <w:tc>
          <w:tcPr>
            <w:tcW w:w="1540" w:type="dxa"/>
            <w:vAlign w:val="bottom"/>
            <w:tcBorders>
              <w:top w:val="single" w:sz="8" w:color="auto"/>
              <w:bottom w:val="single" w:sz="8" w:color="auto"/>
            </w:tcBorders>
          </w:tcPr>
          <w:p>
            <w:pPr>
              <w:jc w:val="right"/>
              <w:ind w:right="320"/>
              <w:spacing w:after="0" w:line="173" w:lineRule="exact"/>
              <w:rPr>
                <w:sz w:val="20"/>
                <w:szCs w:val="20"/>
                <w:color w:val="auto"/>
              </w:rPr>
            </w:pPr>
            <w:r>
              <w:rPr>
                <w:rFonts w:ascii="Arial" w:cs="Arial" w:eastAsia="Arial" w:hAnsi="Arial"/>
                <w:sz w:val="16"/>
                <w:szCs w:val="16"/>
                <w:color w:val="auto"/>
              </w:rPr>
              <w:t>187,681</w:t>
            </w: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43,227</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526"/>
        </w:trPr>
        <w:tc>
          <w:tcPr>
            <w:tcW w:w="5940" w:type="dxa"/>
            <w:vAlign w:val="bottom"/>
          </w:tcPr>
          <w:p>
            <w:pPr>
              <w:ind w:left="860"/>
              <w:spacing w:after="0"/>
              <w:rPr>
                <w:sz w:val="20"/>
                <w:szCs w:val="20"/>
                <w:color w:val="auto"/>
              </w:rPr>
            </w:pPr>
            <w:r>
              <w:rPr>
                <w:rFonts w:ascii="Arial" w:cs="Arial" w:eastAsia="Arial" w:hAnsi="Arial"/>
                <w:sz w:val="16"/>
                <w:szCs w:val="16"/>
                <w:b w:val="1"/>
                <w:bCs w:val="1"/>
                <w:color w:val="auto"/>
              </w:rPr>
              <w:t>Deferred income tax liability, net</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b w:val="1"/>
                <w:bCs w:val="1"/>
                <w:color w:val="auto"/>
              </w:rPr>
              <w:t>Deferred asset</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Provision for sundry expenses and risks</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16,048</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23,034</w:t>
            </w:r>
          </w:p>
        </w:tc>
        <w:tc>
          <w:tcPr>
            <w:tcW w:w="154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(17,423)</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10,639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Deferred income due to commission</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3,322</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4,645</w:t>
            </w:r>
          </w:p>
        </w:tc>
        <w:tc>
          <w:tcPr>
            <w:tcW w:w="154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(1,323)</w:t>
            </w: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(629)</w:t>
            </w: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Provision for profit sharing</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1,462</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14,850</w:t>
            </w:r>
          </w:p>
        </w:tc>
        <w:tc>
          <w:tcPr>
            <w:tcW w:w="154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(14,920)</w:t>
            </w:r>
          </w:p>
        </w:tc>
        <w:tc>
          <w:tcPr>
            <w:tcW w:w="10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(3,047)</w:t>
            </w: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Carry forward tax losses</w:t>
            </w:r>
          </w:p>
        </w:tc>
        <w:tc>
          <w:tcPr>
            <w:tcW w:w="146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19,757</w:t>
            </w:r>
          </w:p>
        </w:tc>
        <w:tc>
          <w:tcPr>
            <w:tcW w:w="1540" w:type="dxa"/>
            <w:vAlign w:val="bottom"/>
          </w:tcPr>
          <w:p>
            <w:pPr>
              <w:jc w:val="right"/>
              <w:ind w:right="260"/>
              <w:spacing w:after="0" w:line="181" w:lineRule="exact"/>
              <w:rPr>
                <w:sz w:val="20"/>
                <w:szCs w:val="20"/>
                <w:color w:val="auto"/>
              </w:rPr>
            </w:pPr>
            <w:r>
              <w:rPr>
                <w:rFonts w:ascii="Arial" w:cs="Arial" w:eastAsia="Arial" w:hAnsi="Arial"/>
                <w:sz w:val="16"/>
                <w:szCs w:val="16"/>
                <w:color w:val="auto"/>
              </w:rPr>
              <w:t>(19,757)</w:t>
            </w:r>
          </w:p>
        </w:tc>
        <w:tc>
          <w:tcPr>
            <w:tcW w:w="10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Unrealized losses due to valuation of investments at fair value</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940" w:type="dxa"/>
            <w:vAlign w:val="bottom"/>
          </w:tcPr>
          <w:p>
            <w:pPr>
              <w:ind w:left="860"/>
              <w:spacing w:after="0" w:line="181" w:lineRule="exact"/>
              <w:rPr>
                <w:sz w:val="20"/>
                <w:szCs w:val="20"/>
                <w:color w:val="auto"/>
              </w:rPr>
            </w:pPr>
            <w:r>
              <w:rPr>
                <w:rFonts w:ascii="Arial" w:cs="Arial" w:eastAsia="Arial" w:hAnsi="Arial"/>
                <w:sz w:val="16"/>
                <w:szCs w:val="16"/>
                <w:color w:val="auto"/>
              </w:rPr>
              <w:t>through other comprehensive income</w:t>
            </w:r>
          </w:p>
        </w:tc>
        <w:tc>
          <w:tcPr>
            <w:tcW w:w="146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(2,281)</w:t>
            </w:r>
          </w:p>
        </w:tc>
        <w:tc>
          <w:tcPr>
            <w:tcW w:w="12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28,165</w:t>
            </w:r>
          </w:p>
        </w:tc>
        <w:tc>
          <w:tcPr>
            <w:tcW w:w="1540" w:type="dxa"/>
            <w:vAlign w:val="bottom"/>
          </w:tcPr>
          <w:p>
            <w:pPr>
              <w:jc w:val="right"/>
              <w:ind w:right="32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r>
      <w:tr>
        <w:trPr>
          <w:trHeight w:val="214"/>
        </w:trPr>
        <w:tc>
          <w:tcPr>
            <w:tcW w:w="5940" w:type="dxa"/>
            <w:vAlign w:val="bottom"/>
          </w:tcPr>
          <w:p>
            <w:pPr>
              <w:ind w:left="860"/>
              <w:spacing w:after="0"/>
              <w:rPr>
                <w:sz w:val="20"/>
                <w:szCs w:val="20"/>
                <w:color w:val="auto"/>
              </w:rPr>
            </w:pPr>
            <w:r>
              <w:rPr>
                <w:rFonts w:ascii="Arial" w:cs="Arial" w:eastAsia="Arial" w:hAnsi="Arial"/>
                <w:sz w:val="16"/>
                <w:szCs w:val="16"/>
                <w:color w:val="auto"/>
              </w:rPr>
              <w:t>Others</w:t>
            </w:r>
          </w:p>
        </w:tc>
        <w:tc>
          <w:tcPr>
            <w:tcW w:w="1460" w:type="dxa"/>
            <w:vAlign w:val="bottom"/>
          </w:tcPr>
          <w:p>
            <w:pPr>
              <w:jc w:val="right"/>
              <w:ind w:right="200"/>
              <w:spacing w:after="0"/>
              <w:rPr>
                <w:sz w:val="20"/>
                <w:szCs w:val="20"/>
                <w:color w:val="auto"/>
              </w:rPr>
            </w:pPr>
            <w:r>
              <w:rPr>
                <w:rFonts w:ascii="Arial" w:cs="Arial" w:eastAsia="Arial" w:hAnsi="Arial"/>
                <w:sz w:val="16"/>
                <w:szCs w:val="16"/>
                <w:color w:val="auto"/>
              </w:rPr>
              <w:t>(6,467)</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(39,448)</w:t>
            </w:r>
          </w:p>
        </w:tc>
        <w:tc>
          <w:tcPr>
            <w:tcW w:w="1540" w:type="dxa"/>
            <w:vAlign w:val="bottom"/>
          </w:tcPr>
          <w:p>
            <w:pPr>
              <w:jc w:val="right"/>
              <w:ind w:right="320"/>
              <w:spacing w:after="0"/>
              <w:rPr>
                <w:sz w:val="20"/>
                <w:szCs w:val="20"/>
                <w:color w:val="auto"/>
              </w:rPr>
            </w:pPr>
            <w:r>
              <w:rPr>
                <w:rFonts w:ascii="Arial" w:cs="Arial" w:eastAsia="Arial" w:hAnsi="Arial"/>
                <w:sz w:val="16"/>
                <w:szCs w:val="16"/>
                <w:color w:val="auto"/>
              </w:rPr>
              <w:t>46,966</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(34,374)</w:t>
            </w:r>
          </w:p>
        </w:tc>
        <w:tc>
          <w:tcPr>
            <w:tcW w:w="40" w:type="dxa"/>
            <w:vAlign w:val="bottom"/>
          </w:tcPr>
          <w:p>
            <w:pPr>
              <w:spacing w:after="0"/>
              <w:rPr>
                <w:sz w:val="18"/>
                <w:szCs w:val="18"/>
                <w:color w:val="auto"/>
              </w:rPr>
            </w:pPr>
          </w:p>
        </w:tc>
      </w:tr>
      <w:tr>
        <w:trPr>
          <w:trHeight w:val="519"/>
        </w:trPr>
        <w:tc>
          <w:tcPr>
            <w:tcW w:w="5940" w:type="dxa"/>
            <w:vAlign w:val="bottom"/>
          </w:tcPr>
          <w:p>
            <w:pPr>
              <w:ind w:left="5400"/>
              <w:spacing w:after="0"/>
              <w:rPr>
                <w:sz w:val="20"/>
                <w:szCs w:val="20"/>
                <w:color w:val="auto"/>
              </w:rPr>
            </w:pPr>
            <w:r>
              <w:rPr>
                <w:rFonts w:ascii="Arial" w:cs="Arial" w:eastAsia="Arial" w:hAnsi="Arial"/>
                <w:sz w:val="16"/>
                <w:szCs w:val="16"/>
                <w:color w:val="auto"/>
              </w:rPr>
              <w:t>- 109 -</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
        </w:trPr>
        <w:tc>
          <w:tcPr>
            <w:tcW w:w="59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16" w:right="319" w:bottom="1440" w:gutter="0" w:footer="0" w:header="0"/>
        </w:sectPr>
      </w:pPr>
    </w:p>
    <w:bookmarkStart w:id="114" w:name="page115"/>
    <w:bookmarkEnd w:id="114"/>
    <w:p>
      <w:pPr>
        <w:spacing w:after="0" w:line="1" w:lineRule="exact"/>
        <w:rPr>
          <w:sz w:val="20"/>
          <w:szCs w:val="20"/>
          <w:color w:val="auto"/>
        </w:rPr>
      </w:pPr>
    </w:p>
    <w:tbl>
      <w:tblPr>
        <w:tblLayout w:type="fixed"/>
        <w:tblInd w:w="5360" w:type="dxa"/>
        <w:tblCellMar>
          <w:top w:w="0" w:type="dxa"/>
          <w:left w:w="0" w:type="dxa"/>
          <w:bottom w:w="0" w:type="dxa"/>
          <w:right w:w="0" w:type="dxa"/>
        </w:tblCellMar>
      </w:tblPr>
      <w:tr>
        <w:trPr>
          <w:trHeight w:val="184"/>
        </w:trPr>
        <w:tc>
          <w:tcPr>
            <w:tcW w:w="2660" w:type="dxa"/>
            <w:vAlign w:val="bottom"/>
            <w:gridSpan w:val="4"/>
          </w:tcPr>
          <w:p>
            <w:pPr>
              <w:spacing w:after="0"/>
              <w:rPr>
                <w:sz w:val="20"/>
                <w:szCs w:val="20"/>
                <w:color w:val="auto"/>
              </w:rPr>
            </w:pPr>
            <w:r>
              <w:rPr>
                <w:rFonts w:ascii="Arial" w:cs="Arial" w:eastAsia="Arial" w:hAnsi="Arial"/>
                <w:sz w:val="16"/>
                <w:szCs w:val="16"/>
                <w:b w:val="1"/>
                <w:bCs w:val="1"/>
                <w:color w:val="auto"/>
              </w:rPr>
              <w:t>Consolidated statement of</w:t>
            </w: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w:t>
            </w:r>
          </w:p>
        </w:tc>
      </w:tr>
      <w:tr>
        <w:trPr>
          <w:trHeight w:val="198"/>
        </w:trPr>
        <w:tc>
          <w:tcPr>
            <w:tcW w:w="2660" w:type="dxa"/>
            <w:vAlign w:val="bottom"/>
            <w:gridSpan w:val="4"/>
          </w:tcPr>
          <w:p>
            <w:pPr>
              <w:spacing w:after="0"/>
              <w:rPr>
                <w:sz w:val="20"/>
                <w:szCs w:val="20"/>
                <w:color w:val="auto"/>
              </w:rPr>
            </w:pPr>
            <w:r>
              <w:rPr>
                <w:rFonts w:ascii="Arial" w:cs="Arial" w:eastAsia="Arial" w:hAnsi="Arial"/>
                <w:sz w:val="16"/>
                <w:szCs w:val="16"/>
                <w:b w:val="1"/>
                <w:bCs w:val="1"/>
                <w:color w:val="auto"/>
              </w:rPr>
              <w:t>financial position</w:t>
            </w:r>
          </w:p>
        </w:tc>
        <w:tc>
          <w:tcPr>
            <w:tcW w:w="96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154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2025</w:t>
            </w:r>
          </w:p>
        </w:tc>
        <w:tc>
          <w:tcPr>
            <w:tcW w:w="1520" w:type="dxa"/>
            <w:vAlign w:val="bottom"/>
            <w:tcBorders>
              <w:top w:val="single" w:sz="8" w:color="auto"/>
              <w:bottom w:val="single" w:sz="8" w:color="auto"/>
            </w:tcBorders>
          </w:tcPr>
          <w:p>
            <w:pPr>
              <w:ind w:left="400"/>
              <w:spacing w:after="0" w:line="173"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96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2025</w:t>
            </w:r>
          </w:p>
        </w:tc>
        <w:tc>
          <w:tcPr>
            <w:tcW w:w="1540" w:type="dxa"/>
            <w:vAlign w:val="bottom"/>
            <w:tcBorders>
              <w:top w:val="single" w:sz="8" w:color="auto"/>
              <w:bottom w:val="single" w:sz="8" w:color="auto"/>
            </w:tcBorders>
          </w:tcPr>
          <w:p>
            <w:pPr>
              <w:ind w:left="400"/>
              <w:spacing w:after="0" w:line="173" w:lineRule="exact"/>
              <w:rPr>
                <w:sz w:val="20"/>
                <w:szCs w:val="20"/>
                <w:color w:val="auto"/>
              </w:rPr>
            </w:pPr>
            <w:r>
              <w:rPr>
                <w:rFonts w:ascii="Arial" w:cs="Arial" w:eastAsia="Arial" w:hAnsi="Arial"/>
                <w:sz w:val="16"/>
                <w:szCs w:val="16"/>
                <w:b w:val="1"/>
                <w:bCs w:val="1"/>
                <w:color w:val="auto"/>
              </w:rPr>
              <w:t>2024</w:t>
            </w:r>
          </w:p>
        </w:tc>
      </w:tr>
      <w:tr>
        <w:trPr>
          <w:trHeight w:val="172"/>
        </w:trPr>
        <w:tc>
          <w:tcPr>
            <w:tcW w:w="20" w:type="dxa"/>
            <w:vAlign w:val="bottom"/>
          </w:tcPr>
          <w:p>
            <w:pPr>
              <w:spacing w:after="0"/>
              <w:rPr>
                <w:sz w:val="14"/>
                <w:szCs w:val="14"/>
                <w:color w:val="auto"/>
              </w:rPr>
            </w:pPr>
          </w:p>
        </w:tc>
        <w:tc>
          <w:tcPr>
            <w:tcW w:w="900" w:type="dxa"/>
            <w:vAlign w:val="bottom"/>
          </w:tcPr>
          <w:p>
            <w:pPr>
              <w:spacing w:after="0" w:line="172" w:lineRule="exact"/>
              <w:rPr>
                <w:sz w:val="20"/>
                <w:szCs w:val="20"/>
                <w:color w:val="auto"/>
              </w:rPr>
            </w:pPr>
            <w:r>
              <w:rPr>
                <w:rFonts w:ascii="Arial" w:cs="Arial" w:eastAsia="Arial" w:hAnsi="Arial"/>
                <w:sz w:val="16"/>
                <w:szCs w:val="16"/>
                <w:b w:val="1"/>
                <w:bCs w:val="1"/>
                <w:color w:val="auto"/>
              </w:rPr>
              <w:t>S/(000)</w:t>
            </w:r>
          </w:p>
        </w:tc>
        <w:tc>
          <w:tcPr>
            <w:tcW w:w="1520" w:type="dxa"/>
            <w:vAlign w:val="bottom"/>
          </w:tcPr>
          <w:p>
            <w:pPr>
              <w:ind w:left="400"/>
              <w:spacing w:after="0" w:line="172"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4"/>
                <w:szCs w:val="14"/>
                <w:color w:val="auto"/>
              </w:rPr>
            </w:pPr>
          </w:p>
        </w:tc>
        <w:tc>
          <w:tcPr>
            <w:tcW w:w="960" w:type="dxa"/>
            <w:vAlign w:val="bottom"/>
          </w:tcPr>
          <w:p>
            <w:pPr>
              <w:spacing w:after="0" w:line="172" w:lineRule="exact"/>
              <w:rPr>
                <w:sz w:val="20"/>
                <w:szCs w:val="20"/>
                <w:color w:val="auto"/>
              </w:rPr>
            </w:pPr>
            <w:r>
              <w:rPr>
                <w:rFonts w:ascii="Arial" w:cs="Arial" w:eastAsia="Arial" w:hAnsi="Arial"/>
                <w:sz w:val="16"/>
                <w:szCs w:val="16"/>
                <w:b w:val="1"/>
                <w:bCs w:val="1"/>
                <w:color w:val="auto"/>
              </w:rPr>
              <w:t>S/(000)</w:t>
            </w:r>
          </w:p>
        </w:tc>
        <w:tc>
          <w:tcPr>
            <w:tcW w:w="1540" w:type="dxa"/>
            <w:vAlign w:val="bottom"/>
          </w:tcPr>
          <w:p>
            <w:pPr>
              <w:ind w:left="400"/>
              <w:spacing w:after="0" w:line="172"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60" w:type="dxa"/>
            <w:vAlign w:val="bottom"/>
          </w:tcPr>
          <w:p>
            <w:pPr>
              <w:ind w:left="280"/>
              <w:spacing w:after="0" w:line="165" w:lineRule="exact"/>
              <w:rPr>
                <w:sz w:val="20"/>
                <w:szCs w:val="20"/>
                <w:color w:val="auto"/>
              </w:rPr>
            </w:pPr>
            <w:r>
              <w:rPr>
                <w:rFonts w:ascii="Arial" w:cs="Arial" w:eastAsia="Arial" w:hAnsi="Arial"/>
                <w:sz w:val="16"/>
                <w:szCs w:val="16"/>
                <w:b w:val="1"/>
                <w:bCs w:val="1"/>
                <w:color w:val="auto"/>
              </w:rPr>
              <w:t>Deferred liability</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5260" w:type="dxa"/>
            <w:vAlign w:val="bottom"/>
          </w:tcPr>
          <w:p>
            <w:pPr>
              <w:ind w:left="280"/>
              <w:spacing w:after="0" w:line="181" w:lineRule="exact"/>
              <w:rPr>
                <w:sz w:val="20"/>
                <w:szCs w:val="20"/>
                <w:color w:val="auto"/>
              </w:rPr>
            </w:pPr>
            <w:r>
              <w:rPr>
                <w:rFonts w:ascii="Arial" w:cs="Arial" w:eastAsia="Arial" w:hAnsi="Arial"/>
                <w:sz w:val="16"/>
                <w:szCs w:val="16"/>
                <w:color w:val="auto"/>
              </w:rPr>
              <w:t>Revaluation of long–lived assets in a business combination</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(262,667)</w:t>
            </w:r>
          </w:p>
        </w:tc>
        <w:tc>
          <w:tcPr>
            <w:tcW w:w="14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w:t>
            </w:r>
          </w:p>
        </w:tc>
      </w:tr>
      <w:tr>
        <w:trPr>
          <w:trHeight w:val="181"/>
        </w:trPr>
        <w:tc>
          <w:tcPr>
            <w:tcW w:w="5260" w:type="dxa"/>
            <w:vAlign w:val="bottom"/>
          </w:tcPr>
          <w:p>
            <w:pPr>
              <w:ind w:left="280"/>
              <w:spacing w:after="0" w:line="181" w:lineRule="exact"/>
              <w:rPr>
                <w:sz w:val="20"/>
                <w:szCs w:val="20"/>
                <w:color w:val="auto"/>
              </w:rPr>
            </w:pPr>
            <w:r>
              <w:rPr>
                <w:rFonts w:ascii="Arial" w:cs="Arial" w:eastAsia="Arial" w:hAnsi="Arial"/>
                <w:sz w:val="16"/>
                <w:szCs w:val="16"/>
                <w:color w:val="auto"/>
              </w:rPr>
              <w:t>Intangibles, net</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(56,211)</w:t>
            </w:r>
          </w:p>
        </w:tc>
        <w:tc>
          <w:tcPr>
            <w:tcW w:w="14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(16,953)</w:t>
            </w:r>
          </w:p>
        </w:tc>
        <w:tc>
          <w:tcPr>
            <w:tcW w:w="1280" w:type="dxa"/>
            <w:vAlign w:val="bottom"/>
          </w:tcPr>
          <w:p>
            <w:pPr>
              <w:jc w:val="right"/>
              <w:ind w:right="60"/>
              <w:spacing w:after="0" w:line="181" w:lineRule="exact"/>
              <w:rPr>
                <w:sz w:val="20"/>
                <w:szCs w:val="20"/>
                <w:color w:val="auto"/>
              </w:rPr>
            </w:pPr>
            <w:r>
              <w:rPr>
                <w:rFonts w:ascii="Arial" w:cs="Arial" w:eastAsia="Arial" w:hAnsi="Arial"/>
                <w:sz w:val="16"/>
                <w:szCs w:val="16"/>
                <w:color w:val="auto"/>
              </w:rPr>
              <w:t>16,144</w:t>
            </w:r>
          </w:p>
        </w:tc>
        <w:tc>
          <w:tcPr>
            <w:tcW w:w="134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19,616</w:t>
            </w:r>
          </w:p>
        </w:tc>
      </w:tr>
      <w:tr>
        <w:trPr>
          <w:trHeight w:val="181"/>
        </w:trPr>
        <w:tc>
          <w:tcPr>
            <w:tcW w:w="5260" w:type="dxa"/>
            <w:vAlign w:val="bottom"/>
          </w:tcPr>
          <w:p>
            <w:pPr>
              <w:ind w:left="280"/>
              <w:spacing w:after="0" w:line="181" w:lineRule="exact"/>
              <w:rPr>
                <w:sz w:val="20"/>
                <w:szCs w:val="20"/>
                <w:color w:val="auto"/>
              </w:rPr>
            </w:pPr>
            <w:r>
              <w:rPr>
                <w:rFonts w:ascii="Arial" w:cs="Arial" w:eastAsia="Arial" w:hAnsi="Arial"/>
                <w:sz w:val="16"/>
                <w:szCs w:val="16"/>
                <w:color w:val="auto"/>
              </w:rPr>
              <w:t>Unrealized gain due to valuation of investments at fair value through</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5260" w:type="dxa"/>
            <w:vAlign w:val="bottom"/>
          </w:tcPr>
          <w:p>
            <w:pPr>
              <w:ind w:left="280"/>
              <w:spacing w:after="0" w:line="181" w:lineRule="exact"/>
              <w:rPr>
                <w:sz w:val="20"/>
                <w:szCs w:val="20"/>
                <w:color w:val="auto"/>
              </w:rPr>
            </w:pPr>
            <w:r>
              <w:rPr>
                <w:rFonts w:ascii="Arial" w:cs="Arial" w:eastAsia="Arial" w:hAnsi="Arial"/>
                <w:sz w:val="16"/>
                <w:szCs w:val="16"/>
                <w:color w:val="auto"/>
              </w:rPr>
              <w:t>other comprehensive income</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(17,305)</w:t>
            </w:r>
          </w:p>
        </w:tc>
        <w:tc>
          <w:tcPr>
            <w:tcW w:w="14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(13,846)</w:t>
            </w:r>
          </w:p>
        </w:tc>
        <w:tc>
          <w:tcPr>
            <w:tcW w:w="1280" w:type="dxa"/>
            <w:vAlign w:val="bottom"/>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w:t>
            </w:r>
          </w:p>
        </w:tc>
      </w:tr>
      <w:tr>
        <w:trPr>
          <w:trHeight w:val="181"/>
        </w:trPr>
        <w:tc>
          <w:tcPr>
            <w:tcW w:w="5260" w:type="dxa"/>
            <w:vAlign w:val="bottom"/>
          </w:tcPr>
          <w:p>
            <w:pPr>
              <w:ind w:left="280"/>
              <w:spacing w:after="0" w:line="181" w:lineRule="exact"/>
              <w:rPr>
                <w:sz w:val="20"/>
                <w:szCs w:val="20"/>
                <w:color w:val="auto"/>
              </w:rPr>
            </w:pPr>
            <w:r>
              <w:rPr>
                <w:rFonts w:ascii="Arial" w:cs="Arial" w:eastAsia="Arial" w:hAnsi="Arial"/>
                <w:sz w:val="16"/>
                <w:szCs w:val="16"/>
                <w:color w:val="auto"/>
              </w:rPr>
              <w:t>Deferred acquisitions costs - DAC</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(9,446)</w:t>
            </w:r>
          </w:p>
        </w:tc>
        <w:tc>
          <w:tcPr>
            <w:tcW w:w="14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(8,277)</w:t>
            </w:r>
          </w:p>
        </w:tc>
        <w:tc>
          <w:tcPr>
            <w:tcW w:w="1280" w:type="dxa"/>
            <w:vAlign w:val="bottom"/>
          </w:tcPr>
          <w:p>
            <w:pPr>
              <w:jc w:val="right"/>
              <w:spacing w:after="0" w:line="181" w:lineRule="exact"/>
              <w:rPr>
                <w:sz w:val="20"/>
                <w:szCs w:val="20"/>
                <w:color w:val="auto"/>
              </w:rPr>
            </w:pPr>
            <w:r>
              <w:rPr>
                <w:rFonts w:ascii="Arial" w:cs="Arial" w:eastAsia="Arial" w:hAnsi="Arial"/>
                <w:sz w:val="16"/>
                <w:szCs w:val="16"/>
                <w:color w:val="auto"/>
              </w:rPr>
              <w:t>(1,169)</w:t>
            </w:r>
          </w:p>
        </w:tc>
        <w:tc>
          <w:tcPr>
            <w:tcW w:w="134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(91)</w:t>
            </w:r>
          </w:p>
        </w:tc>
      </w:tr>
      <w:tr>
        <w:trPr>
          <w:trHeight w:val="181"/>
        </w:trPr>
        <w:tc>
          <w:tcPr>
            <w:tcW w:w="5260" w:type="dxa"/>
            <w:vAlign w:val="bottom"/>
          </w:tcPr>
          <w:p>
            <w:pPr>
              <w:ind w:left="280"/>
              <w:spacing w:after="0" w:line="181" w:lineRule="exact"/>
              <w:rPr>
                <w:sz w:val="20"/>
                <w:szCs w:val="20"/>
                <w:color w:val="auto"/>
              </w:rPr>
            </w:pPr>
            <w:r>
              <w:rPr>
                <w:rFonts w:ascii="Arial" w:cs="Arial" w:eastAsia="Arial" w:hAnsi="Arial"/>
                <w:sz w:val="16"/>
                <w:szCs w:val="16"/>
                <w:color w:val="auto"/>
              </w:rPr>
              <w:t>Gain generated in the reorganization of Pacífico EPS</w:t>
            </w:r>
          </w:p>
        </w:tc>
        <w:tc>
          <w:tcPr>
            <w:tcW w:w="100" w:type="dxa"/>
            <w:vAlign w:val="bottom"/>
          </w:tcPr>
          <w:p>
            <w:pPr>
              <w:spacing w:after="0"/>
              <w:rPr>
                <w:sz w:val="15"/>
                <w:szCs w:val="15"/>
                <w:color w:val="auto"/>
              </w:rPr>
            </w:pPr>
          </w:p>
        </w:tc>
        <w:tc>
          <w:tcPr>
            <w:tcW w:w="1240" w:type="dxa"/>
            <w:vAlign w:val="bottom"/>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(39,515)</w:t>
            </w:r>
          </w:p>
        </w:tc>
        <w:tc>
          <w:tcPr>
            <w:tcW w:w="1280" w:type="dxa"/>
            <w:vAlign w:val="bottom"/>
          </w:tcPr>
          <w:p>
            <w:pPr>
              <w:jc w:val="right"/>
              <w:ind w:right="60"/>
              <w:spacing w:after="0" w:line="181" w:lineRule="exact"/>
              <w:rPr>
                <w:sz w:val="20"/>
                <w:szCs w:val="20"/>
                <w:color w:val="auto"/>
              </w:rPr>
            </w:pPr>
            <w:r>
              <w:rPr>
                <w:rFonts w:ascii="Arial" w:cs="Arial" w:eastAsia="Arial" w:hAnsi="Arial"/>
                <w:sz w:val="16"/>
                <w:szCs w:val="16"/>
                <w:color w:val="auto"/>
              </w:rPr>
              <w:t>39,515</w:t>
            </w:r>
          </w:p>
        </w:tc>
        <w:tc>
          <w:tcPr>
            <w:tcW w:w="134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w:t>
            </w:r>
          </w:p>
        </w:tc>
      </w:tr>
      <w:tr>
        <w:trPr>
          <w:trHeight w:val="202"/>
        </w:trPr>
        <w:tc>
          <w:tcPr>
            <w:tcW w:w="5260" w:type="dxa"/>
            <w:vAlign w:val="bottom"/>
          </w:tcPr>
          <w:p>
            <w:pPr>
              <w:ind w:left="280"/>
              <w:spacing w:after="0"/>
              <w:rPr>
                <w:sz w:val="20"/>
                <w:szCs w:val="20"/>
                <w:color w:val="auto"/>
              </w:rPr>
            </w:pPr>
            <w:r>
              <w:rPr>
                <w:rFonts w:ascii="Arial" w:cs="Arial" w:eastAsia="Arial" w:hAnsi="Arial"/>
                <w:sz w:val="16"/>
                <w:szCs w:val="16"/>
                <w:color w:val="auto"/>
              </w:rPr>
              <w:t>Others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(43,394)</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(31,437)</w:t>
            </w:r>
          </w:p>
        </w:tc>
        <w:tc>
          <w:tcPr>
            <w:tcW w:w="1280" w:type="dxa"/>
            <w:vAlign w:val="bottom"/>
          </w:tcPr>
          <w:p>
            <w:pPr>
              <w:jc w:val="right"/>
              <w:spacing w:after="0"/>
              <w:rPr>
                <w:sz w:val="20"/>
                <w:szCs w:val="20"/>
                <w:color w:val="auto"/>
              </w:rPr>
            </w:pPr>
            <w:r>
              <w:rPr>
                <w:rFonts w:ascii="Arial" w:cs="Arial" w:eastAsia="Arial" w:hAnsi="Arial"/>
                <w:sz w:val="16"/>
                <w:szCs w:val="16"/>
                <w:color w:val="auto"/>
              </w:rPr>
              <w:t>(109,990)</w:t>
            </w: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19,602</w:t>
            </w:r>
          </w:p>
        </w:tc>
      </w:tr>
      <w:tr>
        <w:trPr>
          <w:trHeight w:val="185"/>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(376,939)</w:t>
            </w:r>
          </w:p>
        </w:tc>
        <w:tc>
          <w:tcPr>
            <w:tcW w:w="12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(59,025</w:t>
            </w:r>
          </w:p>
        </w:tc>
        <w:tc>
          <w:tcPr>
            <w:tcW w:w="220" w:type="dxa"/>
            <w:vAlign w:val="bottom"/>
          </w:tcPr>
          <w:p>
            <w:pPr>
              <w:jc w:val="right"/>
              <w:ind w:right="80"/>
              <w:spacing w:after="0" w:line="181" w:lineRule="exact"/>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(61,957)</w:t>
            </w:r>
          </w:p>
        </w:tc>
        <w:tc>
          <w:tcPr>
            <w:tcW w:w="124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11,716</w:t>
            </w:r>
          </w:p>
        </w:tc>
        <w:tc>
          <w:tcPr>
            <w:tcW w:w="100" w:type="dxa"/>
            <w:vAlign w:val="bottom"/>
          </w:tcPr>
          <w:p>
            <w:pPr>
              <w:spacing w:after="0"/>
              <w:rPr>
                <w:sz w:val="16"/>
                <w:szCs w:val="16"/>
                <w:color w:val="auto"/>
              </w:rPr>
            </w:pPr>
          </w:p>
        </w:tc>
      </w:tr>
      <w:tr>
        <w:trPr>
          <w:trHeight w:val="366"/>
        </w:trPr>
        <w:tc>
          <w:tcPr>
            <w:tcW w:w="5260" w:type="dxa"/>
            <w:vAlign w:val="bottom"/>
          </w:tcPr>
          <w:p>
            <w:pPr>
              <w:spacing w:after="0"/>
              <w:rPr>
                <w:sz w:val="20"/>
                <w:szCs w:val="20"/>
                <w:color w:val="auto"/>
              </w:rPr>
            </w:pPr>
            <w:r>
              <w:rPr>
                <w:rFonts w:ascii="Arial" w:cs="Arial" w:eastAsia="Arial" w:hAnsi="Arial"/>
                <w:sz w:val="16"/>
                <w:szCs w:val="16"/>
                <w:color w:val="auto"/>
              </w:rPr>
              <w:t>d)  Reconciliation of net deferred tax assets and liabilities:</w:t>
            </w: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5260" w:type="dxa"/>
            <w:vAlign w:val="bottom"/>
          </w:tcPr>
          <w:p>
            <w:pPr>
              <w:spacing w:after="0"/>
              <w:rPr>
                <w:sz w:val="24"/>
                <w:szCs w:val="24"/>
                <w:color w:val="auto"/>
              </w:rPr>
            </w:pPr>
          </w:p>
        </w:tc>
        <w:tc>
          <w:tcPr>
            <w:tcW w:w="2760" w:type="dxa"/>
            <w:vAlign w:val="bottom"/>
            <w:gridSpan w:val="4"/>
          </w:tcPr>
          <w:p>
            <w:pPr>
              <w:jc w:val="right"/>
              <w:ind w:right="1120"/>
              <w:spacing w:after="0"/>
              <w:rPr>
                <w:sz w:val="20"/>
                <w:szCs w:val="20"/>
                <w:color w:val="auto"/>
              </w:rPr>
            </w:pPr>
            <w:r>
              <w:rPr>
                <w:rFonts w:ascii="Arial" w:cs="Arial" w:eastAsia="Arial" w:hAnsi="Arial"/>
                <w:sz w:val="16"/>
                <w:szCs w:val="16"/>
                <w:b w:val="1"/>
                <w:bCs w:val="1"/>
                <w:color w:val="auto"/>
              </w:rPr>
              <w:t>Deferred asset, net</w:t>
            </w:r>
          </w:p>
        </w:tc>
        <w:tc>
          <w:tcPr>
            <w:tcW w:w="2620" w:type="dxa"/>
            <w:vAlign w:val="bottom"/>
            <w:gridSpan w:val="4"/>
          </w:tcPr>
          <w:p>
            <w:pPr>
              <w:spacing w:after="0"/>
              <w:rPr>
                <w:sz w:val="20"/>
                <w:szCs w:val="20"/>
                <w:color w:val="auto"/>
              </w:rPr>
            </w:pPr>
            <w:r>
              <w:rPr>
                <w:rFonts w:ascii="Arial" w:cs="Arial" w:eastAsia="Arial" w:hAnsi="Arial"/>
                <w:sz w:val="16"/>
                <w:szCs w:val="16"/>
                <w:b w:val="1"/>
                <w:bCs w:val="1"/>
                <w:color w:val="auto"/>
              </w:rPr>
              <w:t>Deferred liability, net</w:t>
            </w:r>
          </w:p>
        </w:tc>
      </w:tr>
      <w:tr>
        <w:trPr>
          <w:trHeight w:val="173"/>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2025</w:t>
            </w:r>
          </w:p>
        </w:tc>
        <w:tc>
          <w:tcPr>
            <w:tcW w:w="1200" w:type="dxa"/>
            <w:vAlign w:val="bottom"/>
            <w:tcBorders>
              <w:top w:val="single" w:sz="8" w:color="auto"/>
              <w:bottom w:val="single" w:sz="8" w:color="auto"/>
            </w:tcBorders>
          </w:tcPr>
          <w:p>
            <w:pPr>
              <w:ind w:left="80"/>
              <w:spacing w:after="0" w:line="173"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128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rPr>
              <w:t>2025</w:t>
            </w:r>
          </w:p>
        </w:tc>
        <w:tc>
          <w:tcPr>
            <w:tcW w:w="1220" w:type="dxa"/>
            <w:vAlign w:val="bottom"/>
            <w:tcBorders>
              <w:top w:val="single" w:sz="8" w:color="auto"/>
              <w:bottom w:val="single" w:sz="8" w:color="auto"/>
            </w:tcBorders>
          </w:tcPr>
          <w:p>
            <w:pPr>
              <w:ind w:left="80"/>
              <w:spacing w:after="0" w:line="173"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1200" w:type="dxa"/>
            <w:vAlign w:val="bottom"/>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3"/>
                <w:szCs w:val="13"/>
                <w:color w:val="auto"/>
              </w:rPr>
            </w:pPr>
          </w:p>
        </w:tc>
        <w:tc>
          <w:tcPr>
            <w:tcW w:w="128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1220" w:type="dxa"/>
            <w:vAlign w:val="bottom"/>
          </w:tcPr>
          <w:p>
            <w:pPr>
              <w:ind w:left="80"/>
              <w:spacing w:after="0" w:line="156" w:lineRule="exact"/>
              <w:rPr>
                <w:sz w:val="20"/>
                <w:szCs w:val="20"/>
                <w:color w:val="auto"/>
              </w:rPr>
            </w:pPr>
            <w:r>
              <w:rPr>
                <w:rFonts w:ascii="Arial" w:cs="Arial" w:eastAsia="Arial" w:hAnsi="Arial"/>
                <w:sz w:val="16"/>
                <w:szCs w:val="16"/>
                <w:b w:val="1"/>
                <w:bCs w:val="1"/>
                <w:color w:val="auto"/>
              </w:rPr>
              <w:t>S/(000)</w:t>
            </w:r>
          </w:p>
        </w:tc>
        <w:tc>
          <w:tcPr>
            <w:tcW w:w="120" w:type="dxa"/>
            <w:vAlign w:val="bottom"/>
            <w:gridSpan w:val="2"/>
          </w:tcPr>
          <w:p>
            <w:pPr>
              <w:spacing w:after="0"/>
              <w:rPr>
                <w:sz w:val="13"/>
                <w:szCs w:val="13"/>
                <w:color w:val="auto"/>
              </w:rPr>
            </w:pPr>
          </w:p>
        </w:tc>
      </w:tr>
      <w:tr>
        <w:trPr>
          <w:trHeight w:val="222"/>
        </w:trPr>
        <w:tc>
          <w:tcPr>
            <w:tcW w:w="5260" w:type="dxa"/>
            <w:vAlign w:val="bottom"/>
          </w:tcPr>
          <w:p>
            <w:pPr>
              <w:ind w:left="280"/>
              <w:spacing w:after="0"/>
              <w:rPr>
                <w:sz w:val="20"/>
                <w:szCs w:val="20"/>
                <w:color w:val="auto"/>
              </w:rPr>
            </w:pPr>
            <w:r>
              <w:rPr>
                <w:rFonts w:ascii="Arial" w:cs="Arial" w:eastAsia="Arial" w:hAnsi="Arial"/>
                <w:sz w:val="16"/>
                <w:szCs w:val="16"/>
                <w:b w:val="1"/>
                <w:bCs w:val="1"/>
                <w:color w:val="auto"/>
              </w:rPr>
              <w:t>Balance as of January 1</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1,170,866</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1,182,195</w:t>
            </w:r>
          </w:p>
        </w:tc>
        <w:tc>
          <w:tcPr>
            <w:tcW w:w="1280" w:type="dxa"/>
            <w:vAlign w:val="bottom"/>
          </w:tcPr>
          <w:p>
            <w:pPr>
              <w:jc w:val="right"/>
              <w:spacing w:after="0"/>
              <w:rPr>
                <w:sz w:val="20"/>
                <w:szCs w:val="20"/>
                <w:color w:val="auto"/>
              </w:rPr>
            </w:pPr>
            <w:r>
              <w:rPr>
                <w:rFonts w:ascii="Arial" w:cs="Arial" w:eastAsia="Arial" w:hAnsi="Arial"/>
                <w:sz w:val="16"/>
                <w:szCs w:val="16"/>
                <w:color w:val="auto"/>
              </w:rPr>
              <w:t>(59,025)</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(107,517)</w:t>
            </w:r>
          </w:p>
        </w:tc>
      </w:tr>
      <w:tr>
        <w:trPr>
          <w:trHeight w:val="354"/>
        </w:trPr>
        <w:tc>
          <w:tcPr>
            <w:tcW w:w="5260" w:type="dxa"/>
            <w:vAlign w:val="bottom"/>
          </w:tcPr>
          <w:p>
            <w:pPr>
              <w:ind w:left="280"/>
              <w:spacing w:after="0"/>
              <w:rPr>
                <w:sz w:val="20"/>
                <w:szCs w:val="20"/>
                <w:color w:val="auto"/>
              </w:rPr>
            </w:pPr>
            <w:r>
              <w:rPr>
                <w:rFonts w:ascii="Arial" w:cs="Arial" w:eastAsia="Arial" w:hAnsi="Arial"/>
                <w:sz w:val="16"/>
                <w:szCs w:val="16"/>
                <w:color w:val="auto"/>
              </w:rPr>
              <w:t>Income tax (expense)/income for the year recognized in profit or loss</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187,681</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43,227</w:t>
            </w:r>
          </w:p>
        </w:tc>
        <w:tc>
          <w:tcPr>
            <w:tcW w:w="1280" w:type="dxa"/>
            <w:vAlign w:val="bottom"/>
          </w:tcPr>
          <w:p>
            <w:pPr>
              <w:jc w:val="right"/>
              <w:spacing w:after="0"/>
              <w:rPr>
                <w:sz w:val="20"/>
                <w:szCs w:val="20"/>
                <w:color w:val="auto"/>
              </w:rPr>
            </w:pPr>
            <w:r>
              <w:rPr>
                <w:rFonts w:ascii="Arial" w:cs="Arial" w:eastAsia="Arial" w:hAnsi="Arial"/>
                <w:sz w:val="16"/>
                <w:szCs w:val="16"/>
                <w:color w:val="auto"/>
              </w:rPr>
              <w:t>(61,957)</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11,716</w:t>
            </w:r>
          </w:p>
        </w:tc>
        <w:tc>
          <w:tcPr>
            <w:tcW w:w="100" w:type="dxa"/>
            <w:vAlign w:val="bottom"/>
          </w:tcPr>
          <w:p>
            <w:pPr>
              <w:spacing w:after="0"/>
              <w:rPr>
                <w:sz w:val="24"/>
                <w:szCs w:val="24"/>
                <w:color w:val="auto"/>
              </w:rPr>
            </w:pPr>
          </w:p>
        </w:tc>
      </w:tr>
      <w:tr>
        <w:trPr>
          <w:trHeight w:val="329"/>
        </w:trPr>
        <w:tc>
          <w:tcPr>
            <w:tcW w:w="5260" w:type="dxa"/>
            <w:vAlign w:val="bottom"/>
          </w:tcPr>
          <w:p>
            <w:pPr>
              <w:ind w:left="280"/>
              <w:spacing w:after="0"/>
              <w:rPr>
                <w:sz w:val="20"/>
                <w:szCs w:val="20"/>
                <w:color w:val="auto"/>
              </w:rPr>
            </w:pPr>
            <w:r>
              <w:rPr>
                <w:rFonts w:ascii="Arial" w:cs="Arial" w:eastAsia="Arial" w:hAnsi="Arial"/>
                <w:sz w:val="16"/>
                <w:szCs w:val="16"/>
                <w:color w:val="auto"/>
              </w:rPr>
              <w:t>Income tax (expense)/income for the year recognized in other</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5260" w:type="dxa"/>
            <w:vAlign w:val="bottom"/>
          </w:tcPr>
          <w:p>
            <w:pPr>
              <w:ind w:left="280"/>
              <w:spacing w:after="0"/>
              <w:rPr>
                <w:sz w:val="20"/>
                <w:szCs w:val="20"/>
                <w:color w:val="auto"/>
              </w:rPr>
            </w:pPr>
            <w:r>
              <w:rPr>
                <w:rFonts w:ascii="Arial" w:cs="Arial" w:eastAsia="Arial" w:hAnsi="Arial"/>
                <w:sz w:val="16"/>
                <w:szCs w:val="16"/>
                <w:color w:val="auto"/>
              </w:rPr>
              <w:t>comprehensive income (OCI)</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18,065</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(22,719)</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2,180</w:t>
            </w: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32,246</w:t>
            </w:r>
          </w:p>
        </w:tc>
      </w:tr>
      <w:tr>
        <w:trPr>
          <w:trHeight w:val="362"/>
        </w:trPr>
        <w:tc>
          <w:tcPr>
            <w:tcW w:w="5260" w:type="dxa"/>
            <w:vAlign w:val="bottom"/>
          </w:tcPr>
          <w:p>
            <w:pPr>
              <w:ind w:left="280"/>
              <w:spacing w:after="0"/>
              <w:rPr>
                <w:sz w:val="20"/>
                <w:szCs w:val="20"/>
                <w:color w:val="auto"/>
              </w:rPr>
            </w:pPr>
            <w:r>
              <w:rPr>
                <w:rFonts w:ascii="Arial" w:cs="Arial" w:eastAsia="Arial" w:hAnsi="Arial"/>
                <w:sz w:val="16"/>
                <w:szCs w:val="16"/>
                <w:color w:val="auto"/>
              </w:rPr>
              <w:t>Deferred income tax arising from EPS and subsidiaries, Note 2(a)</w:t>
            </w:r>
          </w:p>
        </w:tc>
        <w:tc>
          <w:tcPr>
            <w:tcW w:w="10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(2,375)</w:t>
            </w: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329"/>
        </w:trPr>
        <w:tc>
          <w:tcPr>
            <w:tcW w:w="5260" w:type="dxa"/>
            <w:vAlign w:val="bottom"/>
          </w:tcPr>
          <w:p>
            <w:pPr>
              <w:ind w:left="280"/>
              <w:spacing w:after="0"/>
              <w:rPr>
                <w:sz w:val="20"/>
                <w:szCs w:val="20"/>
                <w:color w:val="auto"/>
              </w:rPr>
            </w:pPr>
            <w:r>
              <w:rPr>
                <w:rFonts w:ascii="Arial" w:cs="Arial" w:eastAsia="Arial" w:hAnsi="Arial"/>
                <w:sz w:val="16"/>
                <w:szCs w:val="16"/>
                <w:color w:val="auto"/>
              </w:rPr>
              <w:t>Deferred taxes acquired in a business combination, Note 2(a)</w:t>
            </w:r>
          </w:p>
        </w:tc>
        <w:tc>
          <w:tcPr>
            <w:tcW w:w="10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(262,667)</w:t>
            </w: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202"/>
        </w:trPr>
        <w:tc>
          <w:tcPr>
            <w:tcW w:w="5260" w:type="dxa"/>
            <w:vAlign w:val="bottom"/>
          </w:tcPr>
          <w:p>
            <w:pPr>
              <w:ind w:left="280"/>
              <w:spacing w:after="0"/>
              <w:rPr>
                <w:sz w:val="20"/>
                <w:szCs w:val="20"/>
                <w:color w:val="auto"/>
              </w:rPr>
            </w:pPr>
            <w:r>
              <w:rPr>
                <w:rFonts w:ascii="Arial" w:cs="Arial" w:eastAsia="Arial" w:hAnsi="Arial"/>
                <w:sz w:val="16"/>
                <w:szCs w:val="16"/>
                <w:color w:val="auto"/>
              </w:rPr>
              <w:t>Foreign exchange effect and others</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15,024</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(31,837)</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6,905</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4,530</w:t>
            </w:r>
          </w:p>
        </w:tc>
        <w:tc>
          <w:tcPr>
            <w:tcW w:w="100" w:type="dxa"/>
            <w:vAlign w:val="bottom"/>
          </w:tcPr>
          <w:p>
            <w:pPr>
              <w:spacing w:after="0"/>
              <w:rPr>
                <w:sz w:val="17"/>
                <w:szCs w:val="17"/>
                <w:color w:val="auto"/>
              </w:rPr>
            </w:pPr>
          </w:p>
        </w:tc>
      </w:tr>
      <w:tr>
        <w:trPr>
          <w:trHeight w:val="185"/>
        </w:trPr>
        <w:tc>
          <w:tcPr>
            <w:tcW w:w="5260" w:type="dxa"/>
            <w:vAlign w:val="bottom"/>
          </w:tcPr>
          <w:p>
            <w:pPr>
              <w:ind w:left="280"/>
              <w:spacing w:after="0" w:line="181" w:lineRule="exact"/>
              <w:rPr>
                <w:sz w:val="20"/>
                <w:szCs w:val="20"/>
                <w:color w:val="auto"/>
              </w:rPr>
            </w:pPr>
            <w:r>
              <w:rPr>
                <w:rFonts w:ascii="Arial" w:cs="Arial" w:eastAsia="Arial" w:hAnsi="Arial"/>
                <w:sz w:val="16"/>
                <w:szCs w:val="16"/>
                <w:b w:val="1"/>
                <w:bCs w:val="1"/>
                <w:color w:val="auto"/>
              </w:rPr>
              <w:t>Balance as of December 31</w:t>
            </w:r>
          </w:p>
        </w:tc>
        <w:tc>
          <w:tcPr>
            <w:tcW w:w="10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ind w:right="40"/>
              <w:spacing w:after="0" w:line="181" w:lineRule="exact"/>
              <w:rPr>
                <w:sz w:val="20"/>
                <w:szCs w:val="20"/>
                <w:color w:val="auto"/>
              </w:rPr>
            </w:pPr>
            <w:r>
              <w:rPr>
                <w:rFonts w:ascii="Arial" w:cs="Arial" w:eastAsia="Arial" w:hAnsi="Arial"/>
                <w:sz w:val="16"/>
                <w:szCs w:val="16"/>
                <w:color w:val="auto"/>
              </w:rPr>
              <w:t>1,391,636</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1,170,866</w:t>
            </w:r>
          </w:p>
        </w:tc>
        <w:tc>
          <w:tcPr>
            <w:tcW w:w="22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(376,939)</w:t>
            </w:r>
          </w:p>
        </w:tc>
        <w:tc>
          <w:tcPr>
            <w:tcW w:w="124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(59,025)</w:t>
            </w:r>
          </w:p>
        </w:tc>
        <w:tc>
          <w:tcPr>
            <w:tcW w:w="100" w:type="dxa"/>
            <w:vAlign w:val="bottom"/>
            <w:tcBorders>
              <w:bottom w:val="single" w:sz="8" w:color="auto"/>
            </w:tcBorders>
          </w:tcPr>
          <w:p>
            <w:pPr>
              <w:spacing w:after="0"/>
              <w:rPr>
                <w:sz w:val="16"/>
                <w:szCs w:val="16"/>
                <w:color w:val="auto"/>
              </w:rPr>
            </w:pPr>
          </w:p>
        </w:tc>
      </w:tr>
    </w:tbl>
    <w:p>
      <w:pPr>
        <w:spacing w:after="0" w:line="164" w:lineRule="exact"/>
        <w:rPr>
          <w:sz w:val="20"/>
          <w:szCs w:val="20"/>
          <w:color w:val="auto"/>
        </w:rPr>
      </w:pPr>
    </w:p>
    <w:p>
      <w:pPr>
        <w:ind w:left="280" w:right="200"/>
        <w:spacing w:after="0" w:line="255" w:lineRule="auto"/>
        <w:rPr>
          <w:sz w:val="20"/>
          <w:szCs w:val="20"/>
          <w:color w:val="auto"/>
        </w:rPr>
      </w:pPr>
      <w:r>
        <w:rPr>
          <w:rFonts w:ascii="Arial" w:cs="Arial" w:eastAsia="Arial" w:hAnsi="Arial"/>
          <w:sz w:val="16"/>
          <w:szCs w:val="16"/>
          <w:color w:val="auto"/>
        </w:rPr>
        <w:t>The Group has recorded a deferred asset corresponding to accumulated tax losses, such losses relate to subsidiaries that have a history of tax loss carryforwards and will be offset against future taxable profits. This benefit cannot be offset against future taxable profits of other Group companies.</w:t>
      </w:r>
    </w:p>
    <w:p>
      <w:pPr>
        <w:spacing w:after="0" w:line="294"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40"/>
          </w:cols>
          <w:pgMar w:left="900" w:top="301" w:right="359" w:bottom="1440" w:gutter="0" w:footer="0" w:header="0"/>
        </w:sectPr>
      </w:pPr>
    </w:p>
    <w:bookmarkStart w:id="115" w:name="page116"/>
    <w:bookmarkEnd w:id="115"/>
    <w:p>
      <w:pPr>
        <w:ind w:left="284" w:right="60" w:hanging="284"/>
        <w:spacing w:after="0" w:line="245" w:lineRule="auto"/>
        <w:tabs>
          <w:tab w:leader="none" w:pos="28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Tax Authority in Peru is the National Superintendency of Customs and Tax Administration (Superintendencia Nacional de Aduanas y de Administración Tributaria – SUNAT). The Peruvian Tax Authority is entitled to review and, if necessary, request amendments to the annual tax returns of the subsidiaries established in Peru within four years after the year of their filing. However, this statute of limitations may be suspended in accordance with the criteria set forth in Peruvian tax legislation. The annual tax returns of the subsidiaries that are still open to review by the Peruvian Tax Authority are as follows:</w:t>
      </w:r>
    </w:p>
    <w:p>
      <w:pPr>
        <w:spacing w:after="0" w:line="144" w:lineRule="exact"/>
        <w:rPr>
          <w:sz w:val="20"/>
          <w:szCs w:val="20"/>
          <w:color w:val="auto"/>
        </w:rPr>
      </w:pPr>
    </w:p>
    <w:tbl>
      <w:tblPr>
        <w:tblLayout w:type="fixed"/>
        <w:tblInd w:w="344" w:type="dxa"/>
        <w:tblCellMar>
          <w:top w:w="0" w:type="dxa"/>
          <w:left w:w="0" w:type="dxa"/>
          <w:bottom w:w="0" w:type="dxa"/>
          <w:right w:w="0" w:type="dxa"/>
        </w:tblCellMar>
      </w:tblPr>
      <w:tr>
        <w:trPr>
          <w:trHeight w:val="184"/>
        </w:trPr>
        <w:tc>
          <w:tcPr>
            <w:tcW w:w="6520" w:type="dxa"/>
            <w:vAlign w:val="bottom"/>
          </w:tcPr>
          <w:p>
            <w:pPr>
              <w:spacing w:after="0"/>
              <w:rPr>
                <w:sz w:val="20"/>
                <w:szCs w:val="20"/>
                <w:color w:val="auto"/>
              </w:rPr>
            </w:pPr>
            <w:r>
              <w:rPr>
                <w:rFonts w:ascii="Arial" w:cs="Arial" w:eastAsia="Arial" w:hAnsi="Arial"/>
                <w:sz w:val="16"/>
                <w:szCs w:val="16"/>
                <w:color w:val="auto"/>
              </w:rPr>
              <w:t>Banco de Crédito del Perú S.A. (*)</w:t>
            </w:r>
          </w:p>
        </w:tc>
        <w:tc>
          <w:tcPr>
            <w:tcW w:w="3780" w:type="dxa"/>
            <w:vAlign w:val="bottom"/>
          </w:tcPr>
          <w:p>
            <w:pPr>
              <w:jc w:val="right"/>
              <w:spacing w:after="0"/>
              <w:rPr>
                <w:sz w:val="20"/>
                <w:szCs w:val="20"/>
                <w:color w:val="auto"/>
              </w:rPr>
            </w:pPr>
            <w:r>
              <w:rPr>
                <w:rFonts w:ascii="Arial" w:cs="Arial" w:eastAsia="Arial" w:hAnsi="Arial"/>
                <w:sz w:val="16"/>
                <w:szCs w:val="16"/>
                <w:color w:val="auto"/>
              </w:rPr>
              <w:t>2021 - 2024</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Mibanco, Banco de la Microempresa S.A. (**)</w:t>
            </w:r>
          </w:p>
        </w:tc>
        <w:tc>
          <w:tcPr>
            <w:tcW w:w="3780" w:type="dxa"/>
            <w:vAlign w:val="bottom"/>
          </w:tcPr>
          <w:p>
            <w:pPr>
              <w:jc w:val="right"/>
              <w:spacing w:after="0" w:line="181" w:lineRule="exact"/>
              <w:rPr>
                <w:sz w:val="20"/>
                <w:szCs w:val="20"/>
                <w:color w:val="auto"/>
              </w:rPr>
            </w:pPr>
            <w:r>
              <w:rPr>
                <w:rFonts w:ascii="Arial" w:cs="Arial" w:eastAsia="Arial" w:hAnsi="Arial"/>
                <w:sz w:val="16"/>
                <w:szCs w:val="16"/>
                <w:color w:val="auto"/>
              </w:rPr>
              <w:t>2023 - 2024</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Pacífico Compañía de Seguros y Reaseguros (***)</w:t>
            </w:r>
          </w:p>
        </w:tc>
        <w:tc>
          <w:tcPr>
            <w:tcW w:w="3780" w:type="dxa"/>
            <w:vAlign w:val="bottom"/>
          </w:tcPr>
          <w:p>
            <w:pPr>
              <w:jc w:val="right"/>
              <w:spacing w:after="0" w:line="181" w:lineRule="exact"/>
              <w:rPr>
                <w:sz w:val="20"/>
                <w:szCs w:val="20"/>
                <w:color w:val="auto"/>
              </w:rPr>
            </w:pPr>
            <w:r>
              <w:rPr>
                <w:rFonts w:ascii="Arial" w:cs="Arial" w:eastAsia="Arial" w:hAnsi="Arial"/>
                <w:sz w:val="16"/>
                <w:szCs w:val="16"/>
                <w:color w:val="auto"/>
              </w:rPr>
              <w:t>2021 - 2024</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Credicorp Capital Servicios Financieros</w:t>
            </w:r>
          </w:p>
        </w:tc>
        <w:tc>
          <w:tcPr>
            <w:tcW w:w="3780" w:type="dxa"/>
            <w:vAlign w:val="bottom"/>
          </w:tcPr>
          <w:p>
            <w:pPr>
              <w:jc w:val="right"/>
              <w:spacing w:after="0" w:line="181" w:lineRule="exact"/>
              <w:rPr>
                <w:sz w:val="20"/>
                <w:szCs w:val="20"/>
                <w:color w:val="auto"/>
              </w:rPr>
            </w:pPr>
            <w:r>
              <w:rPr>
                <w:rFonts w:ascii="Arial" w:cs="Arial" w:eastAsia="Arial" w:hAnsi="Arial"/>
                <w:sz w:val="16"/>
                <w:szCs w:val="16"/>
                <w:color w:val="auto"/>
              </w:rPr>
              <w:t>2022 - 2024</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Credicorp Capital Perú (****)</w:t>
            </w:r>
          </w:p>
        </w:tc>
        <w:tc>
          <w:tcPr>
            <w:tcW w:w="3780" w:type="dxa"/>
            <w:vAlign w:val="bottom"/>
          </w:tcPr>
          <w:p>
            <w:pPr>
              <w:jc w:val="right"/>
              <w:spacing w:after="0" w:line="181" w:lineRule="exact"/>
              <w:rPr>
                <w:sz w:val="20"/>
                <w:szCs w:val="20"/>
                <w:color w:val="auto"/>
              </w:rPr>
            </w:pPr>
            <w:r>
              <w:rPr>
                <w:rFonts w:ascii="Arial" w:cs="Arial" w:eastAsia="Arial" w:hAnsi="Arial"/>
                <w:sz w:val="16"/>
                <w:szCs w:val="16"/>
                <w:color w:val="auto"/>
              </w:rPr>
              <w:t>2022 - 2024</w:t>
            </w:r>
          </w:p>
        </w:tc>
      </w:tr>
      <w:tr>
        <w:trPr>
          <w:trHeight w:val="214"/>
        </w:trPr>
        <w:tc>
          <w:tcPr>
            <w:tcW w:w="6520" w:type="dxa"/>
            <w:vAlign w:val="bottom"/>
          </w:tcPr>
          <w:p>
            <w:pPr>
              <w:spacing w:after="0"/>
              <w:rPr>
                <w:sz w:val="20"/>
                <w:szCs w:val="20"/>
                <w:color w:val="auto"/>
              </w:rPr>
            </w:pPr>
            <w:r>
              <w:rPr>
                <w:rFonts w:ascii="Arial" w:cs="Arial" w:eastAsia="Arial" w:hAnsi="Arial"/>
                <w:sz w:val="16"/>
                <w:szCs w:val="16"/>
                <w:color w:val="auto"/>
              </w:rPr>
              <w:t>Grupo Crédito</w:t>
            </w:r>
          </w:p>
        </w:tc>
        <w:tc>
          <w:tcPr>
            <w:tcW w:w="3780" w:type="dxa"/>
            <w:vAlign w:val="bottom"/>
          </w:tcPr>
          <w:p>
            <w:pPr>
              <w:jc w:val="right"/>
              <w:spacing w:after="0"/>
              <w:rPr>
                <w:sz w:val="20"/>
                <w:szCs w:val="20"/>
                <w:color w:val="auto"/>
              </w:rPr>
            </w:pPr>
            <w:r>
              <w:rPr>
                <w:rFonts w:ascii="Arial" w:cs="Arial" w:eastAsia="Arial" w:hAnsi="Arial"/>
                <w:sz w:val="16"/>
                <w:szCs w:val="16"/>
                <w:color w:val="auto"/>
              </w:rPr>
              <w:t>2021 - 2024</w:t>
            </w:r>
          </w:p>
        </w:tc>
      </w:tr>
    </w:tbl>
    <w:p>
      <w:pPr>
        <w:spacing w:after="0" w:line="148" w:lineRule="exact"/>
        <w:rPr>
          <w:sz w:val="20"/>
          <w:szCs w:val="20"/>
          <w:color w:val="auto"/>
        </w:rPr>
      </w:pPr>
    </w:p>
    <w:p>
      <w:pPr>
        <w:ind w:left="284"/>
        <w:spacing w:after="0"/>
        <w:rPr>
          <w:sz w:val="20"/>
          <w:szCs w:val="20"/>
          <w:color w:val="auto"/>
        </w:rPr>
      </w:pPr>
      <w:r>
        <w:rPr>
          <w:rFonts w:ascii="Arial" w:cs="Arial" w:eastAsia="Arial" w:hAnsi="Arial"/>
          <w:sz w:val="16"/>
          <w:szCs w:val="16"/>
          <w:color w:val="auto"/>
        </w:rPr>
        <w:t>It is worth noting that the Tax Authority is currently auditing the Company’s income tax returns, with the following exceptions and updates:</w:t>
      </w:r>
    </w:p>
    <w:p>
      <w:pPr>
        <w:spacing w:after="0" w:line="178" w:lineRule="exact"/>
        <w:rPr>
          <w:sz w:val="20"/>
          <w:szCs w:val="20"/>
          <w:color w:val="auto"/>
        </w:rPr>
      </w:pPr>
    </w:p>
    <w:p>
      <w:pPr>
        <w:ind w:left="864" w:hanging="575"/>
        <w:spacing w:after="0"/>
        <w:tabs>
          <w:tab w:leader="none" w:pos="86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December 2025, the Tax Authority notified the commencement of the audit of the Corporate Income Tax for fiscal year 2021.</w:t>
      </w:r>
    </w:p>
    <w:p>
      <w:pPr>
        <w:spacing w:after="0" w:line="178" w:lineRule="exact"/>
        <w:rPr>
          <w:sz w:val="20"/>
          <w:szCs w:val="20"/>
          <w:color w:val="auto"/>
        </w:rPr>
      </w:pPr>
    </w:p>
    <w:p>
      <w:pPr>
        <w:ind w:left="864" w:right="60" w:hanging="575"/>
        <w:spacing w:after="0" w:line="274" w:lineRule="auto"/>
        <w:tabs>
          <w:tab w:leader="none" w:pos="86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of December 2, 2025, Mibanco was notified by the Tax Authority of the commencement of a tax audit related to Corporate Income Tax for fiscal year 2023. The audit procedure is currently ongoing.</w:t>
      </w:r>
    </w:p>
    <w:p>
      <w:pPr>
        <w:spacing w:after="0" w:line="123" w:lineRule="exact"/>
        <w:rPr>
          <w:sz w:val="20"/>
          <w:szCs w:val="20"/>
          <w:color w:val="auto"/>
        </w:rPr>
      </w:pPr>
    </w:p>
    <w:p>
      <w:pPr>
        <w:ind w:left="864" w:hanging="575"/>
        <w:spacing w:after="0"/>
        <w:tabs>
          <w:tab w:leader="none" w:pos="86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As of December 31, 2025, the Tax Authority is reviewing the income tax return for the 2021 fiscal year.</w:t>
      </w:r>
    </w:p>
    <w:p>
      <w:pPr>
        <w:spacing w:after="0" w:line="178" w:lineRule="exact"/>
        <w:rPr>
          <w:sz w:val="20"/>
          <w:szCs w:val="20"/>
          <w:color w:val="auto"/>
        </w:rPr>
      </w:pPr>
    </w:p>
    <w:p>
      <w:pPr>
        <w:ind w:left="284"/>
        <w:spacing w:after="0"/>
        <w:tabs>
          <w:tab w:leader="none" w:pos="844" w:val="left"/>
        </w:tabs>
        <w:rPr>
          <w:sz w:val="20"/>
          <w:szCs w:val="20"/>
          <w:color w:val="auto"/>
        </w:rPr>
      </w:pPr>
      <w:r>
        <w:rPr>
          <w:rFonts w:ascii="Arial" w:cs="Arial" w:eastAsia="Arial" w:hAnsi="Arial"/>
          <w:sz w:val="16"/>
          <w:szCs w:val="16"/>
          <w:color w:val="auto"/>
        </w:rPr>
        <w:t>(****)</w:t>
        <w:tab/>
        <w:t>The Tax Authority has reviewed the income tax return of Credicorp Capital Perú for the 2021 fiscal year.</w:t>
      </w:r>
    </w:p>
    <w:p>
      <w:pPr>
        <w:spacing w:after="0" w:line="178" w:lineRule="exact"/>
        <w:rPr>
          <w:sz w:val="20"/>
          <w:szCs w:val="20"/>
          <w:color w:val="auto"/>
        </w:rPr>
      </w:pPr>
    </w:p>
    <w:p>
      <w:pPr>
        <w:ind w:left="284" w:right="40"/>
        <w:spacing w:after="0" w:line="245" w:lineRule="auto"/>
        <w:rPr>
          <w:sz w:val="20"/>
          <w:szCs w:val="20"/>
          <w:color w:val="auto"/>
        </w:rPr>
      </w:pPr>
      <w:r>
        <w:rPr>
          <w:rFonts w:ascii="Arial" w:cs="Arial" w:eastAsia="Arial" w:hAnsi="Arial"/>
          <w:sz w:val="16"/>
          <w:szCs w:val="16"/>
          <w:color w:val="auto"/>
        </w:rPr>
        <w:t>The tax authorities of Bolivia and Colombia are empowered to review and, if applicable, issue new income tax assessments for Credicorp’s subsidiaries located in these countries. Local regulations also establish the timeframe within which such reviews may be conducted after the filing of the income tax returns.Additionally, in the case of Colombia, a six-year statute of limitations applies to taxpayers required to comply with Transfer Pricing regulations or to those that report tax losses. The annual income tax returns currently pending review by the foreign tax authorities are as follows:</w:t>
      </w:r>
    </w:p>
    <w:p>
      <w:pPr>
        <w:spacing w:after="0" w:line="144" w:lineRule="exact"/>
        <w:rPr>
          <w:sz w:val="20"/>
          <w:szCs w:val="20"/>
          <w:color w:val="auto"/>
        </w:rPr>
      </w:pPr>
    </w:p>
    <w:tbl>
      <w:tblPr>
        <w:tblLayout w:type="fixed"/>
        <w:tblInd w:w="344" w:type="dxa"/>
        <w:tblCellMar>
          <w:top w:w="0" w:type="dxa"/>
          <w:left w:w="0" w:type="dxa"/>
          <w:bottom w:w="0" w:type="dxa"/>
          <w:right w:w="0" w:type="dxa"/>
        </w:tblCellMar>
      </w:tblPr>
      <w:tr>
        <w:trPr>
          <w:trHeight w:val="184"/>
        </w:trPr>
        <w:tc>
          <w:tcPr>
            <w:tcW w:w="5820" w:type="dxa"/>
            <w:vAlign w:val="bottom"/>
          </w:tcPr>
          <w:p>
            <w:pPr>
              <w:spacing w:after="0"/>
              <w:rPr>
                <w:sz w:val="20"/>
                <w:szCs w:val="20"/>
                <w:color w:val="auto"/>
              </w:rPr>
            </w:pPr>
            <w:r>
              <w:rPr>
                <w:rFonts w:ascii="Arial" w:cs="Arial" w:eastAsia="Arial" w:hAnsi="Arial"/>
                <w:sz w:val="16"/>
                <w:szCs w:val="16"/>
                <w:color w:val="auto"/>
              </w:rPr>
              <w:t>Banco de Crédito de Bolivia</w:t>
            </w:r>
          </w:p>
        </w:tc>
        <w:tc>
          <w:tcPr>
            <w:tcW w:w="4480" w:type="dxa"/>
            <w:vAlign w:val="bottom"/>
          </w:tcPr>
          <w:p>
            <w:pPr>
              <w:jc w:val="right"/>
              <w:spacing w:after="0"/>
              <w:rPr>
                <w:sz w:val="20"/>
                <w:szCs w:val="20"/>
                <w:color w:val="auto"/>
              </w:rPr>
            </w:pPr>
            <w:r>
              <w:rPr>
                <w:rFonts w:ascii="Arial" w:cs="Arial" w:eastAsia="Arial" w:hAnsi="Arial"/>
                <w:sz w:val="16"/>
                <w:szCs w:val="16"/>
                <w:color w:val="auto"/>
              </w:rPr>
              <w:t>2017 - 2024</w:t>
            </w:r>
          </w:p>
        </w:tc>
      </w:tr>
      <w:tr>
        <w:trPr>
          <w:trHeight w:val="181"/>
        </w:trPr>
        <w:tc>
          <w:tcPr>
            <w:tcW w:w="5820" w:type="dxa"/>
            <w:vAlign w:val="bottom"/>
          </w:tcPr>
          <w:p>
            <w:pPr>
              <w:spacing w:after="0" w:line="181" w:lineRule="exact"/>
              <w:rPr>
                <w:sz w:val="20"/>
                <w:szCs w:val="20"/>
                <w:color w:val="auto"/>
              </w:rPr>
            </w:pPr>
            <w:r>
              <w:rPr>
                <w:rFonts w:ascii="Arial" w:cs="Arial" w:eastAsia="Arial" w:hAnsi="Arial"/>
                <w:sz w:val="16"/>
                <w:szCs w:val="16"/>
                <w:color w:val="auto"/>
              </w:rPr>
              <w:t>Credicorp Capital Colombia (*)</w:t>
            </w:r>
          </w:p>
        </w:tc>
        <w:tc>
          <w:tcPr>
            <w:tcW w:w="4480" w:type="dxa"/>
            <w:vAlign w:val="bottom"/>
          </w:tcPr>
          <w:p>
            <w:pPr>
              <w:jc w:val="right"/>
              <w:spacing w:after="0" w:line="181" w:lineRule="exact"/>
              <w:rPr>
                <w:sz w:val="20"/>
                <w:szCs w:val="20"/>
                <w:color w:val="auto"/>
              </w:rPr>
            </w:pPr>
            <w:r>
              <w:rPr>
                <w:rFonts w:ascii="Arial" w:cs="Arial" w:eastAsia="Arial" w:hAnsi="Arial"/>
                <w:sz w:val="16"/>
                <w:szCs w:val="16"/>
                <w:color w:val="auto"/>
              </w:rPr>
              <w:t>2020 - 2024</w:t>
            </w:r>
          </w:p>
        </w:tc>
      </w:tr>
      <w:tr>
        <w:trPr>
          <w:trHeight w:val="181"/>
        </w:trPr>
        <w:tc>
          <w:tcPr>
            <w:tcW w:w="5820" w:type="dxa"/>
            <w:vAlign w:val="bottom"/>
          </w:tcPr>
          <w:p>
            <w:pPr>
              <w:spacing w:after="0" w:line="181" w:lineRule="exact"/>
              <w:rPr>
                <w:sz w:val="20"/>
                <w:szCs w:val="20"/>
                <w:color w:val="auto"/>
              </w:rPr>
            </w:pPr>
            <w:r>
              <w:rPr>
                <w:rFonts w:ascii="Arial" w:cs="Arial" w:eastAsia="Arial" w:hAnsi="Arial"/>
                <w:sz w:val="16"/>
                <w:szCs w:val="16"/>
                <w:color w:val="auto"/>
              </w:rPr>
              <w:t>Mibanco Colombia</w:t>
            </w:r>
          </w:p>
        </w:tc>
        <w:tc>
          <w:tcPr>
            <w:tcW w:w="4480" w:type="dxa"/>
            <w:vAlign w:val="bottom"/>
          </w:tcPr>
          <w:p>
            <w:pPr>
              <w:jc w:val="right"/>
              <w:spacing w:after="0" w:line="181" w:lineRule="exact"/>
              <w:rPr>
                <w:sz w:val="20"/>
                <w:szCs w:val="20"/>
                <w:color w:val="auto"/>
              </w:rPr>
            </w:pPr>
            <w:r>
              <w:rPr>
                <w:rFonts w:ascii="Arial" w:cs="Arial" w:eastAsia="Arial" w:hAnsi="Arial"/>
                <w:sz w:val="16"/>
                <w:szCs w:val="16"/>
                <w:color w:val="auto"/>
              </w:rPr>
              <w:t>2020 - 2024</w:t>
            </w:r>
          </w:p>
        </w:tc>
      </w:tr>
      <w:tr>
        <w:trPr>
          <w:trHeight w:val="214"/>
        </w:trPr>
        <w:tc>
          <w:tcPr>
            <w:tcW w:w="5820" w:type="dxa"/>
            <w:vAlign w:val="bottom"/>
          </w:tcPr>
          <w:p>
            <w:pPr>
              <w:spacing w:after="0"/>
              <w:rPr>
                <w:sz w:val="20"/>
                <w:szCs w:val="20"/>
                <w:color w:val="auto"/>
              </w:rPr>
            </w:pPr>
            <w:r>
              <w:rPr>
                <w:rFonts w:ascii="Arial" w:cs="Arial" w:eastAsia="Arial" w:hAnsi="Arial"/>
                <w:sz w:val="16"/>
                <w:szCs w:val="16"/>
                <w:color w:val="auto"/>
              </w:rPr>
              <w:t>Credicorp Capital Fiduciaria (*)</w:t>
            </w:r>
          </w:p>
        </w:tc>
        <w:tc>
          <w:tcPr>
            <w:tcW w:w="4480" w:type="dxa"/>
            <w:vAlign w:val="bottom"/>
          </w:tcPr>
          <w:p>
            <w:pPr>
              <w:jc w:val="right"/>
              <w:spacing w:after="0"/>
              <w:rPr>
                <w:sz w:val="20"/>
                <w:szCs w:val="20"/>
                <w:color w:val="auto"/>
              </w:rPr>
            </w:pPr>
            <w:r>
              <w:rPr>
                <w:rFonts w:ascii="Arial" w:cs="Arial" w:eastAsia="Arial" w:hAnsi="Arial"/>
                <w:sz w:val="16"/>
                <w:szCs w:val="16"/>
                <w:color w:val="auto"/>
              </w:rPr>
              <w:t>2020 - 2024</w:t>
            </w:r>
          </w:p>
        </w:tc>
      </w:tr>
    </w:tbl>
    <w:p>
      <w:pPr>
        <w:spacing w:after="0" w:line="136" w:lineRule="exact"/>
        <w:rPr>
          <w:sz w:val="20"/>
          <w:szCs w:val="20"/>
          <w:color w:val="auto"/>
        </w:rPr>
      </w:pPr>
    </w:p>
    <w:p>
      <w:pPr>
        <w:ind w:left="864" w:right="260" w:hanging="575"/>
        <w:spacing w:after="0" w:line="274" w:lineRule="auto"/>
        <w:tabs>
          <w:tab w:leader="none" w:pos="86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Tax Authority has reviewed the income tax return for the fiscal year 2022 of the following entities: Credicorp Capital Colombia and Credicorp Capital Fiduciaria.</w:t>
      </w:r>
    </w:p>
    <w:p>
      <w:pPr>
        <w:spacing w:after="0" w:line="123" w:lineRule="exact"/>
        <w:rPr>
          <w:sz w:val="20"/>
          <w:szCs w:val="20"/>
          <w:color w:val="auto"/>
        </w:rPr>
      </w:pPr>
    </w:p>
    <w:p>
      <w:pPr>
        <w:ind w:left="284" w:right="80"/>
        <w:spacing w:after="0" w:line="245" w:lineRule="auto"/>
        <w:rPr>
          <w:sz w:val="20"/>
          <w:szCs w:val="20"/>
          <w:color w:val="auto"/>
        </w:rPr>
      </w:pPr>
      <w:r>
        <w:rPr>
          <w:rFonts w:ascii="Arial" w:cs="Arial" w:eastAsia="Arial" w:hAnsi="Arial"/>
          <w:sz w:val="16"/>
          <w:szCs w:val="16"/>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2025 and 2024.</w:t>
      </w:r>
    </w:p>
    <w:p>
      <w:pPr>
        <w:spacing w:after="0" w:line="303" w:lineRule="exact"/>
        <w:rPr>
          <w:sz w:val="20"/>
          <w:szCs w:val="20"/>
          <w:color w:val="auto"/>
        </w:rPr>
      </w:pPr>
    </w:p>
    <w:p>
      <w:pPr>
        <w:ind w:left="4824"/>
        <w:spacing w:after="0"/>
        <w:rPr>
          <w:sz w:val="20"/>
          <w:szCs w:val="20"/>
          <w:color w:val="auto"/>
        </w:rPr>
      </w:pPr>
      <w:r>
        <w:rPr>
          <w:rFonts w:ascii="Arial" w:cs="Arial" w:eastAsia="Arial" w:hAnsi="Arial"/>
          <w:sz w:val="16"/>
          <w:szCs w:val="16"/>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44"/>
          </w:cols>
          <w:pgMar w:left="896" w:top="304" w:right="359" w:bottom="1440" w:gutter="0" w:footer="0" w:header="0"/>
        </w:sectPr>
      </w:pPr>
    </w:p>
    <w:bookmarkStart w:id="116" w:name="page117"/>
    <w:bookmarkEnd w:id="116"/>
    <w:p>
      <w:pPr>
        <w:ind w:left="860" w:hanging="284"/>
        <w:spacing w:after="0"/>
        <w:tabs>
          <w:tab w:leader="none" w:pos="8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International Tax Reform - Pillar Two Model Rules - Amendments to IAS 12</w:t>
      </w:r>
    </w:p>
    <w:p>
      <w:pPr>
        <w:spacing w:after="0" w:line="177"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The amendments to IAS 12 have been introduced in response to the OECD’s BEPS Pillar Two rules and include:</w:t>
      </w:r>
    </w:p>
    <w:p>
      <w:pPr>
        <w:spacing w:after="0" w:line="177" w:lineRule="exact"/>
        <w:rPr>
          <w:rFonts w:ascii="Arial" w:cs="Arial" w:eastAsia="Arial" w:hAnsi="Arial"/>
          <w:sz w:val="16"/>
          <w:szCs w:val="16"/>
          <w:color w:val="auto"/>
        </w:rPr>
      </w:pPr>
    </w:p>
    <w:p>
      <w:pPr>
        <w:ind w:left="1440" w:right="100" w:hanging="575"/>
        <w:spacing w:after="0" w:line="274" w:lineRule="auto"/>
        <w:tabs>
          <w:tab w:leader="none" w:pos="14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 mandatory temporary exception to the recognition and disclosure of deferred taxes arising from the jurisdictional implementation of the Pillar Two model rules; and</w:t>
      </w:r>
    </w:p>
    <w:p>
      <w:pPr>
        <w:spacing w:after="0" w:line="122" w:lineRule="exact"/>
        <w:rPr>
          <w:rFonts w:ascii="Arial" w:cs="Arial" w:eastAsia="Arial" w:hAnsi="Arial"/>
          <w:sz w:val="16"/>
          <w:szCs w:val="16"/>
          <w:color w:val="auto"/>
        </w:rPr>
      </w:pPr>
    </w:p>
    <w:p>
      <w:pPr>
        <w:ind w:left="1440" w:right="80" w:hanging="575"/>
        <w:spacing w:after="0" w:line="274" w:lineRule="auto"/>
        <w:tabs>
          <w:tab w:leader="none" w:pos="14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Disclosure requirements for affected entities to help users of the financial statements better understand an entity’s exposure to Pillar Two income taxes arising from that legislation, particularly before its effective date.</w:t>
      </w:r>
    </w:p>
    <w:p>
      <w:pPr>
        <w:spacing w:after="0" w:line="122" w:lineRule="exact"/>
        <w:rPr>
          <w:rFonts w:ascii="Arial" w:cs="Arial" w:eastAsia="Arial" w:hAnsi="Arial"/>
          <w:sz w:val="16"/>
          <w:szCs w:val="16"/>
          <w:color w:val="auto"/>
        </w:rPr>
      </w:pPr>
    </w:p>
    <w:p>
      <w:pPr>
        <w:ind w:left="860" w:right="240" w:hanging="284"/>
        <w:spacing w:after="0" w:line="274" w:lineRule="auto"/>
        <w:tabs>
          <w:tab w:leader="none" w:pos="8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From 2026, the tax authority will provide taxpayers with a rating of their tax profile, determined in accordance with the rules in force. This rating will not have a direct impact on the assessment of taxes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18</w:t>
            </w:r>
          </w:p>
        </w:tc>
        <w:tc>
          <w:tcPr>
            <w:tcW w:w="8260" w:type="dxa"/>
            <w:vAlign w:val="bottom"/>
          </w:tcPr>
          <w:p>
            <w:pPr>
              <w:ind w:left="200"/>
              <w:spacing w:after="0"/>
              <w:rPr>
                <w:sz w:val="20"/>
                <w:szCs w:val="20"/>
                <w:color w:val="auto"/>
              </w:rPr>
            </w:pPr>
            <w:r>
              <w:rPr>
                <w:rFonts w:ascii="Arial" w:cs="Arial" w:eastAsia="Arial" w:hAnsi="Arial"/>
                <w:sz w:val="16"/>
                <w:szCs w:val="16"/>
                <w:b w:val="1"/>
                <w:bCs w:val="1"/>
                <w:color w:val="auto"/>
              </w:rPr>
              <w:t>CONTINGENT RISKS AND COMMITMENTS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38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Arial" w:cs="Arial" w:eastAsia="Arial" w:hAnsi="Arial"/>
                <w:sz w:val="16"/>
                <w:szCs w:val="16"/>
                <w:color w:val="auto"/>
              </w:rPr>
              <w:t>a)  This item consists of the following:</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826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Contingent credits – indirect loans (b)</w:t>
            </w:r>
          </w:p>
        </w:tc>
        <w:tc>
          <w:tcPr>
            <w:tcW w:w="11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8260" w:type="dxa"/>
            <w:vAlign w:val="bottom"/>
          </w:tcPr>
          <w:p>
            <w:pPr>
              <w:ind w:left="620"/>
              <w:spacing w:after="0" w:line="181" w:lineRule="exact"/>
              <w:rPr>
                <w:sz w:val="20"/>
                <w:szCs w:val="20"/>
                <w:color w:val="auto"/>
              </w:rPr>
            </w:pPr>
            <w:r>
              <w:rPr>
                <w:rFonts w:ascii="Arial" w:cs="Arial" w:eastAsia="Arial" w:hAnsi="Arial"/>
                <w:sz w:val="16"/>
                <w:szCs w:val="16"/>
                <w:color w:val="auto"/>
              </w:rPr>
              <w:t>Guarantees and standby letters</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18,815,322</w:t>
            </w:r>
          </w:p>
        </w:tc>
        <w:tc>
          <w:tcPr>
            <w:tcW w:w="200" w:type="dxa"/>
            <w:vAlign w:val="bottom"/>
          </w:tcPr>
          <w:p>
            <w:pPr>
              <w:spacing w:after="0"/>
              <w:rPr>
                <w:sz w:val="15"/>
                <w:szCs w:val="15"/>
                <w:color w:val="auto"/>
              </w:rPr>
            </w:pP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19,557,938</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6"/>
                <w:szCs w:val="16"/>
                <w:color w:val="auto"/>
              </w:rPr>
              <w:t>Import and export letters of credit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2,451,835</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2,581,383</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8260" w:type="dxa"/>
            <w:vAlign w:val="bottom"/>
          </w:tcPr>
          <w:p>
            <w:pPr>
              <w:ind w:left="480"/>
              <w:spacing w:after="0"/>
              <w:rPr>
                <w:sz w:val="20"/>
                <w:szCs w:val="20"/>
                <w:color w:val="auto"/>
              </w:rPr>
            </w:pPr>
            <w:r>
              <w:rPr>
                <w:rFonts w:ascii="Arial" w:cs="Arial" w:eastAsia="Arial" w:hAnsi="Arial"/>
                <w:sz w:val="16"/>
                <w:szCs w:val="16"/>
                <w:color w:val="auto"/>
              </w:rPr>
              <w:t>Sub-total, Note 7(b)</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21,267,157</w:t>
            </w: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22,139,321</w:t>
            </w:r>
          </w:p>
        </w:tc>
        <w:tc>
          <w:tcPr>
            <w:tcW w:w="0" w:type="dxa"/>
            <w:vAlign w:val="bottom"/>
          </w:tcPr>
          <w:p>
            <w:pPr>
              <w:spacing w:after="0"/>
              <w:rPr>
                <w:sz w:val="1"/>
                <w:szCs w:val="1"/>
                <w:color w:val="auto"/>
              </w:rPr>
            </w:pPr>
          </w:p>
        </w:tc>
      </w:tr>
      <w:tr>
        <w:trPr>
          <w:trHeight w:val="333"/>
        </w:trPr>
        <w:tc>
          <w:tcPr>
            <w:tcW w:w="380" w:type="dxa"/>
            <w:vAlign w:val="bottom"/>
          </w:tcPr>
          <w:p>
            <w:pPr>
              <w:spacing w:after="0"/>
              <w:rPr>
                <w:sz w:val="24"/>
                <w:szCs w:val="24"/>
                <w:color w:val="auto"/>
              </w:rPr>
            </w:pPr>
          </w:p>
        </w:tc>
        <w:tc>
          <w:tcPr>
            <w:tcW w:w="8260" w:type="dxa"/>
            <w:vAlign w:val="bottom"/>
          </w:tcPr>
          <w:p>
            <w:pPr>
              <w:ind w:left="480"/>
              <w:spacing w:after="0"/>
              <w:rPr>
                <w:sz w:val="20"/>
                <w:szCs w:val="20"/>
                <w:color w:val="auto"/>
              </w:rPr>
            </w:pPr>
            <w:r>
              <w:rPr>
                <w:rFonts w:ascii="Arial" w:cs="Arial" w:eastAsia="Arial" w:hAnsi="Arial"/>
                <w:sz w:val="16"/>
                <w:szCs w:val="16"/>
                <w:color w:val="auto"/>
              </w:rPr>
              <w:t>Responsibilities under credit line agreements (c)</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80,250,985</w:t>
            </w:r>
          </w:p>
        </w:tc>
        <w:tc>
          <w:tcPr>
            <w:tcW w:w="200" w:type="dxa"/>
            <w:vAlign w:val="bottom"/>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85,269,774</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8260" w:type="dxa"/>
            <w:vAlign w:val="bottom"/>
          </w:tcPr>
          <w:p>
            <w:pPr>
              <w:ind w:left="480"/>
              <w:spacing w:after="0" w:line="181" w:lineRule="exact"/>
              <w:rPr>
                <w:sz w:val="20"/>
                <w:szCs w:val="20"/>
                <w:color w:val="auto"/>
              </w:rPr>
            </w:pPr>
            <w:r>
              <w:rPr>
                <w:rFonts w:ascii="Arial" w:cs="Arial" w:eastAsia="Arial" w:hAnsi="Arial"/>
                <w:sz w:val="16"/>
                <w:szCs w:val="16"/>
                <w:b w:val="1"/>
                <w:bCs w:val="1"/>
                <w:color w:val="auto"/>
              </w:rPr>
              <w:t>Total</w:t>
            </w:r>
          </w:p>
        </w:tc>
        <w:tc>
          <w:tcPr>
            <w:tcW w:w="11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101,518,142</w:t>
            </w:r>
          </w:p>
        </w:tc>
        <w:tc>
          <w:tcPr>
            <w:tcW w:w="2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107,409,095</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60" w:right="360"/>
        <w:spacing w:after="0" w:line="274" w:lineRule="auto"/>
        <w:rPr>
          <w:sz w:val="20"/>
          <w:szCs w:val="20"/>
          <w:color w:val="auto"/>
        </w:rPr>
      </w:pPr>
      <w:r>
        <w:rPr>
          <w:rFonts w:ascii="Arial" w:cs="Arial" w:eastAsia="Arial" w:hAnsi="Arial"/>
          <w:sz w:val="16"/>
          <w:szCs w:val="16"/>
          <w:color w:val="auto"/>
        </w:rPr>
        <w:t>Reference values of operations with derivative financial instruments are recorded in off-balance sheet accounts in the committed currency, as shown in Note 12(c).</w:t>
      </w:r>
    </w:p>
    <w:p>
      <w:pPr>
        <w:spacing w:after="0" w:line="123" w:lineRule="exact"/>
        <w:rPr>
          <w:sz w:val="20"/>
          <w:szCs w:val="20"/>
          <w:color w:val="auto"/>
        </w:rPr>
      </w:pPr>
    </w:p>
    <w:p>
      <w:pPr>
        <w:ind w:left="860" w:right="140" w:hanging="284"/>
        <w:spacing w:after="0" w:line="274" w:lineRule="auto"/>
        <w:tabs>
          <w:tab w:leader="none" w:pos="8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 the normal course of their business, the Group’s banking Subsidiaries are party to transactions with off-balance sheet risk. These transactions expose them to credit risk in addition to the amounts recognized in the consolidated statement of financial position.</w:t>
      </w:r>
    </w:p>
    <w:p>
      <w:pPr>
        <w:spacing w:after="0" w:line="122" w:lineRule="exact"/>
        <w:rPr>
          <w:rFonts w:ascii="Arial" w:cs="Arial" w:eastAsia="Arial" w:hAnsi="Arial"/>
          <w:sz w:val="16"/>
          <w:szCs w:val="16"/>
          <w:color w:val="auto"/>
        </w:rPr>
      </w:pPr>
    </w:p>
    <w:p>
      <w:pPr>
        <w:ind w:left="860"/>
        <w:spacing w:after="0" w:line="248" w:lineRule="auto"/>
        <w:rPr>
          <w:rFonts w:ascii="Arial" w:cs="Arial" w:eastAsia="Arial" w:hAnsi="Arial"/>
          <w:sz w:val="16"/>
          <w:szCs w:val="16"/>
          <w:color w:val="auto"/>
        </w:rPr>
      </w:pPr>
      <w:r>
        <w:rPr>
          <w:rFonts w:ascii="Arial" w:cs="Arial" w:eastAsia="Arial" w:hAnsi="Arial"/>
          <w:sz w:val="16"/>
          <w:szCs w:val="16"/>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144" w:lineRule="exact"/>
        <w:rPr>
          <w:rFonts w:ascii="Arial" w:cs="Arial" w:eastAsia="Arial" w:hAnsi="Arial"/>
          <w:sz w:val="16"/>
          <w:szCs w:val="16"/>
          <w:color w:val="auto"/>
        </w:rPr>
      </w:pPr>
    </w:p>
    <w:p>
      <w:pPr>
        <w:ind w:left="860" w:right="160"/>
        <w:spacing w:after="0" w:line="274" w:lineRule="auto"/>
        <w:rPr>
          <w:rFonts w:ascii="Arial" w:cs="Arial" w:eastAsia="Arial" w:hAnsi="Arial"/>
          <w:sz w:val="16"/>
          <w:szCs w:val="16"/>
          <w:color w:val="auto"/>
        </w:rPr>
      </w:pPr>
      <w:r>
        <w:rPr>
          <w:rFonts w:ascii="Arial" w:cs="Arial" w:eastAsia="Arial" w:hAnsi="Arial"/>
          <w:sz w:val="16"/>
          <w:szCs w:val="16"/>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22" w:lineRule="exact"/>
        <w:rPr>
          <w:rFonts w:ascii="Arial" w:cs="Arial" w:eastAsia="Arial" w:hAnsi="Arial"/>
          <w:sz w:val="16"/>
          <w:szCs w:val="16"/>
          <w:color w:val="auto"/>
        </w:rPr>
      </w:pPr>
    </w:p>
    <w:p>
      <w:pPr>
        <w:ind w:left="860" w:right="80" w:hanging="284"/>
        <w:spacing w:after="0" w:line="274" w:lineRule="auto"/>
        <w:tabs>
          <w:tab w:leader="none" w:pos="8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Lines of credit include consumer loans and other consumer loan facilities (credit card receivables) granted to customers and are cancelable upon related notice to the customer.</w:t>
      </w:r>
    </w:p>
    <w:p>
      <w:pPr>
        <w:spacing w:after="0" w:line="279" w:lineRule="exact"/>
        <w:rPr>
          <w:rFonts w:ascii="Arial" w:cs="Arial" w:eastAsia="Arial" w:hAnsi="Arial"/>
          <w:sz w:val="16"/>
          <w:szCs w:val="16"/>
          <w:color w:val="auto"/>
        </w:rPr>
      </w:pPr>
    </w:p>
    <w:p>
      <w:pPr>
        <w:ind w:left="5500" w:hanging="102"/>
        <w:spacing w:after="0"/>
        <w:tabs>
          <w:tab w:leader="none" w:pos="55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2"/>
        </w:trPr>
        <w:tc>
          <w:tcPr>
            <w:tcW w:w="38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19</w:t>
            </w:r>
          </w:p>
        </w:tc>
        <w:tc>
          <w:tcPr>
            <w:tcW w:w="6880" w:type="dxa"/>
            <w:vAlign w:val="bottom"/>
          </w:tcPr>
          <w:p>
            <w:pPr>
              <w:ind w:left="200"/>
              <w:spacing w:after="0"/>
              <w:rPr>
                <w:sz w:val="20"/>
                <w:szCs w:val="20"/>
                <w:color w:val="auto"/>
              </w:rPr>
            </w:pPr>
            <w:r>
              <w:rPr>
                <w:rFonts w:ascii="Arial" w:cs="Arial" w:eastAsia="Arial" w:hAnsi="Arial"/>
                <w:sz w:val="16"/>
                <w:szCs w:val="16"/>
                <w:b w:val="1"/>
                <w:bCs w:val="1"/>
                <w:color w:val="auto"/>
              </w:rPr>
              <w:t>INTEREST, SIMILAR INCOME AND SIMILAR EXPENSES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380" w:type="dxa"/>
            <w:vAlign w:val="bottom"/>
          </w:tcPr>
          <w:p>
            <w:pPr>
              <w:spacing w:after="0"/>
              <w:rPr>
                <w:sz w:val="24"/>
                <w:szCs w:val="24"/>
                <w:color w:val="auto"/>
              </w:rPr>
            </w:pPr>
          </w:p>
        </w:tc>
        <w:tc>
          <w:tcPr>
            <w:tcW w:w="6880" w:type="dxa"/>
            <w:vAlign w:val="bottom"/>
          </w:tcPr>
          <w:p>
            <w:pPr>
              <w:ind w:left="200"/>
              <w:spacing w:after="0"/>
              <w:rPr>
                <w:sz w:val="20"/>
                <w:szCs w:val="20"/>
                <w:color w:val="auto"/>
              </w:rPr>
            </w:pPr>
            <w:r>
              <w:rPr>
                <w:rFonts w:ascii="Arial" w:cs="Arial" w:eastAsia="Arial" w:hAnsi="Arial"/>
                <w:sz w:val="16"/>
                <w:szCs w:val="16"/>
                <w:color w:val="auto"/>
              </w:rPr>
              <w:t>This item consists of the following: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68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Interest and similar income</w:t>
            </w:r>
          </w:p>
        </w:tc>
        <w:tc>
          <w:tcPr>
            <w:tcW w:w="11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68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loans</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15,743,509</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15,654,391</w:t>
            </w:r>
          </w:p>
        </w:tc>
        <w:tc>
          <w:tcPr>
            <w:tcW w:w="20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15,044,864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investments at fair value through other comprehensive income</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2,058,897</w:t>
            </w:r>
          </w:p>
        </w:tc>
        <w:tc>
          <w:tcPr>
            <w:tcW w:w="1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2,136,099</w:t>
            </w:r>
          </w:p>
        </w:tc>
        <w:tc>
          <w:tcPr>
            <w:tcW w:w="138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1,984,408</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due from banks</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1,369,573</w:t>
            </w:r>
          </w:p>
        </w:tc>
        <w:tc>
          <w:tcPr>
            <w:tcW w:w="1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1,405,854</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1,133,211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investments at amortized cost</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441,899</w:t>
            </w:r>
          </w:p>
        </w:tc>
        <w:tc>
          <w:tcPr>
            <w:tcW w:w="1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469,224</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456,543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Dividends received</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87,275</w:t>
            </w:r>
          </w:p>
        </w:tc>
        <w:tc>
          <w:tcPr>
            <w:tcW w:w="1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49,469</w:t>
            </w:r>
          </w:p>
        </w:tc>
        <w:tc>
          <w:tcPr>
            <w:tcW w:w="138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46,080</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investments at fair value through profit or loss</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46,288</w:t>
            </w:r>
          </w:p>
        </w:tc>
        <w:tc>
          <w:tcPr>
            <w:tcW w:w="1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54,999</w:t>
            </w:r>
          </w:p>
        </w:tc>
        <w:tc>
          <w:tcPr>
            <w:tcW w:w="138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48,376</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880" w:type="dxa"/>
            <w:vAlign w:val="bottom"/>
          </w:tcPr>
          <w:p>
            <w:pPr>
              <w:ind w:left="200"/>
              <w:spacing w:after="0"/>
              <w:rPr>
                <w:sz w:val="20"/>
                <w:szCs w:val="20"/>
                <w:color w:val="auto"/>
              </w:rPr>
            </w:pPr>
            <w:r>
              <w:rPr>
                <w:rFonts w:ascii="Arial" w:cs="Arial" w:eastAsia="Arial" w:hAnsi="Arial"/>
                <w:sz w:val="16"/>
                <w:szCs w:val="16"/>
                <w:color w:val="auto"/>
              </w:rPr>
              <w:t>Other interest and similar income</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182,728</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99,220</w:t>
            </w:r>
          </w:p>
        </w:tc>
        <w:tc>
          <w:tcPr>
            <w:tcW w:w="1380" w:type="dxa"/>
            <w:vAlign w:val="bottom"/>
            <w:gridSpan w:val="3"/>
          </w:tcPr>
          <w:p>
            <w:pPr>
              <w:jc w:val="right"/>
              <w:ind w:right="220"/>
              <w:spacing w:after="0"/>
              <w:rPr>
                <w:sz w:val="20"/>
                <w:szCs w:val="20"/>
                <w:color w:val="auto"/>
              </w:rPr>
            </w:pPr>
            <w:r>
              <w:rPr>
                <w:rFonts w:ascii="Arial" w:cs="Arial" w:eastAsia="Arial" w:hAnsi="Arial"/>
                <w:sz w:val="16"/>
                <w:szCs w:val="16"/>
                <w:color w:val="auto"/>
              </w:rPr>
              <w:t>85,013</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688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19,930,169</w:t>
            </w:r>
          </w:p>
        </w:tc>
        <w:tc>
          <w:tcPr>
            <w:tcW w:w="2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19,869,256</w:t>
            </w: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18,798,495</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80" w:type="dxa"/>
            <w:vAlign w:val="bottom"/>
          </w:tcPr>
          <w:p>
            <w:pPr>
              <w:spacing w:after="0"/>
              <w:rPr>
                <w:sz w:val="24"/>
                <w:szCs w:val="24"/>
                <w:color w:val="auto"/>
              </w:rPr>
            </w:pPr>
          </w:p>
        </w:tc>
        <w:tc>
          <w:tcPr>
            <w:tcW w:w="6880" w:type="dxa"/>
            <w:vAlign w:val="bottom"/>
          </w:tcPr>
          <w:p>
            <w:pPr>
              <w:ind w:left="200"/>
              <w:spacing w:after="0"/>
              <w:rPr>
                <w:sz w:val="20"/>
                <w:szCs w:val="20"/>
                <w:color w:val="auto"/>
              </w:rPr>
            </w:pPr>
            <w:r>
              <w:rPr>
                <w:rFonts w:ascii="Arial" w:cs="Arial" w:eastAsia="Arial" w:hAnsi="Arial"/>
                <w:sz w:val="16"/>
                <w:szCs w:val="16"/>
                <w:b w:val="1"/>
                <w:bCs w:val="1"/>
                <w:color w:val="auto"/>
              </w:rPr>
              <w:t>Interest and similar expense</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deposits and obligations</w:t>
            </w:r>
          </w:p>
        </w:tc>
        <w:tc>
          <w:tcPr>
            <w:tcW w:w="13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(2,303,616)</w:t>
            </w:r>
          </w:p>
        </w:tc>
        <w:tc>
          <w:tcPr>
            <w:tcW w:w="13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(2,850,474)</w:t>
            </w:r>
          </w:p>
        </w:tc>
        <w:tc>
          <w:tcPr>
            <w:tcW w:w="138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(3,141,307)</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due to banks and correspondents</w:t>
            </w:r>
          </w:p>
        </w:tc>
        <w:tc>
          <w:tcPr>
            <w:tcW w:w="13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(1,029,593)</w:t>
            </w:r>
          </w:p>
        </w:tc>
        <w:tc>
          <w:tcPr>
            <w:tcW w:w="13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(1,081,126)</w:t>
            </w:r>
          </w:p>
        </w:tc>
        <w:tc>
          <w:tcPr>
            <w:tcW w:w="138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(1,158,665)</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bonds and notes issued</w:t>
            </w:r>
          </w:p>
        </w:tc>
        <w:tc>
          <w:tcPr>
            <w:tcW w:w="13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(710,390)</w:t>
            </w:r>
          </w:p>
        </w:tc>
        <w:tc>
          <w:tcPr>
            <w:tcW w:w="13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(799,223)</w:t>
            </w:r>
          </w:p>
        </w:tc>
        <w:tc>
          <w:tcPr>
            <w:tcW w:w="138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(634,299)</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Financial expenses of insurance activities</w:t>
            </w:r>
          </w:p>
        </w:tc>
        <w:tc>
          <w:tcPr>
            <w:tcW w:w="13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(560,081)</w:t>
            </w:r>
          </w:p>
        </w:tc>
        <w:tc>
          <w:tcPr>
            <w:tcW w:w="13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(507,356)</w:t>
            </w:r>
          </w:p>
        </w:tc>
        <w:tc>
          <w:tcPr>
            <w:tcW w:w="138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(466,814)</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Deposit insurance fund</w:t>
            </w:r>
          </w:p>
        </w:tc>
        <w:tc>
          <w:tcPr>
            <w:tcW w:w="13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(283,706)</w:t>
            </w:r>
          </w:p>
        </w:tc>
        <w:tc>
          <w:tcPr>
            <w:tcW w:w="13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(256,583)</w:t>
            </w:r>
          </w:p>
        </w:tc>
        <w:tc>
          <w:tcPr>
            <w:tcW w:w="138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(237,441)</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6880" w:type="dxa"/>
            <w:vAlign w:val="bottom"/>
          </w:tcPr>
          <w:p>
            <w:pPr>
              <w:ind w:left="200"/>
              <w:spacing w:after="0" w:line="181" w:lineRule="exact"/>
              <w:rPr>
                <w:sz w:val="20"/>
                <w:szCs w:val="20"/>
                <w:color w:val="auto"/>
              </w:rPr>
            </w:pPr>
            <w:r>
              <w:rPr>
                <w:rFonts w:ascii="Arial" w:cs="Arial" w:eastAsia="Arial" w:hAnsi="Arial"/>
                <w:sz w:val="16"/>
                <w:szCs w:val="16"/>
                <w:color w:val="auto"/>
              </w:rPr>
              <w:t>Interest on lease liabilities</w:t>
            </w:r>
          </w:p>
        </w:tc>
        <w:tc>
          <w:tcPr>
            <w:tcW w:w="13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(37,169)</w:t>
            </w:r>
          </w:p>
        </w:tc>
        <w:tc>
          <w:tcPr>
            <w:tcW w:w="13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(22,828)</w:t>
            </w:r>
          </w:p>
        </w:tc>
        <w:tc>
          <w:tcPr>
            <w:tcW w:w="138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(25,574)</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880" w:type="dxa"/>
            <w:vAlign w:val="bottom"/>
          </w:tcPr>
          <w:p>
            <w:pPr>
              <w:ind w:left="200"/>
              <w:spacing w:after="0"/>
              <w:rPr>
                <w:sz w:val="20"/>
                <w:szCs w:val="20"/>
                <w:color w:val="auto"/>
              </w:rPr>
            </w:pPr>
            <w:r>
              <w:rPr>
                <w:rFonts w:ascii="Arial" w:cs="Arial" w:eastAsia="Arial" w:hAnsi="Arial"/>
                <w:sz w:val="16"/>
                <w:szCs w:val="16"/>
                <w:color w:val="auto"/>
              </w:rPr>
              <w:t>Other interest and similar expense</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(289,135)</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(236,535)</w:t>
            </w:r>
          </w:p>
        </w:tc>
        <w:tc>
          <w:tcPr>
            <w:tcW w:w="1380" w:type="dxa"/>
            <w:vAlign w:val="bottom"/>
            <w:gridSpan w:val="3"/>
          </w:tcPr>
          <w:p>
            <w:pPr>
              <w:jc w:val="right"/>
              <w:ind w:right="160"/>
              <w:spacing w:after="0"/>
              <w:rPr>
                <w:sz w:val="20"/>
                <w:szCs w:val="20"/>
                <w:color w:val="auto"/>
              </w:rPr>
            </w:pPr>
            <w:r>
              <w:rPr>
                <w:rFonts w:ascii="Arial" w:cs="Arial" w:eastAsia="Arial" w:hAnsi="Arial"/>
                <w:sz w:val="16"/>
                <w:szCs w:val="16"/>
                <w:color w:val="auto"/>
              </w:rPr>
              <w:t>(196,423)</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688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(5,213,690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(5,754,125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(5,860,523</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535"/>
        </w:trPr>
        <w:tc>
          <w:tcPr>
            <w:tcW w:w="380" w:type="dxa"/>
            <w:vAlign w:val="bottom"/>
          </w:tcPr>
          <w:p>
            <w:pPr>
              <w:spacing w:after="0"/>
              <w:rPr>
                <w:sz w:val="24"/>
                <w:szCs w:val="24"/>
                <w:color w:val="auto"/>
              </w:rPr>
            </w:pPr>
          </w:p>
        </w:tc>
        <w:tc>
          <w:tcPr>
            <w:tcW w:w="6880" w:type="dxa"/>
            <w:vAlign w:val="bottom"/>
          </w:tcPr>
          <w:p>
            <w:pPr>
              <w:ind w:left="5020"/>
              <w:spacing w:after="0"/>
              <w:rPr>
                <w:sz w:val="20"/>
                <w:szCs w:val="20"/>
                <w:color w:val="auto"/>
              </w:rPr>
            </w:pPr>
            <w:r>
              <w:rPr>
                <w:rFonts w:ascii="Arial" w:cs="Arial" w:eastAsia="Arial" w:hAnsi="Arial"/>
                <w:sz w:val="16"/>
                <w:szCs w:val="16"/>
                <w:color w:val="auto"/>
              </w:rPr>
              <w:t>- 113 -</w:t>
            </w: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0" w:type="dxa"/>
            <w:vAlign w:val="bottom"/>
            <w:tcBorders>
              <w:bottom w:val="single" w:sz="8" w:color="auto"/>
            </w:tcBorders>
          </w:tcPr>
          <w:p>
            <w:pPr>
              <w:spacing w:after="0"/>
              <w:rPr>
                <w:sz w:val="3"/>
                <w:szCs w:val="3"/>
                <w:color w:val="auto"/>
              </w:rPr>
            </w:pPr>
          </w:p>
        </w:tc>
        <w:tc>
          <w:tcPr>
            <w:tcW w:w="68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4" w:right="31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0" w:type="dxa"/>
            <w:vAlign w:val="bottom"/>
          </w:tcPr>
          <w:p>
            <w:pPr>
              <w:jc w:val="right"/>
              <w:ind w:right="128"/>
              <w:spacing w:after="0"/>
              <w:rPr>
                <w:sz w:val="20"/>
                <w:szCs w:val="20"/>
                <w:color w:val="auto"/>
              </w:rPr>
            </w:pPr>
            <w:r>
              <w:rPr>
                <w:rFonts w:ascii="Arial" w:cs="Arial" w:eastAsia="Arial" w:hAnsi="Arial"/>
                <w:sz w:val="14"/>
                <w:szCs w:val="14"/>
                <w:b w:val="1"/>
                <w:bCs w:val="1"/>
                <w:color w:val="auto"/>
                <w:w w:val="89"/>
              </w:rPr>
              <w:t>20</w:t>
            </w:r>
          </w:p>
        </w:tc>
        <w:tc>
          <w:tcPr>
            <w:tcW w:w="6900" w:type="dxa"/>
            <w:vAlign w:val="bottom"/>
          </w:tcPr>
          <w:p>
            <w:pPr>
              <w:ind w:left="220"/>
              <w:spacing w:after="0"/>
              <w:rPr>
                <w:sz w:val="20"/>
                <w:szCs w:val="20"/>
                <w:color w:val="auto"/>
              </w:rPr>
            </w:pPr>
            <w:r>
              <w:rPr>
                <w:rFonts w:ascii="Arial" w:cs="Arial" w:eastAsia="Arial" w:hAnsi="Arial"/>
                <w:sz w:val="14"/>
                <w:szCs w:val="14"/>
                <w:b w:val="1"/>
                <w:bCs w:val="1"/>
                <w:color w:val="auto"/>
              </w:rPr>
              <w:t>COMMISSIONS AND FEES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This item consists of the following: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60" w:type="dxa"/>
            <w:vAlign w:val="bottom"/>
          </w:tcPr>
          <w:p>
            <w:pPr>
              <w:spacing w:after="0"/>
              <w:rPr>
                <w:sz w:val="24"/>
                <w:szCs w:val="24"/>
                <w:color w:val="auto"/>
              </w:rPr>
            </w:pPr>
          </w:p>
        </w:tc>
        <w:tc>
          <w:tcPr>
            <w:tcW w:w="6900" w:type="dxa"/>
            <w:vAlign w:val="bottom"/>
          </w:tcPr>
          <w:p>
            <w:pPr>
              <w:ind w:left="220"/>
              <w:spacing w:after="0"/>
              <w:rPr>
                <w:sz w:val="20"/>
                <w:szCs w:val="20"/>
                <w:color w:val="auto"/>
              </w:rPr>
            </w:pPr>
            <w:r>
              <w:rPr>
                <w:rFonts w:ascii="Arial" w:cs="Arial" w:eastAsia="Arial" w:hAnsi="Arial"/>
                <w:sz w:val="16"/>
                <w:szCs w:val="16"/>
                <w:b w:val="1"/>
                <w:bCs w:val="1"/>
                <w:color w:val="auto"/>
              </w:rPr>
              <w:t>Performance obligations at a point in time:</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Maintenance of accounts and card services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1,627,260</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1,808,445</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1,524,298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Commissions for banking services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654,871</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542,592</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443,040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Commissions for transfers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229,567</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90,721</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291,692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Collection services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185,302</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143,674</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119,563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Operational commissions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80,212</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45,955</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41,082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Commissions for intermediation in virtual platforms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72,594</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35,686</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41,376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Commissions for loans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60,183</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41,866</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32,253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Commissions for consulting and technical studies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54,306</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84,494</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61,390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Commissions for brokerages, stockbrokers and stock markets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41,531</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67,329</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43,861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Others</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117,725</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93,929</w:t>
            </w:r>
          </w:p>
        </w:tc>
        <w:tc>
          <w:tcPr>
            <w:tcW w:w="1160" w:type="dxa"/>
            <w:vAlign w:val="bottom"/>
          </w:tcPr>
          <w:p>
            <w:pPr>
              <w:jc w:val="right"/>
              <w:spacing w:after="0"/>
              <w:rPr>
                <w:sz w:val="20"/>
                <w:szCs w:val="20"/>
                <w:color w:val="auto"/>
              </w:rPr>
            </w:pPr>
            <w:r>
              <w:rPr>
                <w:rFonts w:ascii="Arial" w:cs="Arial" w:eastAsia="Arial" w:hAnsi="Arial"/>
                <w:sz w:val="16"/>
                <w:szCs w:val="16"/>
                <w:color w:val="auto"/>
              </w:rPr>
              <w:t>158,988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3,123,551</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2,954,691</w:t>
            </w:r>
          </w:p>
        </w:tc>
        <w:tc>
          <w:tcPr>
            <w:tcW w:w="2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2,757,543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360" w:type="dxa"/>
            <w:vAlign w:val="bottom"/>
          </w:tcPr>
          <w:p>
            <w:pPr>
              <w:spacing w:after="0"/>
              <w:rPr>
                <w:sz w:val="24"/>
                <w:szCs w:val="24"/>
                <w:color w:val="auto"/>
              </w:rPr>
            </w:pPr>
          </w:p>
        </w:tc>
        <w:tc>
          <w:tcPr>
            <w:tcW w:w="6900" w:type="dxa"/>
            <w:vAlign w:val="bottom"/>
          </w:tcPr>
          <w:p>
            <w:pPr>
              <w:ind w:left="220"/>
              <w:spacing w:after="0"/>
              <w:rPr>
                <w:sz w:val="20"/>
                <w:szCs w:val="20"/>
                <w:color w:val="auto"/>
              </w:rPr>
            </w:pPr>
            <w:r>
              <w:rPr>
                <w:rFonts w:ascii="Arial" w:cs="Arial" w:eastAsia="Arial" w:hAnsi="Arial"/>
                <w:sz w:val="16"/>
                <w:szCs w:val="16"/>
                <w:b w:val="1"/>
                <w:bCs w:val="1"/>
                <w:color w:val="auto"/>
              </w:rPr>
              <w:t>Performance obligations over time:</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Commissions for funds and equity management</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725,220</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742,250</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700,663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Commissions for contingent operations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298,989</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298,570</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300,720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Commissions for custody of securities</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51,959</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56,592</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45,533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69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1,076,168</w:t>
            </w:r>
          </w:p>
        </w:tc>
        <w:tc>
          <w:tcPr>
            <w:tcW w:w="2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1,097,412</w:t>
            </w:r>
          </w:p>
        </w:tc>
        <w:tc>
          <w:tcPr>
            <w:tcW w:w="200" w:type="dxa"/>
            <w:vAlign w:val="bottom"/>
          </w:tcPr>
          <w:p>
            <w:pPr>
              <w:spacing w:after="0"/>
              <w:rPr>
                <w:sz w:val="15"/>
                <w:szCs w:val="15"/>
                <w:color w:val="auto"/>
              </w:rPr>
            </w:pPr>
          </w:p>
        </w:tc>
        <w:tc>
          <w:tcPr>
            <w:tcW w:w="118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1,046,916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4,199,719</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4,052,103</w:t>
            </w:r>
          </w:p>
        </w:tc>
        <w:tc>
          <w:tcPr>
            <w:tcW w:w="2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3,804,459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4"/>
        </w:trPr>
        <w:tc>
          <w:tcPr>
            <w:tcW w:w="360" w:type="dxa"/>
            <w:vAlign w:val="bottom"/>
          </w:tcPr>
          <w:p>
            <w:pPr>
              <w:jc w:val="right"/>
              <w:ind w:right="128"/>
              <w:spacing w:after="0"/>
              <w:rPr>
                <w:sz w:val="20"/>
                <w:szCs w:val="20"/>
                <w:color w:val="auto"/>
              </w:rPr>
            </w:pPr>
            <w:r>
              <w:rPr>
                <w:rFonts w:ascii="Arial" w:cs="Arial" w:eastAsia="Arial" w:hAnsi="Arial"/>
                <w:sz w:val="14"/>
                <w:szCs w:val="14"/>
                <w:b w:val="1"/>
                <w:bCs w:val="1"/>
                <w:color w:val="auto"/>
                <w:w w:val="89"/>
              </w:rPr>
              <w:t>21</w:t>
            </w:r>
          </w:p>
        </w:tc>
        <w:tc>
          <w:tcPr>
            <w:tcW w:w="6900" w:type="dxa"/>
            <w:vAlign w:val="bottom"/>
          </w:tcPr>
          <w:p>
            <w:pPr>
              <w:ind w:left="220"/>
              <w:spacing w:after="0"/>
              <w:rPr>
                <w:sz w:val="20"/>
                <w:szCs w:val="20"/>
                <w:color w:val="auto"/>
              </w:rPr>
            </w:pPr>
            <w:r>
              <w:rPr>
                <w:rFonts w:ascii="Arial" w:cs="Arial" w:eastAsia="Arial" w:hAnsi="Arial"/>
                <w:sz w:val="14"/>
                <w:szCs w:val="14"/>
                <w:b w:val="1"/>
                <w:bCs w:val="1"/>
                <w:color w:val="auto"/>
              </w:rPr>
              <w:t>NET GAIN ON SECURITIES</w:t>
            </w: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This item consists of the following: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60" w:type="dxa"/>
            <w:vAlign w:val="bottom"/>
          </w:tcPr>
          <w:p>
            <w:pPr>
              <w:spacing w:after="0"/>
              <w:rPr>
                <w:sz w:val="24"/>
                <w:szCs w:val="24"/>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Net gain on financial assets at fair value through profit or loss</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261,572</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212,907</w:t>
            </w:r>
          </w:p>
        </w:tc>
        <w:tc>
          <w:tcPr>
            <w:tcW w:w="1160" w:type="dxa"/>
            <w:vAlign w:val="bottom"/>
          </w:tcPr>
          <w:p>
            <w:pPr>
              <w:jc w:val="right"/>
              <w:spacing w:after="0"/>
              <w:rPr>
                <w:sz w:val="20"/>
                <w:szCs w:val="20"/>
                <w:color w:val="auto"/>
              </w:rPr>
            </w:pPr>
            <w:r>
              <w:rPr>
                <w:rFonts w:ascii="Arial" w:cs="Arial" w:eastAsia="Arial" w:hAnsi="Arial"/>
                <w:sz w:val="16"/>
                <w:szCs w:val="16"/>
                <w:color w:val="auto"/>
              </w:rPr>
              <w:t>370,049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Net gain (loss) on investments at fair value through other comprehensive income (*)</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155,453</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43,101</w:t>
            </w:r>
          </w:p>
        </w:tc>
        <w:tc>
          <w:tcPr>
            <w:tcW w:w="12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(61,255)</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Net gain in associates</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41,404</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135,183</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117,089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6900" w:type="dxa"/>
            <w:vAlign w:val="bottom"/>
          </w:tcPr>
          <w:p>
            <w:pPr>
              <w:ind w:left="220"/>
              <w:spacing w:after="0" w:line="181" w:lineRule="exact"/>
              <w:rPr>
                <w:sz w:val="20"/>
                <w:szCs w:val="20"/>
                <w:color w:val="auto"/>
              </w:rPr>
            </w:pPr>
            <w:r>
              <w:rPr>
                <w:rFonts w:ascii="Arial" w:cs="Arial" w:eastAsia="Arial" w:hAnsi="Arial"/>
                <w:sz w:val="16"/>
                <w:szCs w:val="16"/>
                <w:color w:val="auto"/>
              </w:rPr>
              <w:t>Impairment of investments at fair value through other comprehensive income, Note 6(b)</w:t>
            </w:r>
          </w:p>
        </w:tc>
        <w:tc>
          <w:tcPr>
            <w:tcW w:w="13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(53,918)</w:t>
            </w:r>
          </w:p>
        </w:tc>
        <w:tc>
          <w:tcPr>
            <w:tcW w:w="13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(27,947)</w:t>
            </w:r>
          </w:p>
        </w:tc>
        <w:tc>
          <w:tcPr>
            <w:tcW w:w="12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(4,321)</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Others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(3,825)</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(949)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3,582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690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400,686</w:t>
            </w:r>
          </w:p>
        </w:tc>
        <w:tc>
          <w:tcPr>
            <w:tcW w:w="2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362,295</w:t>
            </w: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425,144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60" w:hanging="284"/>
        <w:spacing w:after="0" w:line="274" w:lineRule="auto"/>
        <w:tabs>
          <w:tab w:leader="none" w:pos="8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As of December 31, 2025, the amount includes the effect of the securities exchange transaction with the Ministry of Economy and Finance (MEF) amounting to S/99.0 million, see Note 6(d), and an approximately S/56.0 million net realized gain on other securities.</w:t>
      </w:r>
    </w:p>
    <w:p>
      <w:pPr>
        <w:spacing w:after="0" w:line="279" w:lineRule="exact"/>
        <w:rPr>
          <w:rFonts w:ascii="Arial" w:cs="Arial" w:eastAsia="Arial" w:hAnsi="Arial"/>
          <w:sz w:val="16"/>
          <w:szCs w:val="16"/>
          <w:color w:val="auto"/>
        </w:rPr>
      </w:pPr>
    </w:p>
    <w:p>
      <w:pPr>
        <w:ind w:left="5500" w:hanging="102"/>
        <w:spacing w:after="0"/>
        <w:tabs>
          <w:tab w:leader="none" w:pos="55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100"/>
              <w:spacing w:after="0"/>
              <w:rPr>
                <w:sz w:val="20"/>
                <w:szCs w:val="20"/>
                <w:color w:val="auto"/>
              </w:rPr>
            </w:pPr>
            <w:r>
              <w:rPr>
                <w:rFonts w:ascii="Arial" w:cs="Arial" w:eastAsia="Arial" w:hAnsi="Arial"/>
                <w:sz w:val="16"/>
                <w:szCs w:val="16"/>
                <w:b w:val="1"/>
                <w:bCs w:val="1"/>
                <w:color w:val="auto"/>
                <w:w w:val="89"/>
              </w:rPr>
              <w:t>22</w:t>
            </w:r>
          </w:p>
        </w:tc>
        <w:tc>
          <w:tcPr>
            <w:tcW w:w="7020" w:type="dxa"/>
            <w:vAlign w:val="bottom"/>
          </w:tcPr>
          <w:p>
            <w:pPr>
              <w:ind w:left="200"/>
              <w:spacing w:after="0"/>
              <w:rPr>
                <w:sz w:val="20"/>
                <w:szCs w:val="20"/>
                <w:color w:val="auto"/>
              </w:rPr>
            </w:pPr>
            <w:r>
              <w:rPr>
                <w:rFonts w:ascii="Arial" w:cs="Arial" w:eastAsia="Arial" w:hAnsi="Arial"/>
                <w:sz w:val="16"/>
                <w:szCs w:val="16"/>
                <w:b w:val="1"/>
                <w:bCs w:val="1"/>
                <w:color w:val="auto"/>
              </w:rPr>
              <w:t>INSURANCE AND REINSURANCE RESULT</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7020" w:type="dxa"/>
            <w:vAlign w:val="bottom"/>
          </w:tcPr>
          <w:p>
            <w:pPr>
              <w:ind w:left="220"/>
              <w:spacing w:after="0"/>
              <w:rPr>
                <w:sz w:val="20"/>
                <w:szCs w:val="20"/>
                <w:color w:val="auto"/>
              </w:rPr>
            </w:pPr>
            <w:r>
              <w:rPr>
                <w:rFonts w:ascii="Arial" w:cs="Arial" w:eastAsia="Arial" w:hAnsi="Arial"/>
                <w:sz w:val="16"/>
                <w:szCs w:val="16"/>
                <w:color w:val="auto"/>
              </w:rPr>
              <w:t>a)  This item consists of the following:</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4"/>
                <w:szCs w:val="2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60" w:type="dxa"/>
            <w:vAlign w:val="bottom"/>
          </w:tcPr>
          <w:p>
            <w:pPr>
              <w:spacing w:after="0"/>
              <w:rPr>
                <w:sz w:val="24"/>
                <w:szCs w:val="24"/>
                <w:color w:val="auto"/>
              </w:rPr>
            </w:pPr>
          </w:p>
        </w:tc>
        <w:tc>
          <w:tcPr>
            <w:tcW w:w="7020" w:type="dxa"/>
            <w:vAlign w:val="bottom"/>
          </w:tcPr>
          <w:p>
            <w:pPr>
              <w:ind w:left="500"/>
              <w:spacing w:after="0"/>
              <w:rPr>
                <w:sz w:val="20"/>
                <w:szCs w:val="20"/>
                <w:color w:val="auto"/>
              </w:rPr>
            </w:pPr>
            <w:r>
              <w:rPr>
                <w:rFonts w:ascii="Arial" w:cs="Arial" w:eastAsia="Arial" w:hAnsi="Arial"/>
                <w:sz w:val="16"/>
                <w:szCs w:val="16"/>
                <w:color w:val="auto"/>
              </w:rPr>
              <w:t>Contracts measured under BBA* and VFA (b)</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224,077</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204,578</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226,125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020" w:type="dxa"/>
            <w:vAlign w:val="bottom"/>
          </w:tcPr>
          <w:p>
            <w:pPr>
              <w:ind w:left="500"/>
              <w:spacing w:after="0"/>
              <w:rPr>
                <w:sz w:val="20"/>
                <w:szCs w:val="20"/>
                <w:color w:val="auto"/>
              </w:rPr>
            </w:pPr>
            <w:r>
              <w:rPr>
                <w:rFonts w:ascii="Arial" w:cs="Arial" w:eastAsia="Arial" w:hAnsi="Arial"/>
                <w:sz w:val="16"/>
                <w:szCs w:val="16"/>
                <w:color w:val="auto"/>
              </w:rPr>
              <w:t>Contracts measured under PAA</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4,424,623</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3,574,816</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3,629,283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7020" w:type="dxa"/>
            <w:vAlign w:val="bottom"/>
          </w:tcPr>
          <w:p>
            <w:pPr>
              <w:ind w:left="500"/>
              <w:spacing w:after="0" w:line="156" w:lineRule="exact"/>
              <w:rPr>
                <w:sz w:val="20"/>
                <w:szCs w:val="20"/>
                <w:color w:val="auto"/>
              </w:rPr>
            </w:pPr>
            <w:r>
              <w:rPr>
                <w:rFonts w:ascii="Arial" w:cs="Arial" w:eastAsia="Arial" w:hAnsi="Arial"/>
                <w:sz w:val="16"/>
                <w:szCs w:val="16"/>
                <w:color w:val="auto"/>
              </w:rPr>
              <w:t>Income from the Insurance Service</w:t>
            </w: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4,648,700</w:t>
            </w:r>
          </w:p>
        </w:tc>
        <w:tc>
          <w:tcPr>
            <w:tcW w:w="180" w:type="dxa"/>
            <w:vAlign w:val="bottom"/>
          </w:tcPr>
          <w:p>
            <w:pPr>
              <w:spacing w:after="0"/>
              <w:rPr>
                <w:sz w:val="13"/>
                <w:szCs w:val="13"/>
                <w:color w:val="auto"/>
              </w:rPr>
            </w:pP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3,779,394</w:t>
            </w:r>
          </w:p>
        </w:tc>
        <w:tc>
          <w:tcPr>
            <w:tcW w:w="20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3,855,408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7020" w:type="dxa"/>
            <w:vAlign w:val="bottom"/>
          </w:tcPr>
          <w:p>
            <w:pPr>
              <w:ind w:left="500"/>
              <w:spacing w:after="0" w:line="181" w:lineRule="exact"/>
              <w:rPr>
                <w:sz w:val="20"/>
                <w:szCs w:val="20"/>
                <w:color w:val="auto"/>
              </w:rPr>
            </w:pPr>
            <w:r>
              <w:rPr>
                <w:rFonts w:ascii="Arial" w:cs="Arial" w:eastAsia="Arial" w:hAnsi="Arial"/>
                <w:sz w:val="16"/>
                <w:szCs w:val="16"/>
                <w:color w:val="auto"/>
              </w:rPr>
              <w:t>Expenses for incurred claims and other expenses net of change of past services</w:t>
            </w:r>
          </w:p>
        </w:tc>
        <w:tc>
          <w:tcPr>
            <w:tcW w:w="12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(2,768,730)</w:t>
            </w:r>
          </w:p>
        </w:tc>
        <w:tc>
          <w:tcPr>
            <w:tcW w:w="13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(2,062,848)</w:t>
            </w:r>
          </w:p>
        </w:tc>
        <w:tc>
          <w:tcPr>
            <w:tcW w:w="120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(2,232,672)</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7020" w:type="dxa"/>
            <w:vAlign w:val="bottom"/>
          </w:tcPr>
          <w:p>
            <w:pPr>
              <w:ind w:left="500"/>
              <w:spacing w:after="0" w:line="181" w:lineRule="exact"/>
              <w:rPr>
                <w:sz w:val="20"/>
                <w:szCs w:val="20"/>
                <w:color w:val="auto"/>
              </w:rPr>
            </w:pPr>
            <w:r>
              <w:rPr>
                <w:rFonts w:ascii="Arial" w:cs="Arial" w:eastAsia="Arial" w:hAnsi="Arial"/>
                <w:sz w:val="16"/>
                <w:szCs w:val="16"/>
                <w:color w:val="auto"/>
              </w:rPr>
              <w:t>Losses in onerous contracts and reversal of losses</w:t>
            </w:r>
          </w:p>
        </w:tc>
        <w:tc>
          <w:tcPr>
            <w:tcW w:w="12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(10,686)</w:t>
            </w:r>
          </w:p>
        </w:tc>
        <w:tc>
          <w:tcPr>
            <w:tcW w:w="13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(15,801)</w:t>
            </w:r>
          </w:p>
        </w:tc>
        <w:tc>
          <w:tcPr>
            <w:tcW w:w="120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(17,181)</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7020" w:type="dxa"/>
            <w:vAlign w:val="bottom"/>
          </w:tcPr>
          <w:p>
            <w:pPr>
              <w:ind w:left="500"/>
              <w:spacing w:after="0"/>
              <w:rPr>
                <w:sz w:val="20"/>
                <w:szCs w:val="20"/>
                <w:color w:val="auto"/>
              </w:rPr>
            </w:pPr>
            <w:r>
              <w:rPr>
                <w:rFonts w:ascii="Arial" w:cs="Arial" w:eastAsia="Arial" w:hAnsi="Arial"/>
                <w:sz w:val="16"/>
                <w:szCs w:val="16"/>
                <w:color w:val="auto"/>
              </w:rPr>
              <w:t>Others</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(21,259)</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(7,128)</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(3,134)</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7020" w:type="dxa"/>
            <w:vAlign w:val="bottom"/>
          </w:tcPr>
          <w:p>
            <w:pPr>
              <w:ind w:left="500"/>
              <w:spacing w:after="0" w:line="165" w:lineRule="exact"/>
              <w:rPr>
                <w:sz w:val="20"/>
                <w:szCs w:val="20"/>
                <w:color w:val="auto"/>
              </w:rPr>
            </w:pPr>
            <w:r>
              <w:rPr>
                <w:rFonts w:ascii="Arial" w:cs="Arial" w:eastAsia="Arial" w:hAnsi="Arial"/>
                <w:sz w:val="16"/>
                <w:szCs w:val="16"/>
                <w:color w:val="auto"/>
              </w:rPr>
              <w:t>Insurance service expenses</w:t>
            </w:r>
          </w:p>
        </w:tc>
        <w:tc>
          <w:tcPr>
            <w:tcW w:w="11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(2,800,675</w:t>
            </w:r>
          </w:p>
        </w:tc>
        <w:tc>
          <w:tcPr>
            <w:tcW w:w="180" w:type="dxa"/>
            <w:vAlign w:val="bottom"/>
          </w:tcPr>
          <w:p>
            <w:pPr>
              <w:jc w:val="right"/>
              <w:ind w:right="40"/>
              <w:spacing w:after="0" w:line="165" w:lineRule="exact"/>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(2,085,777</w:t>
            </w:r>
          </w:p>
        </w:tc>
        <w:tc>
          <w:tcPr>
            <w:tcW w:w="200" w:type="dxa"/>
            <w:vAlign w:val="bottom"/>
          </w:tcPr>
          <w:p>
            <w:pPr>
              <w:jc w:val="right"/>
              <w:ind w:right="60"/>
              <w:spacing w:after="0" w:line="165" w:lineRule="exact"/>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color w:val="auto"/>
              </w:rPr>
              <w:t>(2,252,987</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7020" w:type="dxa"/>
            <w:vAlign w:val="bottom"/>
          </w:tcPr>
          <w:p>
            <w:pPr>
              <w:ind w:left="500"/>
              <w:spacing w:after="0"/>
              <w:rPr>
                <w:sz w:val="20"/>
                <w:szCs w:val="20"/>
                <w:color w:val="auto"/>
              </w:rPr>
            </w:pPr>
            <w:r>
              <w:rPr>
                <w:rFonts w:ascii="Arial" w:cs="Arial" w:eastAsia="Arial" w:hAnsi="Arial"/>
                <w:sz w:val="16"/>
                <w:szCs w:val="16"/>
                <w:b w:val="1"/>
                <w:bCs w:val="1"/>
                <w:color w:val="auto"/>
              </w:rPr>
              <w:t>Insurance service result</w:t>
            </w:r>
          </w:p>
        </w:tc>
        <w:tc>
          <w:tcPr>
            <w:tcW w:w="1100" w:type="dxa"/>
            <w:vAlign w:val="bottom"/>
          </w:tcPr>
          <w:p>
            <w:pPr>
              <w:jc w:val="right"/>
              <w:spacing w:after="0"/>
              <w:rPr>
                <w:sz w:val="20"/>
                <w:szCs w:val="20"/>
                <w:color w:val="auto"/>
              </w:rPr>
            </w:pPr>
            <w:r>
              <w:rPr>
                <w:rFonts w:ascii="Arial" w:cs="Arial" w:eastAsia="Arial" w:hAnsi="Arial"/>
                <w:sz w:val="16"/>
                <w:szCs w:val="16"/>
                <w:color w:val="auto"/>
              </w:rPr>
              <w:t>1,848,025</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1,693,617</w:t>
            </w:r>
          </w:p>
        </w:tc>
        <w:tc>
          <w:tcPr>
            <w:tcW w:w="2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1,602,421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3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4"/>
                <w:szCs w:val="24"/>
                <w:color w:val="auto"/>
              </w:rPr>
            </w:pPr>
          </w:p>
        </w:tc>
        <w:tc>
          <w:tcPr>
            <w:tcW w:w="1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10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3"/>
                <w:szCs w:val="13"/>
                <w:color w:val="auto"/>
              </w:rPr>
            </w:pPr>
          </w:p>
        </w:tc>
        <w:tc>
          <w:tcPr>
            <w:tcW w:w="110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14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7020" w:type="dxa"/>
            <w:vAlign w:val="bottom"/>
          </w:tcPr>
          <w:p>
            <w:pPr>
              <w:ind w:left="500"/>
              <w:spacing w:after="0" w:line="181" w:lineRule="exact"/>
              <w:rPr>
                <w:sz w:val="20"/>
                <w:szCs w:val="20"/>
                <w:color w:val="auto"/>
              </w:rPr>
            </w:pPr>
            <w:r>
              <w:rPr>
                <w:rFonts w:ascii="Arial" w:cs="Arial" w:eastAsia="Arial" w:hAnsi="Arial"/>
                <w:sz w:val="16"/>
                <w:szCs w:val="16"/>
                <w:color w:val="auto"/>
              </w:rPr>
              <w:t>Income from reinsurance recoveries</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173,238</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179,617</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448,491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7020" w:type="dxa"/>
            <w:vAlign w:val="bottom"/>
          </w:tcPr>
          <w:p>
            <w:pPr>
              <w:ind w:left="500"/>
              <w:spacing w:after="0"/>
              <w:rPr>
                <w:sz w:val="20"/>
                <w:szCs w:val="20"/>
                <w:color w:val="auto"/>
              </w:rPr>
            </w:pPr>
            <w:r>
              <w:rPr>
                <w:rFonts w:ascii="Arial" w:cs="Arial" w:eastAsia="Arial" w:hAnsi="Arial"/>
                <w:sz w:val="16"/>
                <w:szCs w:val="16"/>
                <w:color w:val="auto"/>
              </w:rPr>
              <w:t>Expenses for assigning the premiums paid to the reinsurer</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(632,063)</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(674,214)</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(839,812)</w:t>
            </w: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7020" w:type="dxa"/>
            <w:vAlign w:val="bottom"/>
          </w:tcPr>
          <w:p>
            <w:pPr>
              <w:ind w:left="500"/>
              <w:spacing w:after="0"/>
              <w:rPr>
                <w:sz w:val="20"/>
                <w:szCs w:val="20"/>
                <w:color w:val="auto"/>
              </w:rPr>
            </w:pPr>
            <w:r>
              <w:rPr>
                <w:rFonts w:ascii="Arial" w:cs="Arial" w:eastAsia="Arial" w:hAnsi="Arial"/>
                <w:sz w:val="16"/>
                <w:szCs w:val="16"/>
                <w:b w:val="1"/>
                <w:bCs w:val="1"/>
                <w:color w:val="auto"/>
              </w:rPr>
              <w:t>Reinsurance result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(458,825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(494,597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(391,321</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66"/>
        </w:trPr>
        <w:tc>
          <w:tcPr>
            <w:tcW w:w="360" w:type="dxa"/>
            <w:vAlign w:val="bottom"/>
          </w:tcPr>
          <w:p>
            <w:pPr>
              <w:spacing w:after="0"/>
              <w:rPr>
                <w:sz w:val="24"/>
                <w:szCs w:val="24"/>
                <w:color w:val="auto"/>
              </w:rPr>
            </w:pPr>
          </w:p>
        </w:tc>
        <w:tc>
          <w:tcPr>
            <w:tcW w:w="7020" w:type="dxa"/>
            <w:vAlign w:val="bottom"/>
          </w:tcPr>
          <w:p>
            <w:pPr>
              <w:ind w:left="220"/>
              <w:spacing w:after="0"/>
              <w:rPr>
                <w:sz w:val="20"/>
                <w:szCs w:val="20"/>
                <w:color w:val="auto"/>
              </w:rPr>
            </w:pPr>
            <w:r>
              <w:rPr>
                <w:rFonts w:ascii="Arial" w:cs="Arial" w:eastAsia="Arial" w:hAnsi="Arial"/>
                <w:sz w:val="16"/>
                <w:szCs w:val="16"/>
                <w:color w:val="auto"/>
              </w:rPr>
              <w:t>b)  The result of contracts measured under BBA and VFA is detailed below:</w:t>
            </w:r>
          </w:p>
        </w:tc>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4"/>
                <w:szCs w:val="2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7020" w:type="dxa"/>
            <w:vAlign w:val="bottom"/>
            <w:vMerge w:val="restart"/>
          </w:tcPr>
          <w:p>
            <w:pPr>
              <w:ind w:left="500"/>
              <w:spacing w:after="0"/>
              <w:rPr>
                <w:sz w:val="20"/>
                <w:szCs w:val="20"/>
                <w:color w:val="auto"/>
              </w:rPr>
            </w:pPr>
            <w:r>
              <w:rPr>
                <w:rFonts w:ascii="Arial" w:cs="Arial" w:eastAsia="Arial" w:hAnsi="Arial"/>
                <w:sz w:val="16"/>
                <w:szCs w:val="16"/>
                <w:color w:val="auto"/>
              </w:rPr>
              <w:t>Amounts related to changes in liabilities for the remaining coverage:</w:t>
            </w:r>
          </w:p>
        </w:tc>
        <w:tc>
          <w:tcPr>
            <w:tcW w:w="11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70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7020" w:type="dxa"/>
            <w:vAlign w:val="bottom"/>
          </w:tcPr>
          <w:p>
            <w:pPr>
              <w:ind w:left="640"/>
              <w:spacing w:after="0" w:line="181" w:lineRule="exact"/>
              <w:rPr>
                <w:sz w:val="20"/>
                <w:szCs w:val="20"/>
                <w:color w:val="auto"/>
              </w:rPr>
            </w:pPr>
            <w:r>
              <w:rPr>
                <w:rFonts w:ascii="Arial" w:cs="Arial" w:eastAsia="Arial" w:hAnsi="Arial"/>
                <w:sz w:val="16"/>
                <w:szCs w:val="16"/>
                <w:color w:val="auto"/>
              </w:rPr>
              <w:t>CSM recognized for services provided</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137,032</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125,610</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128,639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7020" w:type="dxa"/>
            <w:vAlign w:val="bottom"/>
          </w:tcPr>
          <w:p>
            <w:pPr>
              <w:ind w:left="640"/>
              <w:spacing w:after="0" w:line="181" w:lineRule="exact"/>
              <w:rPr>
                <w:sz w:val="20"/>
                <w:szCs w:val="20"/>
                <w:color w:val="auto"/>
              </w:rPr>
            </w:pPr>
            <w:r>
              <w:rPr>
                <w:rFonts w:ascii="Arial" w:cs="Arial" w:eastAsia="Arial" w:hAnsi="Arial"/>
                <w:sz w:val="16"/>
                <w:szCs w:val="16"/>
                <w:color w:val="auto"/>
              </w:rPr>
              <w:t>Change in risk adjustment for non-financial risk</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10,619</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9,907</w:t>
            </w:r>
          </w:p>
        </w:tc>
        <w:tc>
          <w:tcPr>
            <w:tcW w:w="12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12,357</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7020" w:type="dxa"/>
            <w:vAlign w:val="bottom"/>
          </w:tcPr>
          <w:p>
            <w:pPr>
              <w:ind w:left="500"/>
              <w:spacing w:after="0" w:line="181" w:lineRule="exact"/>
              <w:rPr>
                <w:sz w:val="20"/>
                <w:szCs w:val="20"/>
                <w:color w:val="auto"/>
              </w:rPr>
            </w:pPr>
            <w:r>
              <w:rPr>
                <w:rFonts w:ascii="Arial" w:cs="Arial" w:eastAsia="Arial" w:hAnsi="Arial"/>
                <w:sz w:val="16"/>
                <w:szCs w:val="16"/>
                <w:color w:val="auto"/>
              </w:rPr>
              <w:t>Expenses for insurance services and expected claims occurred</w:t>
            </w:r>
          </w:p>
        </w:tc>
        <w:tc>
          <w:tcPr>
            <w:tcW w:w="12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55,167</w:t>
            </w:r>
          </w:p>
        </w:tc>
        <w:tc>
          <w:tcPr>
            <w:tcW w:w="13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61,933</w:t>
            </w:r>
          </w:p>
        </w:tc>
        <w:tc>
          <w:tcPr>
            <w:tcW w:w="12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81,995</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7020" w:type="dxa"/>
            <w:vAlign w:val="bottom"/>
          </w:tcPr>
          <w:p>
            <w:pPr>
              <w:ind w:left="500"/>
              <w:spacing w:after="0"/>
              <w:rPr>
                <w:sz w:val="20"/>
                <w:szCs w:val="20"/>
                <w:color w:val="auto"/>
              </w:rPr>
            </w:pPr>
            <w:r>
              <w:rPr>
                <w:rFonts w:ascii="Arial" w:cs="Arial" w:eastAsia="Arial" w:hAnsi="Arial"/>
                <w:sz w:val="16"/>
                <w:szCs w:val="16"/>
                <w:color w:val="auto"/>
              </w:rPr>
              <w:t>Cash recovery for the purchase of insurance</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21,259</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7,128</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3,134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7020" w:type="dxa"/>
            <w:vAlign w:val="bottom"/>
          </w:tcPr>
          <w:p>
            <w:pPr>
              <w:ind w:left="500"/>
              <w:spacing w:after="0"/>
              <w:rPr>
                <w:sz w:val="20"/>
                <w:szCs w:val="20"/>
                <w:color w:val="auto"/>
              </w:rPr>
            </w:pPr>
            <w:r>
              <w:rPr>
                <w:rFonts w:ascii="Arial" w:cs="Arial" w:eastAsia="Arial" w:hAnsi="Arial"/>
                <w:sz w:val="16"/>
                <w:szCs w:val="16"/>
                <w:b w:val="1"/>
                <w:bCs w:val="1"/>
                <w:color w:val="auto"/>
              </w:rPr>
              <w:t>Contracts measured under BBA and VFA</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224,077</w:t>
            </w:r>
          </w:p>
        </w:tc>
        <w:tc>
          <w:tcPr>
            <w:tcW w:w="1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204,578</w:t>
            </w: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226,125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Building Block Approach (BBA)</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0"/>
          </w:cols>
          <w:pgMar w:left="320" w:top="304" w:right="4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4"/>
        </w:trPr>
        <w:tc>
          <w:tcPr>
            <w:tcW w:w="7380" w:type="dxa"/>
            <w:vAlign w:val="bottom"/>
          </w:tcPr>
          <w:p>
            <w:pPr>
              <w:ind w:left="580"/>
              <w:spacing w:after="0"/>
              <w:rPr>
                <w:sz w:val="20"/>
                <w:szCs w:val="20"/>
                <w:color w:val="auto"/>
              </w:rPr>
            </w:pPr>
            <w:r>
              <w:rPr>
                <w:rFonts w:ascii="Arial" w:cs="Arial" w:eastAsia="Arial" w:hAnsi="Arial"/>
                <w:sz w:val="16"/>
                <w:szCs w:val="16"/>
                <w:color w:val="auto"/>
              </w:rPr>
              <w:t>c)  The impact of the new business for onerous and non-onerous contracts is detailed below:</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38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80" w:type="dxa"/>
            <w:vAlign w:val="bottom"/>
          </w:tcPr>
          <w:p>
            <w:pPr>
              <w:spacing w:after="0"/>
              <w:rPr>
                <w:sz w:val="13"/>
                <w:szCs w:val="13"/>
                <w:color w:val="auto"/>
              </w:rPr>
            </w:pPr>
          </w:p>
        </w:tc>
        <w:tc>
          <w:tcPr>
            <w:tcW w:w="128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Onerous</w:t>
            </w:r>
          </w:p>
        </w:tc>
        <w:tc>
          <w:tcPr>
            <w:tcW w:w="1300" w:type="dxa"/>
            <w:vAlign w:val="bottom"/>
            <w:gridSpan w:val="2"/>
          </w:tcPr>
          <w:p>
            <w:pPr>
              <w:ind w:left="20"/>
              <w:spacing w:after="0" w:line="156" w:lineRule="exact"/>
              <w:rPr>
                <w:sz w:val="20"/>
                <w:szCs w:val="20"/>
                <w:color w:val="auto"/>
              </w:rPr>
            </w:pPr>
            <w:r>
              <w:rPr>
                <w:rFonts w:ascii="Arial" w:cs="Arial" w:eastAsia="Arial" w:hAnsi="Arial"/>
                <w:sz w:val="16"/>
                <w:szCs w:val="16"/>
                <w:b w:val="1"/>
                <w:bCs w:val="1"/>
                <w:color w:val="auto"/>
              </w:rPr>
              <w:t>Non-onerous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38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contracts</w:t>
            </w: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contracts</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380" w:type="dxa"/>
            <w:vAlign w:val="bottom"/>
            <w:vMerge w:val="restart"/>
          </w:tcPr>
          <w:p>
            <w:pPr>
              <w:ind w:left="860"/>
              <w:spacing w:after="0"/>
              <w:rPr>
                <w:sz w:val="20"/>
                <w:szCs w:val="20"/>
                <w:color w:val="auto"/>
              </w:rPr>
            </w:pPr>
            <w:r>
              <w:rPr>
                <w:rFonts w:ascii="Arial" w:cs="Arial" w:eastAsia="Arial" w:hAnsi="Arial"/>
                <w:sz w:val="16"/>
                <w:szCs w:val="16"/>
                <w:color w:val="auto"/>
              </w:rPr>
              <w:t>Estimates of the present value of future outflows:</w:t>
            </w: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1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73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1000"/>
              <w:spacing w:after="0" w:line="181" w:lineRule="exact"/>
              <w:rPr>
                <w:sz w:val="20"/>
                <w:szCs w:val="20"/>
                <w:color w:val="auto"/>
              </w:rPr>
            </w:pPr>
            <w:r>
              <w:rPr>
                <w:rFonts w:ascii="Arial" w:cs="Arial" w:eastAsia="Arial" w:hAnsi="Arial"/>
                <w:sz w:val="16"/>
                <w:szCs w:val="16"/>
                <w:color w:val="auto"/>
              </w:rPr>
              <w:t>Insurance acquisition cash flows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22,097</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165,559</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187,656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1000"/>
              <w:spacing w:after="0" w:line="181" w:lineRule="exact"/>
              <w:rPr>
                <w:sz w:val="20"/>
                <w:szCs w:val="20"/>
                <w:color w:val="auto"/>
              </w:rPr>
            </w:pPr>
            <w:r>
              <w:rPr>
                <w:rFonts w:ascii="Arial" w:cs="Arial" w:eastAsia="Arial" w:hAnsi="Arial"/>
                <w:sz w:val="16"/>
                <w:szCs w:val="16"/>
                <w:color w:val="auto"/>
              </w:rPr>
              <w:t>Claims and other directly attributable expenses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623,686</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1,065,161</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1,688,847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860"/>
              <w:spacing w:after="0" w:line="181" w:lineRule="exact"/>
              <w:rPr>
                <w:sz w:val="20"/>
                <w:szCs w:val="20"/>
                <w:color w:val="auto"/>
              </w:rPr>
            </w:pPr>
            <w:r>
              <w:rPr>
                <w:rFonts w:ascii="Arial" w:cs="Arial" w:eastAsia="Arial" w:hAnsi="Arial"/>
                <w:sz w:val="16"/>
                <w:szCs w:val="16"/>
                <w:color w:val="auto"/>
              </w:rPr>
              <w:t>Estimates of the present value of future inflows</w:t>
            </w:r>
          </w:p>
        </w:tc>
        <w:tc>
          <w:tcPr>
            <w:tcW w:w="12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(620,171)</w:t>
            </w:r>
          </w:p>
        </w:tc>
        <w:tc>
          <w:tcPr>
            <w:tcW w:w="13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(1,379,272)</w:t>
            </w:r>
          </w:p>
        </w:tc>
        <w:tc>
          <w:tcPr>
            <w:tcW w:w="130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(1,999,443)</w:t>
            </w:r>
          </w:p>
        </w:tc>
        <w:tc>
          <w:tcPr>
            <w:tcW w:w="0" w:type="dxa"/>
            <w:vAlign w:val="bottom"/>
          </w:tcPr>
          <w:p>
            <w:pPr>
              <w:spacing w:after="0"/>
              <w:rPr>
                <w:sz w:val="1"/>
                <w:szCs w:val="1"/>
                <w:color w:val="auto"/>
              </w:rPr>
            </w:pPr>
          </w:p>
        </w:tc>
      </w:tr>
      <w:tr>
        <w:trPr>
          <w:trHeight w:val="181"/>
        </w:trPr>
        <w:tc>
          <w:tcPr>
            <w:tcW w:w="7380" w:type="dxa"/>
            <w:vAlign w:val="bottom"/>
          </w:tcPr>
          <w:p>
            <w:pPr>
              <w:ind w:left="860"/>
              <w:spacing w:after="0" w:line="181" w:lineRule="exact"/>
              <w:rPr>
                <w:sz w:val="20"/>
                <w:szCs w:val="20"/>
                <w:color w:val="auto"/>
              </w:rPr>
            </w:pPr>
            <w:r>
              <w:rPr>
                <w:rFonts w:ascii="Arial" w:cs="Arial" w:eastAsia="Arial" w:hAnsi="Arial"/>
                <w:sz w:val="16"/>
                <w:szCs w:val="16"/>
                <w:color w:val="auto"/>
              </w:rPr>
              <w:t>Risk adjustment for non-financial risk</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8,950</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8,042</w:t>
            </w:r>
          </w:p>
        </w:tc>
        <w:tc>
          <w:tcPr>
            <w:tcW w:w="130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16,992</w:t>
            </w:r>
          </w:p>
        </w:tc>
        <w:tc>
          <w:tcPr>
            <w:tcW w:w="0" w:type="dxa"/>
            <w:vAlign w:val="bottom"/>
          </w:tcPr>
          <w:p>
            <w:pPr>
              <w:spacing w:after="0"/>
              <w:rPr>
                <w:sz w:val="1"/>
                <w:szCs w:val="1"/>
                <w:color w:val="auto"/>
              </w:rPr>
            </w:pPr>
          </w:p>
        </w:tc>
      </w:tr>
      <w:tr>
        <w:trPr>
          <w:trHeight w:val="202"/>
        </w:trPr>
        <w:tc>
          <w:tcPr>
            <w:tcW w:w="7380" w:type="dxa"/>
            <w:vAlign w:val="bottom"/>
          </w:tcPr>
          <w:p>
            <w:pPr>
              <w:ind w:left="860"/>
              <w:spacing w:after="0"/>
              <w:rPr>
                <w:sz w:val="20"/>
                <w:szCs w:val="20"/>
                <w:color w:val="auto"/>
              </w:rPr>
            </w:pPr>
            <w:r>
              <w:rPr>
                <w:rFonts w:ascii="Arial" w:cs="Arial" w:eastAsia="Arial" w:hAnsi="Arial"/>
                <w:sz w:val="16"/>
                <w:szCs w:val="16"/>
                <w:color w:val="auto"/>
              </w:rPr>
              <w:t>CSM</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140,510</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140,510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80" w:type="dxa"/>
            <w:vAlign w:val="bottom"/>
          </w:tcPr>
          <w:p>
            <w:pPr>
              <w:ind w:left="860"/>
              <w:spacing w:after="0"/>
              <w:rPr>
                <w:sz w:val="20"/>
                <w:szCs w:val="20"/>
                <w:color w:val="auto"/>
              </w:rPr>
            </w:pPr>
            <w:r>
              <w:rPr>
                <w:rFonts w:ascii="Arial" w:cs="Arial" w:eastAsia="Arial" w:hAnsi="Arial"/>
                <w:sz w:val="16"/>
                <w:szCs w:val="16"/>
                <w:b w:val="1"/>
                <w:bCs w:val="1"/>
                <w:color w:val="auto"/>
              </w:rPr>
              <w:t>Impact on provisions for contracts recognized in the period</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34,562</w:t>
            </w:r>
          </w:p>
        </w:tc>
        <w:tc>
          <w:tcPr>
            <w:tcW w:w="180" w:type="dxa"/>
            <w:vAlign w:val="bottom"/>
          </w:tcPr>
          <w:p>
            <w:pPr>
              <w:spacing w:after="0"/>
              <w:rPr>
                <w:sz w:val="17"/>
                <w:szCs w:val="17"/>
                <w:color w:val="auto"/>
              </w:rPr>
            </w:pPr>
          </w:p>
        </w:tc>
        <w:tc>
          <w:tcPr>
            <w:tcW w:w="1100" w:type="dxa"/>
            <w:vAlign w:val="bottom"/>
            <w:tcBorders>
              <w:top w:val="single" w:sz="8" w:color="auto"/>
            </w:tcBorders>
          </w:tcPr>
          <w:p>
            <w:pPr>
              <w:ind w:left="102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34,562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7380" w:type="dxa"/>
            <w:vAlign w:val="bottom"/>
          </w:tcPr>
          <w:p>
            <w:pPr>
              <w:spacing w:after="0"/>
              <w:rPr>
                <w:sz w:val="24"/>
                <w:szCs w:val="24"/>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80" w:type="dxa"/>
            <w:vAlign w:val="bottom"/>
          </w:tcPr>
          <w:p>
            <w:pPr>
              <w:spacing w:after="0"/>
              <w:rPr>
                <w:sz w:val="13"/>
                <w:szCs w:val="13"/>
                <w:color w:val="auto"/>
              </w:rPr>
            </w:pPr>
          </w:p>
        </w:tc>
        <w:tc>
          <w:tcPr>
            <w:tcW w:w="128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Onerous</w:t>
            </w:r>
          </w:p>
        </w:tc>
        <w:tc>
          <w:tcPr>
            <w:tcW w:w="1300" w:type="dxa"/>
            <w:vAlign w:val="bottom"/>
            <w:gridSpan w:val="2"/>
          </w:tcPr>
          <w:p>
            <w:pPr>
              <w:ind w:left="20"/>
              <w:spacing w:after="0" w:line="156" w:lineRule="exact"/>
              <w:rPr>
                <w:sz w:val="20"/>
                <w:szCs w:val="20"/>
                <w:color w:val="auto"/>
              </w:rPr>
            </w:pPr>
            <w:r>
              <w:rPr>
                <w:rFonts w:ascii="Arial" w:cs="Arial" w:eastAsia="Arial" w:hAnsi="Arial"/>
                <w:sz w:val="16"/>
                <w:szCs w:val="16"/>
                <w:b w:val="1"/>
                <w:bCs w:val="1"/>
                <w:color w:val="auto"/>
              </w:rPr>
              <w:t>Non-onerous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38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contracts</w:t>
            </w: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contracts</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380" w:type="dxa"/>
            <w:vAlign w:val="bottom"/>
            <w:vMerge w:val="restart"/>
          </w:tcPr>
          <w:p>
            <w:pPr>
              <w:ind w:left="860"/>
              <w:spacing w:after="0"/>
              <w:rPr>
                <w:sz w:val="20"/>
                <w:szCs w:val="20"/>
                <w:color w:val="auto"/>
              </w:rPr>
            </w:pPr>
            <w:r>
              <w:rPr>
                <w:rFonts w:ascii="Arial" w:cs="Arial" w:eastAsia="Arial" w:hAnsi="Arial"/>
                <w:sz w:val="16"/>
                <w:szCs w:val="16"/>
                <w:color w:val="auto"/>
              </w:rPr>
              <w:t>Estimates of the present value of future outflows:</w:t>
            </w: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1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73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1000"/>
              <w:spacing w:after="0" w:line="181" w:lineRule="exact"/>
              <w:rPr>
                <w:sz w:val="20"/>
                <w:szCs w:val="20"/>
                <w:color w:val="auto"/>
              </w:rPr>
            </w:pPr>
            <w:r>
              <w:rPr>
                <w:rFonts w:ascii="Arial" w:cs="Arial" w:eastAsia="Arial" w:hAnsi="Arial"/>
                <w:sz w:val="16"/>
                <w:szCs w:val="16"/>
                <w:color w:val="auto"/>
              </w:rPr>
              <w:t>Insurance acquisition cash flows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27,948</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128,252</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156,200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1000"/>
              <w:spacing w:after="0" w:line="181" w:lineRule="exact"/>
              <w:rPr>
                <w:sz w:val="20"/>
                <w:szCs w:val="20"/>
                <w:color w:val="auto"/>
              </w:rPr>
            </w:pPr>
            <w:r>
              <w:rPr>
                <w:rFonts w:ascii="Arial" w:cs="Arial" w:eastAsia="Arial" w:hAnsi="Arial"/>
                <w:sz w:val="16"/>
                <w:szCs w:val="16"/>
                <w:color w:val="auto"/>
              </w:rPr>
              <w:t>Claims and other directly attributable expenses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445,384</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886,382</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1,331,766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860"/>
              <w:spacing w:after="0" w:line="181" w:lineRule="exact"/>
              <w:rPr>
                <w:sz w:val="20"/>
                <w:szCs w:val="20"/>
                <w:color w:val="auto"/>
              </w:rPr>
            </w:pPr>
            <w:r>
              <w:rPr>
                <w:rFonts w:ascii="Arial" w:cs="Arial" w:eastAsia="Arial" w:hAnsi="Arial"/>
                <w:sz w:val="16"/>
                <w:szCs w:val="16"/>
                <w:color w:val="auto"/>
              </w:rPr>
              <w:t>Estimates of the present value of future inflows</w:t>
            </w:r>
          </w:p>
        </w:tc>
        <w:tc>
          <w:tcPr>
            <w:tcW w:w="12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(446,274)</w:t>
            </w:r>
          </w:p>
        </w:tc>
        <w:tc>
          <w:tcPr>
            <w:tcW w:w="13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(1,143,887)</w:t>
            </w:r>
          </w:p>
        </w:tc>
        <w:tc>
          <w:tcPr>
            <w:tcW w:w="130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(1,590,161)</w:t>
            </w:r>
          </w:p>
        </w:tc>
        <w:tc>
          <w:tcPr>
            <w:tcW w:w="0" w:type="dxa"/>
            <w:vAlign w:val="bottom"/>
          </w:tcPr>
          <w:p>
            <w:pPr>
              <w:spacing w:after="0"/>
              <w:rPr>
                <w:sz w:val="1"/>
                <w:szCs w:val="1"/>
                <w:color w:val="auto"/>
              </w:rPr>
            </w:pPr>
          </w:p>
        </w:tc>
      </w:tr>
      <w:tr>
        <w:trPr>
          <w:trHeight w:val="181"/>
        </w:trPr>
        <w:tc>
          <w:tcPr>
            <w:tcW w:w="7380" w:type="dxa"/>
            <w:vAlign w:val="bottom"/>
          </w:tcPr>
          <w:p>
            <w:pPr>
              <w:ind w:left="860"/>
              <w:spacing w:after="0" w:line="181" w:lineRule="exact"/>
              <w:rPr>
                <w:sz w:val="20"/>
                <w:szCs w:val="20"/>
                <w:color w:val="auto"/>
              </w:rPr>
            </w:pPr>
            <w:r>
              <w:rPr>
                <w:rFonts w:ascii="Arial" w:cs="Arial" w:eastAsia="Arial" w:hAnsi="Arial"/>
                <w:sz w:val="16"/>
                <w:szCs w:val="16"/>
                <w:color w:val="auto"/>
              </w:rPr>
              <w:t>Risk adjustment for non-financial risk</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4,078</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5,550</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9,628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380" w:type="dxa"/>
            <w:vAlign w:val="bottom"/>
          </w:tcPr>
          <w:p>
            <w:pPr>
              <w:ind w:left="860"/>
              <w:spacing w:after="0"/>
              <w:rPr>
                <w:sz w:val="20"/>
                <w:szCs w:val="20"/>
                <w:color w:val="auto"/>
              </w:rPr>
            </w:pPr>
            <w:r>
              <w:rPr>
                <w:rFonts w:ascii="Arial" w:cs="Arial" w:eastAsia="Arial" w:hAnsi="Arial"/>
                <w:sz w:val="16"/>
                <w:szCs w:val="16"/>
                <w:color w:val="auto"/>
              </w:rPr>
              <w:t>CSM</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123,703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123,703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80" w:type="dxa"/>
            <w:vAlign w:val="bottom"/>
          </w:tcPr>
          <w:p>
            <w:pPr>
              <w:ind w:left="860"/>
              <w:spacing w:after="0"/>
              <w:rPr>
                <w:sz w:val="20"/>
                <w:szCs w:val="20"/>
                <w:color w:val="auto"/>
              </w:rPr>
            </w:pPr>
            <w:r>
              <w:rPr>
                <w:rFonts w:ascii="Arial" w:cs="Arial" w:eastAsia="Arial" w:hAnsi="Arial"/>
                <w:sz w:val="16"/>
                <w:szCs w:val="16"/>
                <w:b w:val="1"/>
                <w:bCs w:val="1"/>
                <w:color w:val="auto"/>
              </w:rPr>
              <w:t>Impact on provisions for contracts recognized in the period</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31,136</w:t>
            </w:r>
          </w:p>
        </w:tc>
        <w:tc>
          <w:tcPr>
            <w:tcW w:w="180" w:type="dxa"/>
            <w:vAlign w:val="bottom"/>
          </w:tcPr>
          <w:p>
            <w:pPr>
              <w:spacing w:after="0"/>
              <w:rPr>
                <w:sz w:val="17"/>
                <w:szCs w:val="17"/>
                <w:color w:val="auto"/>
              </w:rPr>
            </w:pPr>
          </w:p>
        </w:tc>
        <w:tc>
          <w:tcPr>
            <w:tcW w:w="1100" w:type="dxa"/>
            <w:vAlign w:val="bottom"/>
            <w:tcBorders>
              <w:top w:val="single" w:sz="8" w:color="auto"/>
            </w:tcBorders>
          </w:tcPr>
          <w:p>
            <w:pPr>
              <w:ind w:left="102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31,136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7380" w:type="dxa"/>
            <w:vAlign w:val="bottom"/>
          </w:tcPr>
          <w:p>
            <w:pPr>
              <w:spacing w:after="0"/>
              <w:rPr>
                <w:sz w:val="24"/>
                <w:szCs w:val="24"/>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80" w:type="dxa"/>
            <w:vAlign w:val="bottom"/>
          </w:tcPr>
          <w:p>
            <w:pPr>
              <w:spacing w:after="0"/>
              <w:rPr>
                <w:sz w:val="13"/>
                <w:szCs w:val="13"/>
                <w:color w:val="auto"/>
              </w:rPr>
            </w:pPr>
          </w:p>
        </w:tc>
        <w:tc>
          <w:tcPr>
            <w:tcW w:w="128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Onerous</w:t>
            </w:r>
          </w:p>
        </w:tc>
        <w:tc>
          <w:tcPr>
            <w:tcW w:w="1300" w:type="dxa"/>
            <w:vAlign w:val="bottom"/>
            <w:gridSpan w:val="2"/>
          </w:tcPr>
          <w:p>
            <w:pPr>
              <w:ind w:left="20"/>
              <w:spacing w:after="0" w:line="156" w:lineRule="exact"/>
              <w:rPr>
                <w:sz w:val="20"/>
                <w:szCs w:val="20"/>
                <w:color w:val="auto"/>
              </w:rPr>
            </w:pPr>
            <w:r>
              <w:rPr>
                <w:rFonts w:ascii="Arial" w:cs="Arial" w:eastAsia="Arial" w:hAnsi="Arial"/>
                <w:sz w:val="16"/>
                <w:szCs w:val="16"/>
                <w:b w:val="1"/>
                <w:bCs w:val="1"/>
                <w:color w:val="auto"/>
              </w:rPr>
              <w:t>Non-onerous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38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contracts</w:t>
            </w: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contracts</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380" w:type="dxa"/>
            <w:vAlign w:val="bottom"/>
            <w:vMerge w:val="restart"/>
          </w:tcPr>
          <w:p>
            <w:pPr>
              <w:ind w:left="860"/>
              <w:spacing w:after="0"/>
              <w:rPr>
                <w:sz w:val="20"/>
                <w:szCs w:val="20"/>
                <w:color w:val="auto"/>
              </w:rPr>
            </w:pPr>
            <w:r>
              <w:rPr>
                <w:rFonts w:ascii="Arial" w:cs="Arial" w:eastAsia="Arial" w:hAnsi="Arial"/>
                <w:sz w:val="16"/>
                <w:szCs w:val="16"/>
                <w:color w:val="auto"/>
              </w:rPr>
              <w:t>Estimates of the present value of future outflows:</w:t>
            </w: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1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73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1000"/>
              <w:spacing w:after="0" w:line="181" w:lineRule="exact"/>
              <w:rPr>
                <w:sz w:val="20"/>
                <w:szCs w:val="20"/>
                <w:color w:val="auto"/>
              </w:rPr>
            </w:pPr>
            <w:r>
              <w:rPr>
                <w:rFonts w:ascii="Arial" w:cs="Arial" w:eastAsia="Arial" w:hAnsi="Arial"/>
                <w:sz w:val="16"/>
                <w:szCs w:val="16"/>
                <w:color w:val="auto"/>
              </w:rPr>
              <w:t>Insurance acquisition cash flows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21,123</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85,120</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106,243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1000"/>
              <w:spacing w:after="0" w:line="181" w:lineRule="exact"/>
              <w:rPr>
                <w:sz w:val="20"/>
                <w:szCs w:val="20"/>
                <w:color w:val="auto"/>
              </w:rPr>
            </w:pPr>
            <w:r>
              <w:rPr>
                <w:rFonts w:ascii="Arial" w:cs="Arial" w:eastAsia="Arial" w:hAnsi="Arial"/>
                <w:sz w:val="16"/>
                <w:szCs w:val="16"/>
                <w:color w:val="auto"/>
              </w:rPr>
              <w:t>Claims and other directly attributable expenses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135,905</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658,515</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794,420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80" w:type="dxa"/>
            <w:vAlign w:val="bottom"/>
          </w:tcPr>
          <w:p>
            <w:pPr>
              <w:ind w:left="860"/>
              <w:spacing w:after="0" w:line="181" w:lineRule="exact"/>
              <w:rPr>
                <w:sz w:val="20"/>
                <w:szCs w:val="20"/>
                <w:color w:val="auto"/>
              </w:rPr>
            </w:pPr>
            <w:r>
              <w:rPr>
                <w:rFonts w:ascii="Arial" w:cs="Arial" w:eastAsia="Arial" w:hAnsi="Arial"/>
                <w:sz w:val="16"/>
                <w:szCs w:val="16"/>
                <w:color w:val="auto"/>
              </w:rPr>
              <w:t>Estimates of the present value of future inflows</w:t>
            </w:r>
          </w:p>
        </w:tc>
        <w:tc>
          <w:tcPr>
            <w:tcW w:w="12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(138,467)</w:t>
            </w:r>
          </w:p>
        </w:tc>
        <w:tc>
          <w:tcPr>
            <w:tcW w:w="13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(856,323)</w:t>
            </w:r>
          </w:p>
        </w:tc>
        <w:tc>
          <w:tcPr>
            <w:tcW w:w="130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(994,790)</w:t>
            </w:r>
          </w:p>
        </w:tc>
        <w:tc>
          <w:tcPr>
            <w:tcW w:w="0" w:type="dxa"/>
            <w:vAlign w:val="bottom"/>
          </w:tcPr>
          <w:p>
            <w:pPr>
              <w:spacing w:after="0"/>
              <w:rPr>
                <w:sz w:val="1"/>
                <w:szCs w:val="1"/>
                <w:color w:val="auto"/>
              </w:rPr>
            </w:pPr>
          </w:p>
        </w:tc>
      </w:tr>
      <w:tr>
        <w:trPr>
          <w:trHeight w:val="181"/>
        </w:trPr>
        <w:tc>
          <w:tcPr>
            <w:tcW w:w="7380" w:type="dxa"/>
            <w:vAlign w:val="bottom"/>
          </w:tcPr>
          <w:p>
            <w:pPr>
              <w:ind w:left="860"/>
              <w:spacing w:after="0" w:line="181" w:lineRule="exact"/>
              <w:rPr>
                <w:sz w:val="20"/>
                <w:szCs w:val="20"/>
                <w:color w:val="auto"/>
              </w:rPr>
            </w:pPr>
            <w:r>
              <w:rPr>
                <w:rFonts w:ascii="Arial" w:cs="Arial" w:eastAsia="Arial" w:hAnsi="Arial"/>
                <w:sz w:val="16"/>
                <w:szCs w:val="16"/>
                <w:color w:val="auto"/>
              </w:rPr>
              <w:t>Risk adjustment for non-financial risk</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1,913</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6,225</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8,138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380" w:type="dxa"/>
            <w:vAlign w:val="bottom"/>
          </w:tcPr>
          <w:p>
            <w:pPr>
              <w:ind w:left="860"/>
              <w:spacing w:after="0"/>
              <w:rPr>
                <w:sz w:val="20"/>
                <w:szCs w:val="20"/>
                <w:color w:val="auto"/>
              </w:rPr>
            </w:pPr>
            <w:r>
              <w:rPr>
                <w:rFonts w:ascii="Arial" w:cs="Arial" w:eastAsia="Arial" w:hAnsi="Arial"/>
                <w:sz w:val="16"/>
                <w:szCs w:val="16"/>
                <w:color w:val="auto"/>
              </w:rPr>
              <w:t>CSM</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106,463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106,463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380" w:type="dxa"/>
            <w:vAlign w:val="bottom"/>
          </w:tcPr>
          <w:p>
            <w:pPr>
              <w:ind w:left="860"/>
              <w:spacing w:after="0" w:line="181" w:lineRule="exact"/>
              <w:rPr>
                <w:sz w:val="20"/>
                <w:szCs w:val="20"/>
                <w:color w:val="auto"/>
              </w:rPr>
            </w:pPr>
            <w:r>
              <w:rPr>
                <w:rFonts w:ascii="Arial" w:cs="Arial" w:eastAsia="Arial" w:hAnsi="Arial"/>
                <w:sz w:val="16"/>
                <w:szCs w:val="16"/>
                <w:b w:val="1"/>
                <w:bCs w:val="1"/>
                <w:color w:val="auto"/>
              </w:rPr>
              <w:t>Impact on provisions for contracts recognized in the period</w:t>
            </w:r>
          </w:p>
        </w:tc>
        <w:tc>
          <w:tcPr>
            <w:tcW w:w="11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20,474</w:t>
            </w:r>
          </w:p>
        </w:tc>
        <w:tc>
          <w:tcPr>
            <w:tcW w:w="180" w:type="dxa"/>
            <w:vAlign w:val="bottom"/>
          </w:tcPr>
          <w:p>
            <w:pPr>
              <w:spacing w:after="0"/>
              <w:rPr>
                <w:sz w:val="16"/>
                <w:szCs w:val="16"/>
                <w:color w:val="auto"/>
              </w:rPr>
            </w:pPr>
          </w:p>
        </w:tc>
        <w:tc>
          <w:tcPr>
            <w:tcW w:w="1100" w:type="dxa"/>
            <w:vAlign w:val="bottom"/>
            <w:tcBorders>
              <w:top w:val="single" w:sz="8" w:color="auto"/>
            </w:tcBorders>
          </w:tcPr>
          <w:p>
            <w:pPr>
              <w:ind w:left="102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20,474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5"/>
        </w:trPr>
        <w:tc>
          <w:tcPr>
            <w:tcW w:w="7380" w:type="dxa"/>
            <w:vAlign w:val="bottom"/>
          </w:tcPr>
          <w:p>
            <w:pPr>
              <w:ind w:left="5400"/>
              <w:spacing w:after="0"/>
              <w:rPr>
                <w:sz w:val="20"/>
                <w:szCs w:val="20"/>
                <w:color w:val="auto"/>
              </w:rPr>
            </w:pPr>
            <w:r>
              <w:rPr>
                <w:rFonts w:ascii="Arial" w:cs="Arial" w:eastAsia="Arial" w:hAnsi="Arial"/>
                <w:sz w:val="16"/>
                <w:szCs w:val="16"/>
                <w:color w:val="auto"/>
              </w:rPr>
              <w:t>- 116 -</w:t>
            </w:r>
          </w:p>
        </w:tc>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4" w:right="319" w:bottom="1440" w:gutter="0" w:footer="0" w:header="0"/>
        </w:sectPr>
      </w:pPr>
    </w:p>
    <w:bookmarkStart w:id="121" w:name="page122"/>
    <w:bookmarkEnd w:id="121"/>
    <w:p>
      <w:pPr>
        <w:ind w:left="580"/>
        <w:spacing w:after="0"/>
        <w:tabs>
          <w:tab w:leader="none" w:pos="840" w:val="left"/>
        </w:tabs>
        <w:rPr>
          <w:sz w:val="20"/>
          <w:szCs w:val="20"/>
          <w:color w:val="auto"/>
        </w:rPr>
      </w:pPr>
      <w:r>
        <w:rPr>
          <w:rFonts w:ascii="Arial" w:cs="Arial" w:eastAsia="Arial" w:hAnsi="Arial"/>
          <w:sz w:val="16"/>
          <w:szCs w:val="16"/>
          <w:color w:val="auto"/>
        </w:rPr>
        <w:t>d)</w:t>
        <w:tab/>
        <w:t>Below we present the estimate of the release of CSM over the years considering reversals of the loss component:</w:t>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198"/>
        </w:trPr>
        <w:tc>
          <w:tcPr>
            <w:tcW w:w="652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r>
      <w:tr>
        <w:trPr>
          <w:trHeight w:val="156"/>
        </w:trPr>
        <w:tc>
          <w:tcPr>
            <w:tcW w:w="6520" w:type="dxa"/>
            <w:vAlign w:val="bottom"/>
          </w:tcPr>
          <w:p>
            <w:pPr>
              <w:spacing w:after="0"/>
              <w:rPr>
                <w:sz w:val="13"/>
                <w:szCs w:val="13"/>
                <w:color w:val="auto"/>
              </w:rPr>
            </w:pPr>
          </w:p>
        </w:tc>
        <w:tc>
          <w:tcPr>
            <w:tcW w:w="110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3"/>
                <w:szCs w:val="13"/>
                <w:color w:val="auto"/>
              </w:rPr>
            </w:pPr>
          </w:p>
        </w:tc>
        <w:tc>
          <w:tcPr>
            <w:tcW w:w="110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14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One year</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155,267</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122,859</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113,378</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Two years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180,190</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125,636</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115,736</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Three years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155,916</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126,066</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116,736</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Four years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136,100</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124,387</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117,284</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Five years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130,544</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120,257</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114,531</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From 6 to 10 years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545,517</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517,669</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494,953</w:t>
            </w:r>
          </w:p>
        </w:tc>
      </w:tr>
      <w:tr>
        <w:trPr>
          <w:trHeight w:val="202"/>
        </w:trPr>
        <w:tc>
          <w:tcPr>
            <w:tcW w:w="6520" w:type="dxa"/>
            <w:vAlign w:val="bottom"/>
          </w:tcPr>
          <w:p>
            <w:pPr>
              <w:spacing w:after="0"/>
              <w:rPr>
                <w:sz w:val="20"/>
                <w:szCs w:val="20"/>
                <w:color w:val="auto"/>
              </w:rPr>
            </w:pPr>
            <w:r>
              <w:rPr>
                <w:rFonts w:ascii="Arial" w:cs="Arial" w:eastAsia="Arial" w:hAnsi="Arial"/>
                <w:sz w:val="16"/>
                <w:szCs w:val="16"/>
                <w:color w:val="auto"/>
              </w:rPr>
              <w:t>Older than 10 years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1,102,076</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1,074,187</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1,011,435</w:t>
            </w:r>
          </w:p>
        </w:tc>
      </w:tr>
      <w:tr>
        <w:trPr>
          <w:trHeight w:val="197"/>
        </w:trPr>
        <w:tc>
          <w:tcPr>
            <w:tcW w:w="65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2,405,610</w:t>
            </w:r>
          </w:p>
        </w:tc>
        <w:tc>
          <w:tcPr>
            <w:tcW w:w="1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2,211,061</w:t>
            </w: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2,084,053</w:t>
            </w:r>
          </w:p>
        </w:tc>
      </w:tr>
    </w:tbl>
    <w:p>
      <w:pPr>
        <w:spacing w:after="0" w:line="152" w:lineRule="exact"/>
        <w:rPr>
          <w:sz w:val="20"/>
          <w:szCs w:val="20"/>
          <w:color w:val="auto"/>
        </w:rPr>
      </w:pPr>
    </w:p>
    <w:p>
      <w:pPr>
        <w:ind w:left="580"/>
        <w:spacing w:after="0"/>
        <w:tabs>
          <w:tab w:leader="none" w:pos="840" w:val="left"/>
        </w:tabs>
        <w:rPr>
          <w:sz w:val="20"/>
          <w:szCs w:val="20"/>
          <w:color w:val="auto"/>
        </w:rPr>
      </w:pPr>
      <w:r>
        <w:rPr>
          <w:rFonts w:ascii="Arial" w:cs="Arial" w:eastAsia="Arial" w:hAnsi="Arial"/>
          <w:sz w:val="16"/>
          <w:szCs w:val="16"/>
          <w:color w:val="auto"/>
        </w:rPr>
        <w:t>e)</w:t>
        <w:tab/>
        <w:t>The composition of underlying assets related to contracts with direct participation features is detailed below:</w:t>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198"/>
        </w:trPr>
        <w:tc>
          <w:tcPr>
            <w:tcW w:w="652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r>
      <w:tr>
        <w:trPr>
          <w:trHeight w:val="156"/>
        </w:trPr>
        <w:tc>
          <w:tcPr>
            <w:tcW w:w="6520" w:type="dxa"/>
            <w:vAlign w:val="bottom"/>
          </w:tcPr>
          <w:p>
            <w:pPr>
              <w:spacing w:after="0"/>
              <w:rPr>
                <w:sz w:val="13"/>
                <w:szCs w:val="13"/>
                <w:color w:val="auto"/>
              </w:rPr>
            </w:pPr>
          </w:p>
        </w:tc>
        <w:tc>
          <w:tcPr>
            <w:tcW w:w="110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3"/>
                <w:szCs w:val="13"/>
                <w:color w:val="auto"/>
              </w:rPr>
            </w:pPr>
          </w:p>
        </w:tc>
        <w:tc>
          <w:tcPr>
            <w:tcW w:w="110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14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Controlled</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22,293</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76,946</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91,502</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Controlled Soles</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8,605</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3,992</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1,433</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Balanced</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184,094</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193,410</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186,879</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Balanced II</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98,059</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93,044</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79,671</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Global Balanced</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27,995</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13,648</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1,073</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Capitalized</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408,993</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425,552</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382,326</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Capitalized II</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150,542</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122,413</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87,527</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Global Growth</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101,286</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18,636</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804</w:t>
            </w:r>
          </w:p>
        </w:tc>
      </w:tr>
      <w:tr>
        <w:trPr>
          <w:trHeight w:val="181"/>
        </w:trPr>
        <w:tc>
          <w:tcPr>
            <w:tcW w:w="6520" w:type="dxa"/>
            <w:vAlign w:val="bottom"/>
          </w:tcPr>
          <w:p>
            <w:pPr>
              <w:spacing w:after="0" w:line="181" w:lineRule="exact"/>
              <w:rPr>
                <w:sz w:val="20"/>
                <w:szCs w:val="20"/>
                <w:color w:val="auto"/>
              </w:rPr>
            </w:pPr>
            <w:r>
              <w:rPr>
                <w:rFonts w:ascii="Arial" w:cs="Arial" w:eastAsia="Arial" w:hAnsi="Arial"/>
                <w:sz w:val="16"/>
                <w:szCs w:val="16"/>
                <w:color w:val="auto"/>
              </w:rPr>
              <w:t>IL Controlled II</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14,617</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r>
      <w:tr>
        <w:trPr>
          <w:trHeight w:val="214"/>
        </w:trPr>
        <w:tc>
          <w:tcPr>
            <w:tcW w:w="6520" w:type="dxa"/>
            <w:vAlign w:val="bottom"/>
          </w:tcPr>
          <w:p>
            <w:pPr>
              <w:spacing w:after="0"/>
              <w:rPr>
                <w:sz w:val="20"/>
                <w:szCs w:val="20"/>
                <w:color w:val="auto"/>
              </w:rPr>
            </w:pPr>
            <w:r>
              <w:rPr>
                <w:rFonts w:ascii="Arial" w:cs="Arial" w:eastAsia="Arial" w:hAnsi="Arial"/>
                <w:sz w:val="16"/>
                <w:szCs w:val="16"/>
                <w:color w:val="auto"/>
              </w:rPr>
              <w:t>IL Sustainable Capitalization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259</w:t>
            </w:r>
          </w:p>
        </w:tc>
      </w:tr>
    </w:tbl>
    <w:p>
      <w:pPr>
        <w:spacing w:after="0" w:line="136" w:lineRule="exact"/>
        <w:rPr>
          <w:sz w:val="20"/>
          <w:szCs w:val="20"/>
          <w:color w:val="auto"/>
        </w:rPr>
      </w:pPr>
    </w:p>
    <w:p>
      <w:pPr>
        <w:ind w:left="860" w:right="180" w:hanging="284"/>
        <w:spacing w:after="0" w:line="274" w:lineRule="auto"/>
        <w:tabs>
          <w:tab w:leader="none" w:pos="8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impact on the current period of the transition approaches adopted to establishing CSMs for insurance contracts portfolios is disclosed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8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6"/>
        </w:trPr>
        <w:tc>
          <w:tcPr>
            <w:tcW w:w="7380" w:type="dxa"/>
            <w:vAlign w:val="bottom"/>
          </w:tcPr>
          <w:p>
            <w:pPr>
              <w:spacing w:after="0"/>
              <w:rPr>
                <w:sz w:val="13"/>
                <w:szCs w:val="13"/>
                <w:color w:val="auto"/>
              </w:rPr>
            </w:pPr>
          </w:p>
        </w:tc>
        <w:tc>
          <w:tcPr>
            <w:tcW w:w="110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3"/>
                <w:szCs w:val="13"/>
                <w:color w:val="auto"/>
              </w:rPr>
            </w:pPr>
          </w:p>
        </w:tc>
        <w:tc>
          <w:tcPr>
            <w:tcW w:w="110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140" w:type="dxa"/>
            <w:vAlign w:val="bottom"/>
          </w:tcPr>
          <w:p>
            <w:pPr>
              <w:spacing w:after="0" w:line="156" w:lineRule="exact"/>
              <w:rPr>
                <w:sz w:val="20"/>
                <w:szCs w:val="20"/>
                <w:color w:val="auto"/>
              </w:rPr>
            </w:pPr>
            <w:r>
              <w:rPr>
                <w:rFonts w:ascii="Arial" w:cs="Arial" w:eastAsia="Arial" w:hAnsi="Arial"/>
                <w:sz w:val="16"/>
                <w:szCs w:val="16"/>
                <w:b w:val="1"/>
                <w:bCs w:val="1"/>
                <w:color w:val="auto"/>
              </w:rPr>
              <w:t>S/(000)</w:t>
            </w:r>
          </w:p>
        </w:tc>
        <w:tc>
          <w:tcPr>
            <w:tcW w:w="160" w:type="dxa"/>
            <w:vAlign w:val="bottom"/>
            <w:gridSpan w:val="3"/>
          </w:tcPr>
          <w:p>
            <w:pPr>
              <w:spacing w:after="0"/>
              <w:rPr>
                <w:sz w:val="13"/>
                <w:szCs w:val="13"/>
                <w:color w:val="auto"/>
              </w:rPr>
            </w:pPr>
          </w:p>
        </w:tc>
      </w:tr>
      <w:tr>
        <w:trPr>
          <w:trHeight w:val="181"/>
        </w:trPr>
        <w:tc>
          <w:tcPr>
            <w:tcW w:w="7380" w:type="dxa"/>
            <w:vAlign w:val="bottom"/>
          </w:tcPr>
          <w:p>
            <w:pPr>
              <w:ind w:left="860"/>
              <w:spacing w:after="0" w:line="181" w:lineRule="exact"/>
              <w:rPr>
                <w:sz w:val="20"/>
                <w:szCs w:val="20"/>
                <w:color w:val="auto"/>
              </w:rPr>
            </w:pPr>
            <w:r>
              <w:rPr>
                <w:rFonts w:ascii="Arial" w:cs="Arial" w:eastAsia="Arial" w:hAnsi="Arial"/>
                <w:sz w:val="16"/>
                <w:szCs w:val="16"/>
                <w:color w:val="auto"/>
              </w:rPr>
              <w:t>CSM at the beginning of the period</w:t>
            </w:r>
          </w:p>
        </w:tc>
        <w:tc>
          <w:tcPr>
            <w:tcW w:w="12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794,935</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887,586</w:t>
            </w:r>
          </w:p>
        </w:tc>
        <w:tc>
          <w:tcPr>
            <w:tcW w:w="1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992,526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7380" w:type="dxa"/>
            <w:vAlign w:val="bottom"/>
          </w:tcPr>
          <w:p>
            <w:pPr>
              <w:ind w:left="1000"/>
              <w:spacing w:after="0"/>
              <w:rPr>
                <w:sz w:val="20"/>
                <w:szCs w:val="20"/>
                <w:color w:val="auto"/>
              </w:rPr>
            </w:pPr>
            <w:r>
              <w:rPr>
                <w:rFonts w:ascii="Arial" w:cs="Arial" w:eastAsia="Arial" w:hAnsi="Arial"/>
                <w:sz w:val="16"/>
                <w:szCs w:val="16"/>
                <w:color w:val="auto"/>
              </w:rPr>
              <w:t>Changes in estimates adjusting the CSM</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(28,094)</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(33,955)</w:t>
            </w:r>
          </w:p>
        </w:tc>
        <w:tc>
          <w:tcPr>
            <w:tcW w:w="1300" w:type="dxa"/>
            <w:vAlign w:val="bottom"/>
            <w:gridSpan w:val="4"/>
          </w:tcPr>
          <w:p>
            <w:pPr>
              <w:jc w:val="right"/>
              <w:ind w:right="100"/>
              <w:spacing w:after="0"/>
              <w:rPr>
                <w:sz w:val="20"/>
                <w:szCs w:val="20"/>
                <w:color w:val="auto"/>
              </w:rPr>
            </w:pPr>
            <w:r>
              <w:rPr>
                <w:rFonts w:ascii="Arial" w:cs="Arial" w:eastAsia="Arial" w:hAnsi="Arial"/>
                <w:sz w:val="16"/>
                <w:szCs w:val="16"/>
                <w:color w:val="auto"/>
              </w:rPr>
              <w:t>(11,445)</w:t>
            </w:r>
          </w:p>
        </w:tc>
      </w:tr>
      <w:tr>
        <w:trPr>
          <w:trHeight w:val="156"/>
        </w:trPr>
        <w:tc>
          <w:tcPr>
            <w:tcW w:w="7380" w:type="dxa"/>
            <w:vAlign w:val="bottom"/>
          </w:tcPr>
          <w:p>
            <w:pPr>
              <w:ind w:left="860"/>
              <w:spacing w:after="0" w:line="156" w:lineRule="exact"/>
              <w:rPr>
                <w:sz w:val="20"/>
                <w:szCs w:val="20"/>
                <w:color w:val="auto"/>
              </w:rPr>
            </w:pPr>
            <w:r>
              <w:rPr>
                <w:rFonts w:ascii="Arial" w:cs="Arial" w:eastAsia="Arial" w:hAnsi="Arial"/>
                <w:sz w:val="16"/>
                <w:szCs w:val="16"/>
                <w:color w:val="auto"/>
              </w:rPr>
              <w:t>Changes related to future service</w:t>
            </w: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(28,094)</w:t>
            </w:r>
          </w:p>
        </w:tc>
        <w:tc>
          <w:tcPr>
            <w:tcW w:w="180" w:type="dxa"/>
            <w:vAlign w:val="bottom"/>
          </w:tcPr>
          <w:p>
            <w:pPr>
              <w:spacing w:after="0"/>
              <w:rPr>
                <w:sz w:val="13"/>
                <w:szCs w:val="13"/>
                <w:color w:val="auto"/>
              </w:rPr>
            </w:pP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(33,955)</w:t>
            </w:r>
          </w:p>
        </w:tc>
        <w:tc>
          <w:tcPr>
            <w:tcW w:w="20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20"/>
              <w:spacing w:after="0" w:line="156" w:lineRule="exact"/>
              <w:rPr>
                <w:sz w:val="20"/>
                <w:szCs w:val="20"/>
                <w:color w:val="auto"/>
              </w:rPr>
            </w:pPr>
            <w:r>
              <w:rPr>
                <w:rFonts w:ascii="Arial" w:cs="Arial" w:eastAsia="Arial" w:hAnsi="Arial"/>
                <w:sz w:val="16"/>
                <w:szCs w:val="16"/>
                <w:color w:val="auto"/>
              </w:rPr>
              <w:t>(11,445)</w:t>
            </w:r>
          </w:p>
        </w:tc>
        <w:tc>
          <w:tcPr>
            <w:tcW w:w="140" w:type="dxa"/>
            <w:vAlign w:val="bottom"/>
            <w:gridSpan w:val="2"/>
          </w:tcPr>
          <w:p>
            <w:pPr>
              <w:spacing w:after="0"/>
              <w:rPr>
                <w:sz w:val="13"/>
                <w:szCs w:val="13"/>
                <w:color w:val="auto"/>
              </w:rPr>
            </w:pPr>
          </w:p>
        </w:tc>
      </w:tr>
      <w:tr>
        <w:trPr>
          <w:trHeight w:val="181"/>
        </w:trPr>
        <w:tc>
          <w:tcPr>
            <w:tcW w:w="7380" w:type="dxa"/>
            <w:vAlign w:val="bottom"/>
          </w:tcPr>
          <w:p>
            <w:pPr>
              <w:ind w:left="1160"/>
              <w:spacing w:after="0" w:line="181" w:lineRule="exact"/>
              <w:rPr>
                <w:sz w:val="20"/>
                <w:szCs w:val="20"/>
                <w:color w:val="auto"/>
              </w:rPr>
            </w:pPr>
            <w:r>
              <w:rPr>
                <w:rFonts w:ascii="Arial" w:cs="Arial" w:eastAsia="Arial" w:hAnsi="Arial"/>
                <w:sz w:val="16"/>
                <w:szCs w:val="16"/>
                <w:color w:val="auto"/>
              </w:rPr>
              <w:t>CSM recognized in P&amp;L for services rendered</w:t>
            </w:r>
          </w:p>
        </w:tc>
        <w:tc>
          <w:tcPr>
            <w:tcW w:w="12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(84,888)</w:t>
            </w:r>
          </w:p>
        </w:tc>
        <w:tc>
          <w:tcPr>
            <w:tcW w:w="13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(91,995)</w:t>
            </w:r>
          </w:p>
        </w:tc>
        <w:tc>
          <w:tcPr>
            <w:tcW w:w="1300" w:type="dxa"/>
            <w:vAlign w:val="bottom"/>
            <w:gridSpan w:val="4"/>
          </w:tcPr>
          <w:p>
            <w:pPr>
              <w:jc w:val="right"/>
              <w:ind w:right="100"/>
              <w:spacing w:after="0" w:line="181" w:lineRule="exact"/>
              <w:rPr>
                <w:sz w:val="20"/>
                <w:szCs w:val="20"/>
                <w:color w:val="auto"/>
              </w:rPr>
            </w:pPr>
            <w:r>
              <w:rPr>
                <w:rFonts w:ascii="Arial" w:cs="Arial" w:eastAsia="Arial" w:hAnsi="Arial"/>
                <w:sz w:val="16"/>
                <w:szCs w:val="16"/>
                <w:color w:val="auto"/>
              </w:rPr>
              <w:t>(102,878)</w:t>
            </w:r>
          </w:p>
        </w:tc>
      </w:tr>
      <w:tr>
        <w:trPr>
          <w:trHeight w:val="210"/>
        </w:trPr>
        <w:tc>
          <w:tcPr>
            <w:tcW w:w="7380" w:type="dxa"/>
            <w:vAlign w:val="bottom"/>
          </w:tcPr>
          <w:p>
            <w:pPr>
              <w:ind w:left="1160"/>
              <w:spacing w:after="0"/>
              <w:rPr>
                <w:sz w:val="20"/>
                <w:szCs w:val="20"/>
                <w:color w:val="auto"/>
              </w:rPr>
            </w:pPr>
            <w:r>
              <w:rPr>
                <w:rFonts w:ascii="Arial" w:cs="Arial" w:eastAsia="Arial" w:hAnsi="Arial"/>
                <w:sz w:val="16"/>
                <w:szCs w:val="16"/>
                <w:color w:val="auto"/>
              </w:rPr>
              <w:t>Interest expense on insurance contracts issued (interest on CSM)</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20,469</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23,975</w:t>
            </w:r>
          </w:p>
        </w:tc>
        <w:tc>
          <w:tcPr>
            <w:tcW w:w="1180" w:type="dxa"/>
            <w:vAlign w:val="bottom"/>
            <w:gridSpan w:val="3"/>
          </w:tcPr>
          <w:p>
            <w:pPr>
              <w:jc w:val="right"/>
              <w:ind w:right="40"/>
              <w:spacing w:after="0"/>
              <w:rPr>
                <w:sz w:val="20"/>
                <w:szCs w:val="20"/>
                <w:color w:val="auto"/>
              </w:rPr>
            </w:pPr>
            <w:r>
              <w:rPr>
                <w:rFonts w:ascii="Arial" w:cs="Arial" w:eastAsia="Arial" w:hAnsi="Arial"/>
                <w:sz w:val="16"/>
                <w:szCs w:val="16"/>
                <w:color w:val="auto"/>
              </w:rPr>
              <w:t>28,279</w:t>
            </w:r>
          </w:p>
        </w:tc>
        <w:tc>
          <w:tcPr>
            <w:tcW w:w="120" w:type="dxa"/>
            <w:vAlign w:val="bottom"/>
          </w:tcPr>
          <w:p>
            <w:pPr>
              <w:spacing w:after="0"/>
              <w:rPr>
                <w:sz w:val="18"/>
                <w:szCs w:val="18"/>
                <w:color w:val="auto"/>
              </w:rPr>
            </w:pPr>
          </w:p>
        </w:tc>
      </w:tr>
      <w:tr>
        <w:trPr>
          <w:trHeight w:val="156"/>
        </w:trPr>
        <w:tc>
          <w:tcPr>
            <w:tcW w:w="7380" w:type="dxa"/>
            <w:vAlign w:val="bottom"/>
          </w:tcPr>
          <w:p>
            <w:pPr>
              <w:ind w:left="860"/>
              <w:spacing w:after="0" w:line="156" w:lineRule="exact"/>
              <w:rPr>
                <w:sz w:val="20"/>
                <w:szCs w:val="20"/>
                <w:color w:val="auto"/>
              </w:rPr>
            </w:pPr>
            <w:r>
              <w:rPr>
                <w:rFonts w:ascii="Arial" w:cs="Arial" w:eastAsia="Arial" w:hAnsi="Arial"/>
                <w:sz w:val="16"/>
                <w:szCs w:val="16"/>
                <w:color w:val="auto"/>
              </w:rPr>
              <w:t>Changes related to the current service</w:t>
            </w: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(64,419)</w:t>
            </w:r>
          </w:p>
        </w:tc>
        <w:tc>
          <w:tcPr>
            <w:tcW w:w="180" w:type="dxa"/>
            <w:vAlign w:val="bottom"/>
          </w:tcPr>
          <w:p>
            <w:pPr>
              <w:spacing w:after="0"/>
              <w:rPr>
                <w:sz w:val="13"/>
                <w:szCs w:val="13"/>
                <w:color w:val="auto"/>
              </w:rPr>
            </w:pP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(68,020)</w:t>
            </w:r>
          </w:p>
        </w:tc>
        <w:tc>
          <w:tcPr>
            <w:tcW w:w="200" w:type="dxa"/>
            <w:vAlign w:val="bottom"/>
          </w:tcPr>
          <w:p>
            <w:pPr>
              <w:spacing w:after="0"/>
              <w:rPr>
                <w:sz w:val="13"/>
                <w:szCs w:val="13"/>
                <w:color w:val="auto"/>
              </w:rPr>
            </w:pPr>
          </w:p>
        </w:tc>
        <w:tc>
          <w:tcPr>
            <w:tcW w:w="1180" w:type="dxa"/>
            <w:vAlign w:val="bottom"/>
            <w:tcBorders>
              <w:top w:val="single" w:sz="8" w:color="auto"/>
            </w:tcBorders>
            <w:gridSpan w:val="3"/>
          </w:tcPr>
          <w:p>
            <w:pPr>
              <w:jc w:val="right"/>
              <w:ind w:right="40"/>
              <w:spacing w:after="0" w:line="156" w:lineRule="exact"/>
              <w:rPr>
                <w:sz w:val="20"/>
                <w:szCs w:val="20"/>
                <w:color w:val="auto"/>
              </w:rPr>
            </w:pPr>
            <w:r>
              <w:rPr>
                <w:rFonts w:ascii="Arial" w:cs="Arial" w:eastAsia="Arial" w:hAnsi="Arial"/>
                <w:sz w:val="16"/>
                <w:szCs w:val="16"/>
                <w:color w:val="auto"/>
              </w:rPr>
              <w:t>(74,599)</w:t>
            </w:r>
          </w:p>
        </w:tc>
        <w:tc>
          <w:tcPr>
            <w:tcW w:w="120" w:type="dxa"/>
            <w:vAlign w:val="bottom"/>
          </w:tcPr>
          <w:p>
            <w:pPr>
              <w:spacing w:after="0"/>
              <w:rPr>
                <w:sz w:val="13"/>
                <w:szCs w:val="13"/>
                <w:color w:val="auto"/>
              </w:rPr>
            </w:pPr>
          </w:p>
        </w:tc>
      </w:tr>
      <w:tr>
        <w:trPr>
          <w:trHeight w:val="202"/>
        </w:trPr>
        <w:tc>
          <w:tcPr>
            <w:tcW w:w="7380" w:type="dxa"/>
            <w:vAlign w:val="bottom"/>
          </w:tcPr>
          <w:p>
            <w:pPr>
              <w:ind w:left="860"/>
              <w:spacing w:after="0"/>
              <w:rPr>
                <w:sz w:val="20"/>
                <w:szCs w:val="20"/>
                <w:color w:val="auto"/>
              </w:rPr>
            </w:pPr>
            <w:r>
              <w:rPr>
                <w:rFonts w:ascii="Arial" w:cs="Arial" w:eastAsia="Arial" w:hAnsi="Arial"/>
                <w:sz w:val="16"/>
                <w:szCs w:val="16"/>
                <w:color w:val="auto"/>
              </w:rPr>
              <w:t>Other changes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(56,872)</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9,324</w:t>
            </w:r>
          </w:p>
        </w:tc>
        <w:tc>
          <w:tcPr>
            <w:tcW w:w="1300" w:type="dxa"/>
            <w:vAlign w:val="bottom"/>
            <w:gridSpan w:val="4"/>
          </w:tcPr>
          <w:p>
            <w:pPr>
              <w:jc w:val="right"/>
              <w:ind w:right="100"/>
              <w:spacing w:after="0"/>
              <w:rPr>
                <w:sz w:val="20"/>
                <w:szCs w:val="20"/>
                <w:color w:val="auto"/>
              </w:rPr>
            </w:pPr>
            <w:r>
              <w:rPr>
                <w:rFonts w:ascii="Arial" w:cs="Arial" w:eastAsia="Arial" w:hAnsi="Arial"/>
                <w:sz w:val="16"/>
                <w:szCs w:val="16"/>
                <w:color w:val="auto"/>
              </w:rPr>
              <w:t>(18,896)</w:t>
            </w:r>
          </w:p>
        </w:tc>
      </w:tr>
      <w:tr>
        <w:trPr>
          <w:trHeight w:val="197"/>
        </w:trPr>
        <w:tc>
          <w:tcPr>
            <w:tcW w:w="7380" w:type="dxa"/>
            <w:vAlign w:val="bottom"/>
          </w:tcPr>
          <w:p>
            <w:pPr>
              <w:ind w:left="860"/>
              <w:spacing w:after="0"/>
              <w:rPr>
                <w:sz w:val="20"/>
                <w:szCs w:val="20"/>
                <w:color w:val="auto"/>
              </w:rPr>
            </w:pPr>
            <w:r>
              <w:rPr>
                <w:rFonts w:ascii="Arial" w:cs="Arial" w:eastAsia="Arial" w:hAnsi="Arial"/>
                <w:sz w:val="16"/>
                <w:szCs w:val="16"/>
                <w:b w:val="1"/>
                <w:bCs w:val="1"/>
                <w:color w:val="auto"/>
              </w:rPr>
              <w:t>CSM at the end of the period</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645,550</w:t>
            </w:r>
          </w:p>
        </w:tc>
        <w:tc>
          <w:tcPr>
            <w:tcW w:w="18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794,935</w:t>
            </w: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887,586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5"/>
        </w:trPr>
        <w:tc>
          <w:tcPr>
            <w:tcW w:w="7380" w:type="dxa"/>
            <w:vAlign w:val="bottom"/>
          </w:tcPr>
          <w:p>
            <w:pPr>
              <w:ind w:left="5400"/>
              <w:spacing w:after="0"/>
              <w:rPr>
                <w:sz w:val="20"/>
                <w:szCs w:val="20"/>
                <w:color w:val="auto"/>
              </w:rPr>
            </w:pPr>
            <w:r>
              <w:rPr>
                <w:rFonts w:ascii="Arial" w:cs="Arial" w:eastAsia="Arial" w:hAnsi="Arial"/>
                <w:sz w:val="16"/>
                <w:szCs w:val="16"/>
                <w:color w:val="auto"/>
              </w:rPr>
              <w:t>- 117 -</w:t>
            </w:r>
          </w:p>
        </w:tc>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
        </w:trPr>
        <w:tc>
          <w:tcPr>
            <w:tcW w:w="7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4" w:right="319" w:bottom="1440" w:gutter="0" w:footer="0" w:header="0"/>
        </w:sectPr>
      </w:pPr>
    </w:p>
    <w:bookmarkStart w:id="122" w:name="page123"/>
    <w:bookmarkEnd w:id="122"/>
    <w:p>
      <w:pPr>
        <w:ind w:left="583" w:right="7600" w:hanging="583"/>
        <w:spacing w:after="0" w:line="479" w:lineRule="auto"/>
        <w:tabs>
          <w:tab w:leader="none" w:pos="583"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SALARIES AND EMPLOYEES BENEFITS </w:t>
      </w:r>
      <w:r>
        <w:rPr>
          <w:rFonts w:ascii="Arial" w:cs="Arial" w:eastAsia="Arial" w:hAnsi="Arial"/>
          <w:sz w:val="16"/>
          <w:szCs w:val="16"/>
          <w:color w:val="auto"/>
        </w:rPr>
        <w:t>This item consists of the following:</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98"/>
        </w:trPr>
        <w:tc>
          <w:tcPr>
            <w:tcW w:w="3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580" w:type="dxa"/>
            <w:vAlign w:val="bottom"/>
            <w:gridSpan w:val="2"/>
          </w:tcPr>
          <w:p>
            <w:pPr>
              <w:ind w:left="248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4"/>
        </w:trPr>
        <w:tc>
          <w:tcPr>
            <w:tcW w:w="3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05"/>
        </w:trPr>
        <w:tc>
          <w:tcPr>
            <w:tcW w:w="360" w:type="dxa"/>
            <w:vAlign w:val="bottom"/>
          </w:tcPr>
          <w:p>
            <w:pPr>
              <w:spacing w:after="0"/>
              <w:rPr>
                <w:sz w:val="24"/>
                <w:szCs w:val="24"/>
                <w:color w:val="auto"/>
              </w:rPr>
            </w:pPr>
          </w:p>
        </w:tc>
        <w:tc>
          <w:tcPr>
            <w:tcW w:w="4420" w:type="dxa"/>
            <w:vAlign w:val="bottom"/>
          </w:tcPr>
          <w:p>
            <w:pPr>
              <w:ind w:left="220"/>
              <w:spacing w:after="0"/>
              <w:rPr>
                <w:sz w:val="20"/>
                <w:szCs w:val="20"/>
                <w:color w:val="auto"/>
              </w:rPr>
            </w:pPr>
            <w:r>
              <w:rPr>
                <w:rFonts w:ascii="Arial" w:cs="Arial" w:eastAsia="Arial" w:hAnsi="Arial"/>
                <w:sz w:val="16"/>
                <w:szCs w:val="16"/>
                <w:color w:val="auto"/>
              </w:rPr>
              <w:t>Salaries</w:t>
            </w:r>
          </w:p>
        </w:tc>
        <w:tc>
          <w:tcPr>
            <w:tcW w:w="3780" w:type="dxa"/>
            <w:vAlign w:val="bottom"/>
            <w:gridSpan w:val="3"/>
          </w:tcPr>
          <w:p>
            <w:pPr>
              <w:jc w:val="right"/>
              <w:ind w:right="200"/>
              <w:spacing w:after="0"/>
              <w:rPr>
                <w:sz w:val="20"/>
                <w:szCs w:val="20"/>
                <w:color w:val="auto"/>
              </w:rPr>
            </w:pPr>
            <w:r>
              <w:rPr>
                <w:rFonts w:ascii="Arial" w:cs="Arial" w:eastAsia="Arial" w:hAnsi="Arial"/>
                <w:sz w:val="16"/>
                <w:szCs w:val="16"/>
                <w:color w:val="auto"/>
              </w:rPr>
              <w:t>3,029,130</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2,624,359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2,430,121</w:t>
            </w:r>
          </w:p>
        </w:tc>
        <w:tc>
          <w:tcPr>
            <w:tcW w:w="200" w:type="dxa"/>
            <w:vAlign w:val="bottom"/>
          </w:tcPr>
          <w:p>
            <w:pPr>
              <w:spacing w:after="0"/>
              <w:rPr>
                <w:sz w:val="24"/>
                <w:szCs w:val="24"/>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Vacations, medical assistance and others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529,185</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446,715</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433,441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Workers profit sharing</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445,756</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335,164</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286,895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Bonuses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407,832</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342,380</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320,084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Additional participation</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382,943</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349,829</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276,177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Social security</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264,787</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275,083</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254,770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Severance compensation benefit</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226,801</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198,058</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180,637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2"/>
        </w:trPr>
        <w:tc>
          <w:tcPr>
            <w:tcW w:w="360" w:type="dxa"/>
            <w:vAlign w:val="bottom"/>
          </w:tcPr>
          <w:p>
            <w:pPr>
              <w:spacing w:after="0"/>
              <w:rPr>
                <w:sz w:val="17"/>
                <w:szCs w:val="17"/>
                <w:color w:val="auto"/>
              </w:rPr>
            </w:pPr>
          </w:p>
        </w:tc>
        <w:tc>
          <w:tcPr>
            <w:tcW w:w="4420" w:type="dxa"/>
            <w:vAlign w:val="bottom"/>
          </w:tcPr>
          <w:p>
            <w:pPr>
              <w:ind w:left="220"/>
              <w:spacing w:after="0"/>
              <w:rPr>
                <w:sz w:val="20"/>
                <w:szCs w:val="20"/>
                <w:color w:val="auto"/>
              </w:rPr>
            </w:pPr>
            <w:r>
              <w:rPr>
                <w:rFonts w:ascii="Arial" w:cs="Arial" w:eastAsia="Arial" w:hAnsi="Arial"/>
                <w:sz w:val="16"/>
                <w:szCs w:val="16"/>
                <w:color w:val="auto"/>
              </w:rPr>
              <w:t>Share-based payment plans</w:t>
            </w:r>
          </w:p>
        </w:tc>
        <w:tc>
          <w:tcPr>
            <w:tcW w:w="3780" w:type="dxa"/>
            <w:vAlign w:val="bottom"/>
            <w:gridSpan w:val="3"/>
          </w:tcPr>
          <w:p>
            <w:pPr>
              <w:jc w:val="right"/>
              <w:ind w:right="200"/>
              <w:spacing w:after="0"/>
              <w:rPr>
                <w:sz w:val="20"/>
                <w:szCs w:val="20"/>
                <w:color w:val="auto"/>
              </w:rPr>
            </w:pPr>
            <w:r>
              <w:rPr>
                <w:rFonts w:ascii="Arial" w:cs="Arial" w:eastAsia="Arial" w:hAnsi="Arial"/>
                <w:sz w:val="16"/>
                <w:szCs w:val="16"/>
                <w:color w:val="auto"/>
              </w:rPr>
              <w:t>149,037</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104,848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83,328</w:t>
            </w:r>
          </w:p>
        </w:tc>
        <w:tc>
          <w:tcPr>
            <w:tcW w:w="200" w:type="dxa"/>
            <w:vAlign w:val="bottom"/>
          </w:tcPr>
          <w:p>
            <w:pPr>
              <w:spacing w:after="0"/>
              <w:rPr>
                <w:sz w:val="17"/>
                <w:szCs w:val="17"/>
                <w:color w:val="auto"/>
              </w:rPr>
            </w:pPr>
          </w:p>
        </w:tc>
      </w:tr>
      <w:tr>
        <w:trPr>
          <w:trHeight w:val="197"/>
        </w:trPr>
        <w:tc>
          <w:tcPr>
            <w:tcW w:w="360" w:type="dxa"/>
            <w:vAlign w:val="bottom"/>
          </w:tcPr>
          <w:p>
            <w:pPr>
              <w:spacing w:after="0"/>
              <w:rPr>
                <w:sz w:val="17"/>
                <w:szCs w:val="17"/>
                <w:color w:val="auto"/>
              </w:rPr>
            </w:pPr>
          </w:p>
        </w:tc>
        <w:tc>
          <w:tcPr>
            <w:tcW w:w="44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248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5,435,471</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4,676,436</w:t>
            </w:r>
          </w:p>
        </w:tc>
        <w:tc>
          <w:tcPr>
            <w:tcW w:w="200" w:type="dxa"/>
            <w:vAlign w:val="bottom"/>
          </w:tcPr>
          <w:p>
            <w:pPr>
              <w:spacing w:after="0"/>
              <w:rPr>
                <w:sz w:val="17"/>
                <w:szCs w:val="17"/>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4,265,453</w:t>
            </w:r>
          </w:p>
        </w:tc>
        <w:tc>
          <w:tcPr>
            <w:tcW w:w="200" w:type="dxa"/>
            <w:vAlign w:val="bottom"/>
          </w:tcPr>
          <w:p>
            <w:pPr>
              <w:spacing w:after="0"/>
              <w:rPr>
                <w:sz w:val="17"/>
                <w:szCs w:val="17"/>
                <w:color w:val="auto"/>
              </w:rPr>
            </w:pPr>
          </w:p>
        </w:tc>
      </w:tr>
      <w:tr>
        <w:trPr>
          <w:trHeight w:val="356"/>
        </w:trPr>
        <w:tc>
          <w:tcPr>
            <w:tcW w:w="360" w:type="dxa"/>
            <w:vAlign w:val="bottom"/>
          </w:tcPr>
          <w:p>
            <w:pPr>
              <w:jc w:val="right"/>
              <w:ind w:right="128"/>
              <w:spacing w:after="0"/>
              <w:rPr>
                <w:sz w:val="20"/>
                <w:szCs w:val="20"/>
                <w:color w:val="auto"/>
              </w:rPr>
            </w:pPr>
            <w:r>
              <w:rPr>
                <w:rFonts w:ascii="Arial" w:cs="Arial" w:eastAsia="Arial" w:hAnsi="Arial"/>
                <w:sz w:val="14"/>
                <w:szCs w:val="14"/>
                <w:b w:val="1"/>
                <w:bCs w:val="1"/>
                <w:color w:val="auto"/>
                <w:w w:val="89"/>
              </w:rPr>
              <w:t>24</w:t>
            </w:r>
          </w:p>
        </w:tc>
        <w:tc>
          <w:tcPr>
            <w:tcW w:w="4420" w:type="dxa"/>
            <w:vAlign w:val="bottom"/>
          </w:tcPr>
          <w:p>
            <w:pPr>
              <w:ind w:left="220"/>
              <w:spacing w:after="0"/>
              <w:rPr>
                <w:sz w:val="20"/>
                <w:szCs w:val="20"/>
                <w:color w:val="auto"/>
              </w:rPr>
            </w:pPr>
            <w:r>
              <w:rPr>
                <w:rFonts w:ascii="Arial" w:cs="Arial" w:eastAsia="Arial" w:hAnsi="Arial"/>
                <w:sz w:val="14"/>
                <w:szCs w:val="14"/>
                <w:b w:val="1"/>
                <w:bCs w:val="1"/>
                <w:color w:val="auto"/>
              </w:rPr>
              <w:t>ADMINISTRATIVE EXPENSES</w:t>
            </w:r>
          </w:p>
        </w:tc>
        <w:tc>
          <w:tcPr>
            <w:tcW w:w="24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4420" w:type="dxa"/>
            <w:vAlign w:val="bottom"/>
          </w:tcPr>
          <w:p>
            <w:pPr>
              <w:ind w:left="220"/>
              <w:spacing w:after="0"/>
              <w:rPr>
                <w:sz w:val="20"/>
                <w:szCs w:val="20"/>
                <w:color w:val="auto"/>
              </w:rPr>
            </w:pPr>
            <w:r>
              <w:rPr>
                <w:rFonts w:ascii="Arial" w:cs="Arial" w:eastAsia="Arial" w:hAnsi="Arial"/>
                <w:sz w:val="16"/>
                <w:szCs w:val="16"/>
                <w:color w:val="auto"/>
              </w:rPr>
              <w:t>This item consists of the following:</w:t>
            </w: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8"/>
        </w:trPr>
        <w:tc>
          <w:tcPr>
            <w:tcW w:w="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580" w:type="dxa"/>
            <w:vAlign w:val="bottom"/>
            <w:gridSpan w:val="2"/>
          </w:tcPr>
          <w:p>
            <w:pPr>
              <w:ind w:left="248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4"/>
        </w:trPr>
        <w:tc>
          <w:tcPr>
            <w:tcW w:w="3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05"/>
        </w:trPr>
        <w:tc>
          <w:tcPr>
            <w:tcW w:w="360" w:type="dxa"/>
            <w:vAlign w:val="bottom"/>
          </w:tcPr>
          <w:p>
            <w:pPr>
              <w:spacing w:after="0"/>
              <w:rPr>
                <w:sz w:val="24"/>
                <w:szCs w:val="24"/>
                <w:color w:val="auto"/>
              </w:rPr>
            </w:pPr>
          </w:p>
        </w:tc>
        <w:tc>
          <w:tcPr>
            <w:tcW w:w="4420" w:type="dxa"/>
            <w:vAlign w:val="bottom"/>
          </w:tcPr>
          <w:p>
            <w:pPr>
              <w:ind w:left="220"/>
              <w:spacing w:after="0"/>
              <w:rPr>
                <w:sz w:val="20"/>
                <w:szCs w:val="20"/>
                <w:color w:val="auto"/>
              </w:rPr>
            </w:pPr>
            <w:r>
              <w:rPr>
                <w:rFonts w:ascii="Arial" w:cs="Arial" w:eastAsia="Arial" w:hAnsi="Arial"/>
                <w:sz w:val="16"/>
                <w:szCs w:val="16"/>
                <w:color w:val="auto"/>
              </w:rPr>
              <w:t>Information technology and system expenses</w:t>
            </w:r>
          </w:p>
        </w:tc>
        <w:tc>
          <w:tcPr>
            <w:tcW w:w="3780" w:type="dxa"/>
            <w:vAlign w:val="bottom"/>
            <w:gridSpan w:val="3"/>
          </w:tcPr>
          <w:p>
            <w:pPr>
              <w:jc w:val="right"/>
              <w:ind w:right="200"/>
              <w:spacing w:after="0"/>
              <w:rPr>
                <w:sz w:val="20"/>
                <w:szCs w:val="20"/>
                <w:color w:val="auto"/>
              </w:rPr>
            </w:pPr>
            <w:r>
              <w:rPr>
                <w:rFonts w:ascii="Arial" w:cs="Arial" w:eastAsia="Arial" w:hAnsi="Arial"/>
                <w:sz w:val="16"/>
                <w:szCs w:val="16"/>
                <w:color w:val="auto"/>
              </w:rPr>
              <w:t>1,385,862</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1,251,424</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1,080,001</w:t>
            </w:r>
          </w:p>
        </w:tc>
        <w:tc>
          <w:tcPr>
            <w:tcW w:w="200" w:type="dxa"/>
            <w:vAlign w:val="bottom"/>
          </w:tcPr>
          <w:p>
            <w:pPr>
              <w:spacing w:after="0"/>
              <w:rPr>
                <w:sz w:val="24"/>
                <w:szCs w:val="24"/>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Publicity and others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514,431</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770,965</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720,718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Consulting and professional fees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448,927</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407,508</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336,715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Taxes and contributions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354,353</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382,711</w:t>
            </w:r>
          </w:p>
        </w:tc>
        <w:tc>
          <w:tcPr>
            <w:tcW w:w="20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264,326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Transport and communications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250,470</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244,255</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226,860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Repair and maintenance</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170,417</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154,533</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157,127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Short term, low-value and variable lease expenses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143,855</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124,781</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108,357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Outsourcing</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112,962</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107,274</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144,534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Commissions by agents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108,710</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118,156</w:t>
            </w:r>
          </w:p>
        </w:tc>
        <w:tc>
          <w:tcPr>
            <w:tcW w:w="20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115,120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Subscriptions and quotes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78,402</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74,002</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61,945</w:t>
            </w: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Security and protection</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69,679</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65,970</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64,432</w:t>
            </w: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Sundry supplies</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69,582</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91,769</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118,510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Electricity and water</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48,150</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52,260</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56,359</w:t>
            </w: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Insurance</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44,046</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55,150</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56,324</w:t>
            </w: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Electronic processing</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33,579</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29,466</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39,764</w:t>
            </w:r>
          </w:p>
        </w:tc>
        <w:tc>
          <w:tcPr>
            <w:tcW w:w="20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4420" w:type="dxa"/>
            <w:vAlign w:val="bottom"/>
          </w:tcPr>
          <w:p>
            <w:pPr>
              <w:ind w:left="220"/>
              <w:spacing w:after="0" w:line="181" w:lineRule="exact"/>
              <w:rPr>
                <w:sz w:val="20"/>
                <w:szCs w:val="20"/>
                <w:color w:val="auto"/>
              </w:rPr>
            </w:pPr>
            <w:r>
              <w:rPr>
                <w:rFonts w:ascii="Arial" w:cs="Arial" w:eastAsia="Arial" w:hAnsi="Arial"/>
                <w:sz w:val="16"/>
                <w:szCs w:val="16"/>
                <w:color w:val="auto"/>
              </w:rPr>
              <w:t>Cleaning</w:t>
            </w:r>
          </w:p>
        </w:tc>
        <w:tc>
          <w:tcPr>
            <w:tcW w:w="378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27,254</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25,549</w:t>
            </w: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22,677</w:t>
            </w:r>
          </w:p>
        </w:tc>
        <w:tc>
          <w:tcPr>
            <w:tcW w:w="200" w:type="dxa"/>
            <w:vAlign w:val="bottom"/>
          </w:tcPr>
          <w:p>
            <w:pPr>
              <w:spacing w:after="0"/>
              <w:rPr>
                <w:sz w:val="15"/>
                <w:szCs w:val="15"/>
                <w:color w:val="auto"/>
              </w:rPr>
            </w:pPr>
          </w:p>
        </w:tc>
      </w:tr>
      <w:tr>
        <w:trPr>
          <w:trHeight w:val="202"/>
        </w:trPr>
        <w:tc>
          <w:tcPr>
            <w:tcW w:w="360" w:type="dxa"/>
            <w:vAlign w:val="bottom"/>
          </w:tcPr>
          <w:p>
            <w:pPr>
              <w:spacing w:after="0"/>
              <w:rPr>
                <w:sz w:val="17"/>
                <w:szCs w:val="17"/>
                <w:color w:val="auto"/>
              </w:rPr>
            </w:pPr>
          </w:p>
        </w:tc>
        <w:tc>
          <w:tcPr>
            <w:tcW w:w="4420" w:type="dxa"/>
            <w:vAlign w:val="bottom"/>
          </w:tcPr>
          <w:p>
            <w:pPr>
              <w:ind w:left="220"/>
              <w:spacing w:after="0"/>
              <w:rPr>
                <w:sz w:val="20"/>
                <w:szCs w:val="20"/>
                <w:color w:val="auto"/>
              </w:rPr>
            </w:pPr>
            <w:r>
              <w:rPr>
                <w:rFonts w:ascii="Arial" w:cs="Arial" w:eastAsia="Arial" w:hAnsi="Arial"/>
                <w:sz w:val="16"/>
                <w:szCs w:val="16"/>
                <w:color w:val="auto"/>
              </w:rPr>
              <w:t>Others</w:t>
            </w:r>
          </w:p>
        </w:tc>
        <w:tc>
          <w:tcPr>
            <w:tcW w:w="3780" w:type="dxa"/>
            <w:vAlign w:val="bottom"/>
            <w:gridSpan w:val="3"/>
          </w:tcPr>
          <w:p>
            <w:pPr>
              <w:jc w:val="right"/>
              <w:ind w:right="200"/>
              <w:spacing w:after="0"/>
              <w:rPr>
                <w:sz w:val="20"/>
                <w:szCs w:val="20"/>
                <w:color w:val="auto"/>
              </w:rPr>
            </w:pPr>
            <w:r>
              <w:rPr>
                <w:rFonts w:ascii="Arial" w:cs="Arial" w:eastAsia="Arial" w:hAnsi="Arial"/>
                <w:sz w:val="16"/>
                <w:szCs w:val="16"/>
                <w:color w:val="auto"/>
              </w:rPr>
              <w:t>230,105</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228,002</w:t>
            </w:r>
          </w:p>
        </w:tc>
        <w:tc>
          <w:tcPr>
            <w:tcW w:w="1160" w:type="dxa"/>
            <w:vAlign w:val="bottom"/>
          </w:tcPr>
          <w:p>
            <w:pPr>
              <w:jc w:val="right"/>
              <w:spacing w:after="0"/>
              <w:rPr>
                <w:sz w:val="20"/>
                <w:szCs w:val="20"/>
                <w:color w:val="auto"/>
              </w:rPr>
            </w:pPr>
            <w:r>
              <w:rPr>
                <w:rFonts w:ascii="Arial" w:cs="Arial" w:eastAsia="Arial" w:hAnsi="Arial"/>
                <w:sz w:val="16"/>
                <w:szCs w:val="16"/>
                <w:color w:val="auto"/>
              </w:rPr>
              <w:t>229,434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360" w:type="dxa"/>
            <w:vAlign w:val="bottom"/>
          </w:tcPr>
          <w:p>
            <w:pPr>
              <w:spacing w:after="0"/>
              <w:rPr>
                <w:sz w:val="17"/>
                <w:szCs w:val="17"/>
                <w:color w:val="auto"/>
              </w:rPr>
            </w:pPr>
          </w:p>
        </w:tc>
        <w:tc>
          <w:tcPr>
            <w:tcW w:w="44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24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4,090,784</w:t>
            </w:r>
          </w:p>
        </w:tc>
        <w:tc>
          <w:tcPr>
            <w:tcW w:w="2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4,183,775</w:t>
            </w: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3,803,203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35"/>
        </w:trPr>
        <w:tc>
          <w:tcPr>
            <w:tcW w:w="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80" w:type="dxa"/>
            <w:vAlign w:val="bottom"/>
          </w:tcPr>
          <w:p>
            <w:pPr>
              <w:jc w:val="right"/>
              <w:ind w:right="1320"/>
              <w:spacing w:after="0"/>
              <w:rPr>
                <w:sz w:val="20"/>
                <w:szCs w:val="20"/>
                <w:color w:val="auto"/>
              </w:rPr>
            </w:pPr>
            <w:r>
              <w:rPr>
                <w:rFonts w:ascii="Arial" w:cs="Arial" w:eastAsia="Arial" w:hAnsi="Arial"/>
                <w:sz w:val="16"/>
                <w:szCs w:val="16"/>
                <w:color w:val="auto"/>
              </w:rPr>
              <w:t>- 118 -</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292" w:right="31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0" w:type="dxa"/>
            <w:vAlign w:val="bottom"/>
          </w:tcPr>
          <w:p>
            <w:pPr>
              <w:jc w:val="right"/>
              <w:ind w:right="128"/>
              <w:spacing w:after="0"/>
              <w:rPr>
                <w:sz w:val="20"/>
                <w:szCs w:val="20"/>
                <w:color w:val="auto"/>
              </w:rPr>
            </w:pPr>
            <w:r>
              <w:rPr>
                <w:rFonts w:ascii="Arial" w:cs="Arial" w:eastAsia="Arial" w:hAnsi="Arial"/>
                <w:sz w:val="14"/>
                <w:szCs w:val="14"/>
                <w:b w:val="1"/>
                <w:bCs w:val="1"/>
                <w:color w:val="auto"/>
                <w:w w:val="89"/>
              </w:rPr>
              <w:t>25</w:t>
            </w:r>
          </w:p>
        </w:tc>
        <w:tc>
          <w:tcPr>
            <w:tcW w:w="7420" w:type="dxa"/>
            <w:vAlign w:val="bottom"/>
            <w:gridSpan w:val="2"/>
          </w:tcPr>
          <w:p>
            <w:pPr>
              <w:ind w:left="220"/>
              <w:spacing w:after="0"/>
              <w:rPr>
                <w:sz w:val="20"/>
                <w:szCs w:val="20"/>
                <w:color w:val="auto"/>
              </w:rPr>
            </w:pPr>
            <w:r>
              <w:rPr>
                <w:rFonts w:ascii="Arial" w:cs="Arial" w:eastAsia="Arial" w:hAnsi="Arial"/>
                <w:sz w:val="14"/>
                <w:szCs w:val="14"/>
                <w:b w:val="1"/>
                <w:bCs w:val="1"/>
                <w:color w:val="auto"/>
              </w:rPr>
              <w:t>OTHER INCOME AND EXPENSES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0"/>
        </w:trPr>
        <w:tc>
          <w:tcPr>
            <w:tcW w:w="360" w:type="dxa"/>
            <w:vAlign w:val="bottom"/>
          </w:tcPr>
          <w:p>
            <w:pPr>
              <w:spacing w:after="0"/>
              <w:rPr>
                <w:sz w:val="24"/>
                <w:szCs w:val="24"/>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This item consists of the following:</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8"/>
        </w:trPr>
        <w:tc>
          <w:tcPr>
            <w:tcW w:w="360" w:type="dxa"/>
            <w:vAlign w:val="bottom"/>
          </w:tcPr>
          <w:p>
            <w:pPr>
              <w:spacing w:after="0"/>
              <w:rPr>
                <w:sz w:val="24"/>
                <w:szCs w:val="24"/>
                <w:color w:val="auto"/>
              </w:rPr>
            </w:pPr>
          </w:p>
        </w:tc>
        <w:tc>
          <w:tcPr>
            <w:tcW w:w="7420" w:type="dxa"/>
            <w:vAlign w:val="bottom"/>
            <w:gridSpan w:val="2"/>
          </w:tcPr>
          <w:p>
            <w:pPr>
              <w:ind w:left="6900"/>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4"/>
                <w:szCs w:val="24"/>
                <w:color w:val="auto"/>
              </w:rPr>
            </w:pPr>
          </w:p>
        </w:tc>
      </w:tr>
      <w:tr>
        <w:trPr>
          <w:trHeight w:val="156"/>
        </w:trPr>
        <w:tc>
          <w:tcPr>
            <w:tcW w:w="36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5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w w:val="95"/>
              </w:rPr>
              <w:t>S/(000)</w:t>
            </w: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1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3"/>
                <w:szCs w:val="13"/>
                <w:color w:val="auto"/>
              </w:rPr>
            </w:pP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b w:val="1"/>
                <w:bCs w:val="1"/>
                <w:color w:val="auto"/>
              </w:rPr>
              <w:t>Other income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Gain on remeasurement of previously held equity interest in Pacifico EPS, Note 2(a)</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6"/>
              </w:rPr>
              <w:t>235,490</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Reversal of provision</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6"/>
              </w:rPr>
              <w:t>188,456</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154,610</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58,703</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Rental income</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61,449</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53,077</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46,836</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Net income from the sale of property, furniture and equipment</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37,636</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68,037</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1,654</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Net result from sale of loan portfolio</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1,778</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21,295</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83,515</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Net income from the sale of investment property</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1,057</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21,771</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r>
      <w:tr>
        <w:trPr>
          <w:trHeight w:val="202"/>
        </w:trPr>
        <w:tc>
          <w:tcPr>
            <w:tcW w:w="360" w:type="dxa"/>
            <w:vAlign w:val="bottom"/>
          </w:tcPr>
          <w:p>
            <w:pPr>
              <w:spacing w:after="0"/>
              <w:rPr>
                <w:sz w:val="17"/>
                <w:szCs w:val="17"/>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Others</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58,782</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195,989</w:t>
            </w:r>
          </w:p>
        </w:tc>
        <w:tc>
          <w:tcPr>
            <w:tcW w:w="1160" w:type="dxa"/>
            <w:vAlign w:val="bottom"/>
          </w:tcPr>
          <w:p>
            <w:pPr>
              <w:jc w:val="right"/>
              <w:spacing w:after="0"/>
              <w:rPr>
                <w:sz w:val="20"/>
                <w:szCs w:val="20"/>
                <w:color w:val="auto"/>
              </w:rPr>
            </w:pPr>
            <w:r>
              <w:rPr>
                <w:rFonts w:ascii="Arial" w:cs="Arial" w:eastAsia="Arial" w:hAnsi="Arial"/>
                <w:sz w:val="16"/>
                <w:szCs w:val="16"/>
                <w:color w:val="auto"/>
              </w:rPr>
              <w:t>249,945</w:t>
            </w:r>
          </w:p>
        </w:tc>
        <w:tc>
          <w:tcPr>
            <w:tcW w:w="220" w:type="dxa"/>
            <w:vAlign w:val="bottom"/>
          </w:tcPr>
          <w:p>
            <w:pPr>
              <w:spacing w:after="0"/>
              <w:rPr>
                <w:sz w:val="17"/>
                <w:szCs w:val="17"/>
                <w:color w:val="auto"/>
              </w:rPr>
            </w:pPr>
          </w:p>
        </w:tc>
      </w:tr>
      <w:tr>
        <w:trPr>
          <w:trHeight w:val="197"/>
        </w:trPr>
        <w:tc>
          <w:tcPr>
            <w:tcW w:w="360" w:type="dxa"/>
            <w:vAlign w:val="bottom"/>
          </w:tcPr>
          <w:p>
            <w:pPr>
              <w:spacing w:after="0"/>
              <w:rPr>
                <w:sz w:val="17"/>
                <w:szCs w:val="17"/>
                <w:color w:val="auto"/>
              </w:rPr>
            </w:pPr>
          </w:p>
        </w:tc>
        <w:tc>
          <w:tcPr>
            <w:tcW w:w="6900" w:type="dxa"/>
            <w:vAlign w:val="bottom"/>
          </w:tcPr>
          <w:p>
            <w:pPr>
              <w:ind w:left="220"/>
              <w:spacing w:after="0"/>
              <w:rPr>
                <w:sz w:val="20"/>
                <w:szCs w:val="20"/>
                <w:color w:val="auto"/>
              </w:rPr>
            </w:pPr>
            <w:r>
              <w:rPr>
                <w:rFonts w:ascii="Arial" w:cs="Arial" w:eastAsia="Arial" w:hAnsi="Arial"/>
                <w:sz w:val="16"/>
                <w:szCs w:val="16"/>
                <w:b w:val="1"/>
                <w:bCs w:val="1"/>
                <w:color w:val="auto"/>
              </w:rPr>
              <w:t>Total other income</w:t>
            </w:r>
          </w:p>
        </w:tc>
        <w:tc>
          <w:tcPr>
            <w:tcW w:w="5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584,648</w:t>
            </w:r>
          </w:p>
        </w:tc>
        <w:tc>
          <w:tcPr>
            <w:tcW w:w="2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514,779</w:t>
            </w: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440,653</w:t>
            </w:r>
          </w:p>
        </w:tc>
        <w:tc>
          <w:tcPr>
            <w:tcW w:w="220" w:type="dxa"/>
            <w:vAlign w:val="bottom"/>
          </w:tcPr>
          <w:p>
            <w:pPr>
              <w:spacing w:after="0"/>
              <w:rPr>
                <w:sz w:val="17"/>
                <w:szCs w:val="17"/>
                <w:color w:val="auto"/>
              </w:rPr>
            </w:pPr>
          </w:p>
        </w:tc>
      </w:tr>
      <w:tr>
        <w:trPr>
          <w:trHeight w:val="736"/>
        </w:trPr>
        <w:tc>
          <w:tcPr>
            <w:tcW w:w="360" w:type="dxa"/>
            <w:vAlign w:val="bottom"/>
          </w:tcPr>
          <w:p>
            <w:pPr>
              <w:spacing w:after="0"/>
              <w:rPr>
                <w:sz w:val="24"/>
                <w:szCs w:val="24"/>
                <w:color w:val="auto"/>
              </w:rPr>
            </w:pPr>
          </w:p>
        </w:tc>
        <w:tc>
          <w:tcPr>
            <w:tcW w:w="7420" w:type="dxa"/>
            <w:vAlign w:val="bottom"/>
            <w:gridSpan w:val="2"/>
          </w:tcPr>
          <w:p>
            <w:pPr>
              <w:ind w:left="6900"/>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4"/>
                <w:szCs w:val="24"/>
                <w:color w:val="auto"/>
              </w:rPr>
            </w:pPr>
          </w:p>
        </w:tc>
      </w:tr>
      <w:tr>
        <w:trPr>
          <w:trHeight w:val="156"/>
        </w:trPr>
        <w:tc>
          <w:tcPr>
            <w:tcW w:w="36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5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w w:val="95"/>
              </w:rPr>
              <w:t>S/(000)</w:t>
            </w: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1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3"/>
                <w:szCs w:val="13"/>
                <w:color w:val="auto"/>
              </w:rPr>
            </w:pP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b w:val="1"/>
                <w:bCs w:val="1"/>
                <w:color w:val="auto"/>
              </w:rPr>
              <w:t>Other expenses</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Provision for sundry risks</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6"/>
              </w:rPr>
              <w:t>149,651</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315,214</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95,873</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Losses due to operational risk</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90,940</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67,030</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66,302</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Derecognition of intangibles due to withdrawals and dismissed projects</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79,335</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131,142</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96,978</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Expenses on improvements in building for rent</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39,882</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26,060</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17,445</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Provision for other accounts receivable</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26,046</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12,261</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11,975</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Donations</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22,687</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23,518</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23,354</w:t>
            </w:r>
          </w:p>
        </w:tc>
      </w:tr>
      <w:tr>
        <w:trPr>
          <w:trHeight w:val="181"/>
        </w:trPr>
        <w:tc>
          <w:tcPr>
            <w:tcW w:w="360" w:type="dxa"/>
            <w:vAlign w:val="bottom"/>
          </w:tcPr>
          <w:p>
            <w:pPr>
              <w:spacing w:after="0"/>
              <w:rPr>
                <w:sz w:val="15"/>
                <w:szCs w:val="15"/>
                <w:color w:val="auto"/>
              </w:rPr>
            </w:pPr>
          </w:p>
        </w:tc>
        <w:tc>
          <w:tcPr>
            <w:tcW w:w="7420" w:type="dxa"/>
            <w:vAlign w:val="bottom"/>
            <w:gridSpan w:val="2"/>
          </w:tcPr>
          <w:p>
            <w:pPr>
              <w:ind w:left="220"/>
              <w:spacing w:after="0" w:line="181" w:lineRule="exact"/>
              <w:rPr>
                <w:sz w:val="20"/>
                <w:szCs w:val="20"/>
                <w:color w:val="auto"/>
              </w:rPr>
            </w:pPr>
            <w:r>
              <w:rPr>
                <w:rFonts w:ascii="Arial" w:cs="Arial" w:eastAsia="Arial" w:hAnsi="Arial"/>
                <w:sz w:val="16"/>
                <w:szCs w:val="16"/>
                <w:color w:val="auto"/>
              </w:rPr>
              <w:t>Association in participation</w:t>
            </w: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7,356</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28,269</w:t>
            </w:r>
          </w:p>
        </w:tc>
        <w:tc>
          <w:tcPr>
            <w:tcW w:w="13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53,097</w:t>
            </w:r>
          </w:p>
        </w:tc>
      </w:tr>
      <w:tr>
        <w:trPr>
          <w:trHeight w:val="202"/>
        </w:trPr>
        <w:tc>
          <w:tcPr>
            <w:tcW w:w="360" w:type="dxa"/>
            <w:vAlign w:val="bottom"/>
          </w:tcPr>
          <w:p>
            <w:pPr>
              <w:spacing w:after="0"/>
              <w:rPr>
                <w:sz w:val="17"/>
                <w:szCs w:val="17"/>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Others</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152,489</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169,775</w:t>
            </w:r>
          </w:p>
        </w:tc>
        <w:tc>
          <w:tcPr>
            <w:tcW w:w="1160" w:type="dxa"/>
            <w:vAlign w:val="bottom"/>
          </w:tcPr>
          <w:p>
            <w:pPr>
              <w:jc w:val="right"/>
              <w:spacing w:after="0"/>
              <w:rPr>
                <w:sz w:val="20"/>
                <w:szCs w:val="20"/>
                <w:color w:val="auto"/>
              </w:rPr>
            </w:pPr>
            <w:r>
              <w:rPr>
                <w:rFonts w:ascii="Arial" w:cs="Arial" w:eastAsia="Arial" w:hAnsi="Arial"/>
                <w:sz w:val="16"/>
                <w:szCs w:val="16"/>
                <w:color w:val="auto"/>
              </w:rPr>
              <w:t>169,577</w:t>
            </w:r>
          </w:p>
        </w:tc>
        <w:tc>
          <w:tcPr>
            <w:tcW w:w="220" w:type="dxa"/>
            <w:vAlign w:val="bottom"/>
          </w:tcPr>
          <w:p>
            <w:pPr>
              <w:spacing w:after="0"/>
              <w:rPr>
                <w:sz w:val="17"/>
                <w:szCs w:val="17"/>
                <w:color w:val="auto"/>
              </w:rPr>
            </w:pPr>
          </w:p>
        </w:tc>
      </w:tr>
      <w:tr>
        <w:trPr>
          <w:trHeight w:val="197"/>
        </w:trPr>
        <w:tc>
          <w:tcPr>
            <w:tcW w:w="360" w:type="dxa"/>
            <w:vAlign w:val="bottom"/>
          </w:tcPr>
          <w:p>
            <w:pPr>
              <w:spacing w:after="0"/>
              <w:rPr>
                <w:sz w:val="17"/>
                <w:szCs w:val="17"/>
                <w:color w:val="auto"/>
              </w:rPr>
            </w:pPr>
          </w:p>
        </w:tc>
        <w:tc>
          <w:tcPr>
            <w:tcW w:w="6900" w:type="dxa"/>
            <w:vAlign w:val="bottom"/>
          </w:tcPr>
          <w:p>
            <w:pPr>
              <w:ind w:left="220"/>
              <w:spacing w:after="0"/>
              <w:rPr>
                <w:sz w:val="20"/>
                <w:szCs w:val="20"/>
                <w:color w:val="auto"/>
              </w:rPr>
            </w:pPr>
            <w:r>
              <w:rPr>
                <w:rFonts w:ascii="Arial" w:cs="Arial" w:eastAsia="Arial" w:hAnsi="Arial"/>
                <w:sz w:val="16"/>
                <w:szCs w:val="16"/>
                <w:b w:val="1"/>
                <w:bCs w:val="1"/>
                <w:color w:val="auto"/>
              </w:rPr>
              <w:t>Total other expenses</w:t>
            </w:r>
          </w:p>
        </w:tc>
        <w:tc>
          <w:tcPr>
            <w:tcW w:w="5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568,386</w:t>
            </w:r>
          </w:p>
        </w:tc>
        <w:tc>
          <w:tcPr>
            <w:tcW w:w="2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773,269</w:t>
            </w: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534,601</w:t>
            </w:r>
          </w:p>
        </w:tc>
        <w:tc>
          <w:tcPr>
            <w:tcW w:w="220" w:type="dxa"/>
            <w:vAlign w:val="bottom"/>
          </w:tcPr>
          <w:p>
            <w:pPr>
              <w:spacing w:after="0"/>
              <w:rPr>
                <w:sz w:val="17"/>
                <w:szCs w:val="17"/>
                <w:color w:val="auto"/>
              </w:rPr>
            </w:pPr>
          </w:p>
        </w:tc>
      </w:tr>
      <w:tr>
        <w:trPr>
          <w:trHeight w:val="535"/>
        </w:trPr>
        <w:tc>
          <w:tcPr>
            <w:tcW w:w="360" w:type="dxa"/>
            <w:vAlign w:val="bottom"/>
          </w:tcPr>
          <w:p>
            <w:pPr>
              <w:spacing w:after="0"/>
              <w:rPr>
                <w:sz w:val="24"/>
                <w:szCs w:val="24"/>
                <w:color w:val="auto"/>
              </w:rPr>
            </w:pPr>
          </w:p>
        </w:tc>
        <w:tc>
          <w:tcPr>
            <w:tcW w:w="6900" w:type="dxa"/>
            <w:vAlign w:val="bottom"/>
          </w:tcPr>
          <w:p>
            <w:pPr>
              <w:ind w:left="5040"/>
              <w:spacing w:after="0"/>
              <w:rPr>
                <w:sz w:val="20"/>
                <w:szCs w:val="20"/>
                <w:color w:val="auto"/>
              </w:rPr>
            </w:pPr>
            <w:r>
              <w:rPr>
                <w:rFonts w:ascii="Arial" w:cs="Arial" w:eastAsia="Arial" w:hAnsi="Arial"/>
                <w:sz w:val="16"/>
                <w:szCs w:val="16"/>
                <w:color w:val="auto"/>
              </w:rPr>
              <w:t>- 119 -</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296" w:right="319" w:bottom="1440" w:gutter="0" w:footer="0" w:header="0"/>
        </w:sectPr>
      </w:pPr>
    </w:p>
    <w:bookmarkStart w:id="124" w:name="page125"/>
    <w:bookmarkEnd w:id="124"/>
    <w:p>
      <w:pPr>
        <w:ind w:left="583" w:hanging="583"/>
        <w:spacing w:after="0"/>
        <w:tabs>
          <w:tab w:leader="none" w:pos="583"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EARNING PER SHARE</w:t>
      </w:r>
    </w:p>
    <w:p>
      <w:pPr>
        <w:spacing w:after="0" w:line="177"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color w:val="auto"/>
        </w:rPr>
        <w:t>The net earnings per ordinary share were determined based on the net income attributable to equity holders of the Group as follows:</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98"/>
        </w:trPr>
        <w:tc>
          <w:tcPr>
            <w:tcW w:w="7260" w:type="dxa"/>
            <w:vAlign w:val="bottom"/>
          </w:tcPr>
          <w:p>
            <w:pPr>
              <w:spacing w:after="0"/>
              <w:rPr>
                <w:sz w:val="17"/>
                <w:szCs w:val="17"/>
                <w:color w:val="auto"/>
              </w:rPr>
            </w:pPr>
          </w:p>
        </w:tc>
        <w:tc>
          <w:tcPr>
            <w:tcW w:w="110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w w:val="95"/>
              </w:rPr>
              <w:t>2025</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b w:val="1"/>
                <w:bCs w:val="1"/>
                <w:color w:val="auto"/>
                <w:w w:val="95"/>
              </w:rPr>
              <w:t>2024</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b w:val="1"/>
                <w:bCs w:val="1"/>
                <w:color w:val="auto"/>
                <w:w w:val="95"/>
              </w:rPr>
              <w:t>2023</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366"/>
        </w:trPr>
        <w:tc>
          <w:tcPr>
            <w:tcW w:w="7260" w:type="dxa"/>
            <w:vAlign w:val="bottom"/>
          </w:tcPr>
          <w:p>
            <w:pPr>
              <w:ind w:left="580"/>
              <w:spacing w:after="0"/>
              <w:rPr>
                <w:sz w:val="20"/>
                <w:szCs w:val="20"/>
                <w:color w:val="auto"/>
              </w:rPr>
            </w:pPr>
            <w:r>
              <w:rPr>
                <w:rFonts w:ascii="Arial" w:cs="Arial" w:eastAsia="Arial" w:hAnsi="Arial"/>
                <w:sz w:val="16"/>
                <w:szCs w:val="16"/>
                <w:b w:val="1"/>
                <w:bCs w:val="1"/>
                <w:color w:val="auto"/>
              </w:rPr>
              <w:t>Net income attributable to equity holders of Credicorp (in thousands of Soles)</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6,925,377</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5,501,254</w:t>
            </w:r>
          </w:p>
        </w:tc>
        <w:tc>
          <w:tcPr>
            <w:tcW w:w="1380" w:type="dxa"/>
            <w:vAlign w:val="bottom"/>
            <w:gridSpan w:val="3"/>
          </w:tcPr>
          <w:p>
            <w:pPr>
              <w:jc w:val="right"/>
              <w:ind w:right="220"/>
              <w:spacing w:after="0"/>
              <w:rPr>
                <w:sz w:val="20"/>
                <w:szCs w:val="20"/>
                <w:color w:val="auto"/>
              </w:rPr>
            </w:pPr>
            <w:r>
              <w:rPr>
                <w:rFonts w:ascii="Arial" w:cs="Arial" w:eastAsia="Arial" w:hAnsi="Arial"/>
                <w:sz w:val="16"/>
                <w:szCs w:val="16"/>
                <w:color w:val="auto"/>
              </w:rPr>
              <w:t>4,865,540</w:t>
            </w:r>
          </w:p>
        </w:tc>
      </w:tr>
      <w:tr>
        <w:trPr>
          <w:trHeight w:val="337"/>
        </w:trPr>
        <w:tc>
          <w:tcPr>
            <w:tcW w:w="7260" w:type="dxa"/>
            <w:vAlign w:val="bottom"/>
          </w:tcPr>
          <w:p>
            <w:pPr>
              <w:ind w:left="580"/>
              <w:spacing w:after="0"/>
              <w:rPr>
                <w:sz w:val="20"/>
                <w:szCs w:val="20"/>
                <w:color w:val="auto"/>
              </w:rPr>
            </w:pPr>
            <w:r>
              <w:rPr>
                <w:rFonts w:ascii="Arial" w:cs="Arial" w:eastAsia="Arial" w:hAnsi="Arial"/>
                <w:sz w:val="16"/>
                <w:szCs w:val="16"/>
                <w:color w:val="auto"/>
              </w:rPr>
              <w:t>Number of stock</w:t>
            </w: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1"/>
        </w:trPr>
        <w:tc>
          <w:tcPr>
            <w:tcW w:w="7260" w:type="dxa"/>
            <w:vAlign w:val="bottom"/>
          </w:tcPr>
          <w:p>
            <w:pPr>
              <w:ind w:left="580"/>
              <w:spacing w:after="0" w:line="181" w:lineRule="exact"/>
              <w:rPr>
                <w:sz w:val="20"/>
                <w:szCs w:val="20"/>
                <w:color w:val="auto"/>
              </w:rPr>
            </w:pPr>
            <w:r>
              <w:rPr>
                <w:rFonts w:ascii="Arial" w:cs="Arial" w:eastAsia="Arial" w:hAnsi="Arial"/>
                <w:sz w:val="16"/>
                <w:szCs w:val="16"/>
                <w:color w:val="auto"/>
              </w:rPr>
              <w:t>Ordinary stock, Note 16(a)</w:t>
            </w:r>
          </w:p>
        </w:tc>
        <w:tc>
          <w:tcPr>
            <w:tcW w:w="13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94,382,317</w:t>
            </w: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94,382,317</w:t>
            </w:r>
          </w:p>
        </w:tc>
        <w:tc>
          <w:tcPr>
            <w:tcW w:w="20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94,382,317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7260" w:type="dxa"/>
            <w:vAlign w:val="bottom"/>
          </w:tcPr>
          <w:p>
            <w:pPr>
              <w:ind w:left="580"/>
              <w:spacing w:after="0" w:line="181" w:lineRule="exact"/>
              <w:rPr>
                <w:sz w:val="20"/>
                <w:szCs w:val="20"/>
                <w:color w:val="auto"/>
              </w:rPr>
            </w:pPr>
            <w:r>
              <w:rPr>
                <w:rFonts w:ascii="Arial" w:cs="Arial" w:eastAsia="Arial" w:hAnsi="Arial"/>
                <w:sz w:val="16"/>
                <w:szCs w:val="16"/>
                <w:color w:val="auto"/>
              </w:rPr>
              <w:t>Less – opening balance of treasury stock</w:t>
            </w:r>
          </w:p>
        </w:tc>
        <w:tc>
          <w:tcPr>
            <w:tcW w:w="13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(14,946,637)</w:t>
            </w:r>
          </w:p>
        </w:tc>
        <w:tc>
          <w:tcPr>
            <w:tcW w:w="13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(14,886,096)</w:t>
            </w:r>
          </w:p>
        </w:tc>
        <w:tc>
          <w:tcPr>
            <w:tcW w:w="1380" w:type="dxa"/>
            <w:vAlign w:val="bottom"/>
            <w:gridSpan w:val="3"/>
          </w:tcPr>
          <w:p>
            <w:pPr>
              <w:jc w:val="right"/>
              <w:ind w:right="160"/>
              <w:spacing w:after="0" w:line="181" w:lineRule="exact"/>
              <w:rPr>
                <w:sz w:val="20"/>
                <w:szCs w:val="20"/>
                <w:color w:val="auto"/>
              </w:rPr>
            </w:pPr>
            <w:r>
              <w:rPr>
                <w:rFonts w:ascii="Arial" w:cs="Arial" w:eastAsia="Arial" w:hAnsi="Arial"/>
                <w:sz w:val="16"/>
                <w:szCs w:val="16"/>
                <w:color w:val="auto"/>
              </w:rPr>
              <w:t>(14,849,223)</w:t>
            </w:r>
          </w:p>
        </w:tc>
      </w:tr>
      <w:tr>
        <w:trPr>
          <w:trHeight w:val="210"/>
        </w:trPr>
        <w:tc>
          <w:tcPr>
            <w:tcW w:w="7260" w:type="dxa"/>
            <w:vAlign w:val="bottom"/>
          </w:tcPr>
          <w:p>
            <w:pPr>
              <w:ind w:left="580"/>
              <w:spacing w:after="0"/>
              <w:rPr>
                <w:sz w:val="20"/>
                <w:szCs w:val="20"/>
                <w:color w:val="auto"/>
              </w:rPr>
            </w:pPr>
            <w:r>
              <w:rPr>
                <w:rFonts w:ascii="Arial" w:cs="Arial" w:eastAsia="Arial" w:hAnsi="Arial"/>
                <w:sz w:val="16"/>
                <w:szCs w:val="16"/>
                <w:color w:val="auto"/>
              </w:rPr>
              <w:t>Acquisition of treasury stock, net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(58,224)</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(46,444)</w:t>
            </w:r>
          </w:p>
        </w:tc>
        <w:tc>
          <w:tcPr>
            <w:tcW w:w="1380" w:type="dxa"/>
            <w:vAlign w:val="bottom"/>
            <w:gridSpan w:val="3"/>
          </w:tcPr>
          <w:p>
            <w:pPr>
              <w:jc w:val="right"/>
              <w:ind w:right="160"/>
              <w:spacing w:after="0"/>
              <w:rPr>
                <w:sz w:val="20"/>
                <w:szCs w:val="20"/>
                <w:color w:val="auto"/>
              </w:rPr>
            </w:pPr>
            <w:r>
              <w:rPr>
                <w:rFonts w:ascii="Arial" w:cs="Arial" w:eastAsia="Arial" w:hAnsi="Arial"/>
                <w:sz w:val="16"/>
                <w:szCs w:val="16"/>
                <w:color w:val="auto"/>
              </w:rPr>
              <w:t>(55,283)</w:t>
            </w:r>
          </w:p>
        </w:tc>
      </w:tr>
      <w:tr>
        <w:trPr>
          <w:trHeight w:val="156"/>
        </w:trPr>
        <w:tc>
          <w:tcPr>
            <w:tcW w:w="7260" w:type="dxa"/>
            <w:vAlign w:val="bottom"/>
          </w:tcPr>
          <w:p>
            <w:pPr>
              <w:ind w:left="580"/>
              <w:spacing w:after="0" w:line="156" w:lineRule="exact"/>
              <w:rPr>
                <w:sz w:val="20"/>
                <w:szCs w:val="20"/>
                <w:color w:val="auto"/>
              </w:rPr>
            </w:pPr>
            <w:r>
              <w:rPr>
                <w:rFonts w:ascii="Arial" w:cs="Arial" w:eastAsia="Arial" w:hAnsi="Arial"/>
                <w:sz w:val="16"/>
                <w:szCs w:val="16"/>
                <w:b w:val="1"/>
                <w:bCs w:val="1"/>
                <w:color w:val="auto"/>
              </w:rPr>
              <w:t>Weighted average number of ordinary shares for basic earnings</w:t>
            </w: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79,377,456</w:t>
            </w:r>
          </w:p>
        </w:tc>
        <w:tc>
          <w:tcPr>
            <w:tcW w:w="200" w:type="dxa"/>
            <w:vAlign w:val="bottom"/>
          </w:tcPr>
          <w:p>
            <w:pPr>
              <w:spacing w:after="0"/>
              <w:rPr>
                <w:sz w:val="13"/>
                <w:szCs w:val="13"/>
                <w:color w:val="auto"/>
              </w:rPr>
            </w:pPr>
          </w:p>
        </w:tc>
        <w:tc>
          <w:tcPr>
            <w:tcW w:w="1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79,449,777</w:t>
            </w:r>
          </w:p>
        </w:tc>
        <w:tc>
          <w:tcPr>
            <w:tcW w:w="200" w:type="dxa"/>
            <w:vAlign w:val="bottom"/>
          </w:tcPr>
          <w:p>
            <w:pPr>
              <w:spacing w:after="0"/>
              <w:rPr>
                <w:sz w:val="13"/>
                <w:szCs w:val="13"/>
                <w:color w:val="auto"/>
              </w:rPr>
            </w:pPr>
          </w:p>
        </w:tc>
        <w:tc>
          <w:tcPr>
            <w:tcW w:w="1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79,477,811</w:t>
            </w:r>
          </w:p>
        </w:tc>
        <w:tc>
          <w:tcPr>
            <w:tcW w:w="220" w:type="dxa"/>
            <w:vAlign w:val="bottom"/>
            <w:gridSpan w:val="2"/>
          </w:tcPr>
          <w:p>
            <w:pPr>
              <w:spacing w:after="0"/>
              <w:rPr>
                <w:sz w:val="13"/>
                <w:szCs w:val="13"/>
                <w:color w:val="auto"/>
              </w:rPr>
            </w:pPr>
          </w:p>
        </w:tc>
      </w:tr>
      <w:tr>
        <w:trPr>
          <w:trHeight w:val="210"/>
        </w:trPr>
        <w:tc>
          <w:tcPr>
            <w:tcW w:w="7260" w:type="dxa"/>
            <w:vAlign w:val="bottom"/>
          </w:tcPr>
          <w:p>
            <w:pPr>
              <w:ind w:left="580"/>
              <w:spacing w:after="0"/>
              <w:rPr>
                <w:sz w:val="20"/>
                <w:szCs w:val="20"/>
                <w:color w:val="auto"/>
              </w:rPr>
            </w:pPr>
            <w:r>
              <w:rPr>
                <w:rFonts w:ascii="Arial" w:cs="Arial" w:eastAsia="Arial" w:hAnsi="Arial"/>
                <w:sz w:val="16"/>
                <w:szCs w:val="16"/>
                <w:color w:val="auto"/>
              </w:rPr>
              <w:t>Plus - dilution effect - stock awards</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154,030</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169,307</w:t>
            </w:r>
          </w:p>
        </w:tc>
        <w:tc>
          <w:tcPr>
            <w:tcW w:w="1160" w:type="dxa"/>
            <w:vAlign w:val="bottom"/>
          </w:tcPr>
          <w:p>
            <w:pPr>
              <w:jc w:val="right"/>
              <w:spacing w:after="0"/>
              <w:rPr>
                <w:sz w:val="20"/>
                <w:szCs w:val="20"/>
                <w:color w:val="auto"/>
              </w:rPr>
            </w:pPr>
            <w:r>
              <w:rPr>
                <w:rFonts w:ascii="Arial" w:cs="Arial" w:eastAsia="Arial" w:hAnsi="Arial"/>
                <w:sz w:val="16"/>
                <w:szCs w:val="16"/>
                <w:color w:val="auto"/>
              </w:rPr>
              <w:t>177,709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6"/>
        </w:trPr>
        <w:tc>
          <w:tcPr>
            <w:tcW w:w="7260" w:type="dxa"/>
            <w:vAlign w:val="bottom"/>
          </w:tcPr>
          <w:p>
            <w:pPr>
              <w:ind w:left="580"/>
              <w:spacing w:after="0"/>
              <w:rPr>
                <w:sz w:val="20"/>
                <w:szCs w:val="20"/>
                <w:color w:val="auto"/>
              </w:rPr>
            </w:pPr>
            <w:r>
              <w:rPr>
                <w:rFonts w:ascii="Arial" w:cs="Arial" w:eastAsia="Arial" w:hAnsi="Arial"/>
                <w:sz w:val="16"/>
                <w:szCs w:val="16"/>
                <w:color w:val="auto"/>
              </w:rPr>
              <w:t>Weighted average number of ordinary shares adjusted for the effect of dilution</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79,531,486</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79,619,084</w:t>
            </w:r>
          </w:p>
        </w:tc>
        <w:tc>
          <w:tcPr>
            <w:tcW w:w="2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79,655,520</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313"/>
        </w:trPr>
        <w:tc>
          <w:tcPr>
            <w:tcW w:w="7260" w:type="dxa"/>
            <w:vAlign w:val="bottom"/>
          </w:tcPr>
          <w:p>
            <w:pPr>
              <w:ind w:left="580"/>
              <w:spacing w:after="0"/>
              <w:rPr>
                <w:sz w:val="20"/>
                <w:szCs w:val="20"/>
                <w:color w:val="auto"/>
              </w:rPr>
            </w:pPr>
            <w:r>
              <w:rPr>
                <w:rFonts w:ascii="Arial" w:cs="Arial" w:eastAsia="Arial" w:hAnsi="Arial"/>
                <w:sz w:val="16"/>
                <w:szCs w:val="16"/>
                <w:color w:val="auto"/>
              </w:rPr>
              <w:t>Basic earnings per share (in Soles)</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87.25</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69.24</w:t>
            </w:r>
          </w:p>
        </w:tc>
        <w:tc>
          <w:tcPr>
            <w:tcW w:w="1380" w:type="dxa"/>
            <w:vAlign w:val="bottom"/>
            <w:gridSpan w:val="3"/>
          </w:tcPr>
          <w:p>
            <w:pPr>
              <w:jc w:val="right"/>
              <w:ind w:right="220"/>
              <w:spacing w:after="0"/>
              <w:rPr>
                <w:sz w:val="20"/>
                <w:szCs w:val="20"/>
                <w:color w:val="auto"/>
              </w:rPr>
            </w:pPr>
            <w:r>
              <w:rPr>
                <w:rFonts w:ascii="Arial" w:cs="Arial" w:eastAsia="Arial" w:hAnsi="Arial"/>
                <w:sz w:val="16"/>
                <w:szCs w:val="16"/>
                <w:color w:val="auto"/>
              </w:rPr>
              <w:t>61.22</w:t>
            </w:r>
          </w:p>
        </w:tc>
      </w:tr>
      <w:tr>
        <w:trPr>
          <w:trHeight w:val="214"/>
        </w:trPr>
        <w:tc>
          <w:tcPr>
            <w:tcW w:w="7260" w:type="dxa"/>
            <w:vAlign w:val="bottom"/>
          </w:tcPr>
          <w:p>
            <w:pPr>
              <w:ind w:left="580"/>
              <w:spacing w:after="0"/>
              <w:rPr>
                <w:sz w:val="20"/>
                <w:szCs w:val="20"/>
                <w:color w:val="auto"/>
              </w:rPr>
            </w:pPr>
            <w:r>
              <w:rPr>
                <w:rFonts w:ascii="Arial" w:cs="Arial" w:eastAsia="Arial" w:hAnsi="Arial"/>
                <w:sz w:val="16"/>
                <w:szCs w:val="16"/>
                <w:color w:val="auto"/>
              </w:rPr>
              <w:t>Diluted earnings per share (in Soles)</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87.08</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69.09</w:t>
            </w:r>
          </w:p>
        </w:tc>
        <w:tc>
          <w:tcPr>
            <w:tcW w:w="1380" w:type="dxa"/>
            <w:vAlign w:val="bottom"/>
            <w:gridSpan w:val="3"/>
          </w:tcPr>
          <w:p>
            <w:pPr>
              <w:jc w:val="right"/>
              <w:ind w:right="220"/>
              <w:spacing w:after="0"/>
              <w:rPr>
                <w:sz w:val="20"/>
                <w:szCs w:val="20"/>
                <w:color w:val="auto"/>
              </w:rPr>
            </w:pPr>
            <w:r>
              <w:rPr>
                <w:rFonts w:ascii="Arial" w:cs="Arial" w:eastAsia="Arial" w:hAnsi="Arial"/>
                <w:sz w:val="16"/>
                <w:szCs w:val="16"/>
                <w:color w:val="auto"/>
              </w:rPr>
              <w:t>61.08</w:t>
            </w:r>
          </w:p>
        </w:tc>
      </w:tr>
      <w:tr>
        <w:trPr>
          <w:trHeight w:val="519"/>
        </w:trPr>
        <w:tc>
          <w:tcPr>
            <w:tcW w:w="7260" w:type="dxa"/>
            <w:vAlign w:val="bottom"/>
          </w:tcPr>
          <w:p>
            <w:pPr>
              <w:ind w:left="5400"/>
              <w:spacing w:after="0"/>
              <w:rPr>
                <w:sz w:val="20"/>
                <w:szCs w:val="20"/>
                <w:color w:val="auto"/>
              </w:rPr>
            </w:pPr>
            <w:r>
              <w:rPr>
                <w:rFonts w:ascii="Arial" w:cs="Arial" w:eastAsia="Arial" w:hAnsi="Arial"/>
                <w:sz w:val="16"/>
                <w:szCs w:val="16"/>
                <w:color w:val="auto"/>
              </w:rPr>
              <w:t>- 120 -</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
        </w:trPr>
        <w:tc>
          <w:tcPr>
            <w:tcW w:w="7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292" w:right="319" w:bottom="1440" w:gutter="0" w:footer="0" w:header="0"/>
        </w:sectPr>
      </w:pPr>
    </w:p>
    <w:bookmarkStart w:id="125" w:name="page126"/>
    <w:bookmarkEnd w:id="125"/>
    <w:p>
      <w:pPr>
        <w:ind w:left="583" w:hanging="583"/>
        <w:spacing w:after="0"/>
        <w:tabs>
          <w:tab w:leader="none" w:pos="583"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OPERATING SEGMENTS</w:t>
      </w:r>
    </w:p>
    <w:p>
      <w:pPr>
        <w:spacing w:after="0" w:line="184" w:lineRule="exact"/>
        <w:rPr>
          <w:rFonts w:ascii="Arial" w:cs="Arial" w:eastAsia="Arial" w:hAnsi="Arial"/>
          <w:sz w:val="14"/>
          <w:szCs w:val="14"/>
          <w:b w:val="1"/>
          <w:bCs w:val="1"/>
          <w:color w:val="auto"/>
        </w:rPr>
      </w:pPr>
    </w:p>
    <w:p>
      <w:pPr>
        <w:ind w:left="583" w:right="220"/>
        <w:spacing w:after="0" w:line="274" w:lineRule="auto"/>
        <w:rPr>
          <w:rFonts w:ascii="Arial" w:cs="Arial" w:eastAsia="Arial" w:hAnsi="Arial"/>
          <w:sz w:val="14"/>
          <w:szCs w:val="14"/>
          <w:b w:val="1"/>
          <w:bCs w:val="1"/>
          <w:color w:val="auto"/>
        </w:rPr>
      </w:pPr>
      <w:r>
        <w:rPr>
          <w:rFonts w:ascii="Arial" w:cs="Arial" w:eastAsia="Arial" w:hAnsi="Arial"/>
          <w:sz w:val="16"/>
          <w:szCs w:val="16"/>
          <w:color w:val="auto"/>
        </w:rPr>
        <w:t>Credicorp Board of Directors organized the Group’s subsidiaries according to the types of financial services provided and the sectors on which they are focused; with the objective of optimizing the management thereof. Next, we present the Group´s business lines:</w:t>
      </w:r>
    </w:p>
    <w:p>
      <w:pPr>
        <w:spacing w:after="0" w:line="122" w:lineRule="exact"/>
        <w:rPr>
          <w:rFonts w:ascii="Arial" w:cs="Arial" w:eastAsia="Arial" w:hAnsi="Arial"/>
          <w:sz w:val="14"/>
          <w:szCs w:val="14"/>
          <w:b w:val="1"/>
          <w:bCs w:val="1"/>
          <w:color w:val="auto"/>
        </w:rPr>
      </w:pPr>
    </w:p>
    <w:p>
      <w:pPr>
        <w:ind w:left="863" w:hanging="284"/>
        <w:spacing w:after="0"/>
        <w:tabs>
          <w:tab w:leader="none" w:pos="86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Universal Banking -</w:t>
      </w:r>
    </w:p>
    <w:p>
      <w:pPr>
        <w:spacing w:after="0" w:line="177" w:lineRule="exact"/>
        <w:rPr>
          <w:rFonts w:ascii="Arial" w:cs="Arial" w:eastAsia="Arial" w:hAnsi="Arial"/>
          <w:sz w:val="16"/>
          <w:szCs w:val="16"/>
          <w:color w:val="auto"/>
        </w:rPr>
      </w:pPr>
    </w:p>
    <w:p>
      <w:pPr>
        <w:ind w:left="863"/>
        <w:spacing w:after="0" w:line="248" w:lineRule="auto"/>
        <w:rPr>
          <w:rFonts w:ascii="Arial" w:cs="Arial" w:eastAsia="Arial" w:hAnsi="Arial"/>
          <w:sz w:val="16"/>
          <w:szCs w:val="16"/>
          <w:color w:val="auto"/>
        </w:rPr>
      </w:pPr>
      <w:r>
        <w:rPr>
          <w:rFonts w:ascii="Arial" w:cs="Arial" w:eastAsia="Arial" w:hAnsi="Arial"/>
          <w:sz w:val="16"/>
          <w:szCs w:val="16"/>
          <w:color w:val="auto"/>
        </w:rPr>
        <w:t>Includes the operations related to the granting of various credits and financial instruments to individuals and legal entities, from the segments of wholesale and retail banking, such as the obtaining of funds from the public through deposits and current accounts, obtaining of funding by means of initial public offerings and direct indebtedness with other financial institutions. This business line incorporates the results and balances of the Banco de Crédito del Perú (BCP) and Banco de Crédito de Bolivia (BCB).</w:t>
      </w:r>
    </w:p>
    <w:p>
      <w:pPr>
        <w:spacing w:after="0" w:line="144" w:lineRule="exact"/>
        <w:rPr>
          <w:rFonts w:ascii="Arial" w:cs="Arial" w:eastAsia="Arial" w:hAnsi="Arial"/>
          <w:sz w:val="16"/>
          <w:szCs w:val="16"/>
          <w:color w:val="auto"/>
        </w:rPr>
      </w:pPr>
    </w:p>
    <w:p>
      <w:pPr>
        <w:ind w:left="863" w:hanging="284"/>
        <w:spacing w:after="0"/>
        <w:tabs>
          <w:tab w:leader="none" w:pos="86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Insurance, Medical Services and Pensions -</w:t>
      </w:r>
    </w:p>
    <w:p>
      <w:pPr>
        <w:spacing w:after="0" w:line="177" w:lineRule="exact"/>
        <w:rPr>
          <w:rFonts w:ascii="Arial" w:cs="Arial" w:eastAsia="Arial" w:hAnsi="Arial"/>
          <w:sz w:val="16"/>
          <w:szCs w:val="16"/>
          <w:color w:val="auto"/>
        </w:rPr>
      </w:pPr>
    </w:p>
    <w:p>
      <w:pPr>
        <w:ind w:left="1163" w:right="260" w:hanging="290"/>
        <w:spacing w:after="0" w:line="274" w:lineRule="auto"/>
        <w:rPr>
          <w:rFonts w:ascii="Arial" w:cs="Arial" w:eastAsia="Arial" w:hAnsi="Arial"/>
          <w:sz w:val="16"/>
          <w:szCs w:val="16"/>
          <w:color w:val="auto"/>
        </w:rPr>
      </w:pPr>
      <w:r>
        <w:rPr>
          <w:rFonts w:ascii="Arial" w:cs="Arial" w:eastAsia="Arial" w:hAnsi="Arial"/>
          <w:sz w:val="16"/>
          <w:szCs w:val="16"/>
          <w:color w:val="auto"/>
        </w:rPr>
        <w:t>– Insurance: includes, mainly, the issue of insurance policies to cover losses in commercial property, transport, marine vessels, automobiles, life, health and pensions, operations carried out through Pacífico Compañía de Seguros y Reaseguros S.A.</w:t>
      </w:r>
    </w:p>
    <w:p>
      <w:pPr>
        <w:spacing w:after="0" w:line="122"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   Medical Services: includes the provision of medical and health services by Pacifico EPS and clinics.</w:t>
      </w:r>
    </w:p>
    <w:p>
      <w:pPr>
        <w:spacing w:after="0" w:line="177"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   Pensions: provides Management Service of private pension funds to the affiliates, operation carried out from Prima AFP.</w:t>
      </w:r>
    </w:p>
    <w:p>
      <w:pPr>
        <w:spacing w:after="0" w:line="177" w:lineRule="exact"/>
        <w:rPr>
          <w:rFonts w:ascii="Arial" w:cs="Arial" w:eastAsia="Arial" w:hAnsi="Arial"/>
          <w:sz w:val="16"/>
          <w:szCs w:val="16"/>
          <w:color w:val="auto"/>
        </w:rPr>
      </w:pPr>
    </w:p>
    <w:p>
      <w:pPr>
        <w:ind w:left="863" w:hanging="284"/>
        <w:spacing w:after="0"/>
        <w:tabs>
          <w:tab w:leader="none" w:pos="86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Microfinance -</w:t>
      </w:r>
    </w:p>
    <w:p>
      <w:pPr>
        <w:spacing w:after="0" w:line="177" w:lineRule="exact"/>
        <w:rPr>
          <w:rFonts w:ascii="Arial" w:cs="Arial" w:eastAsia="Arial" w:hAnsi="Arial"/>
          <w:sz w:val="16"/>
          <w:szCs w:val="16"/>
          <w:color w:val="auto"/>
        </w:rPr>
      </w:pPr>
    </w:p>
    <w:p>
      <w:pPr>
        <w:ind w:left="863" w:right="400"/>
        <w:spacing w:after="0" w:line="274" w:lineRule="auto"/>
        <w:rPr>
          <w:rFonts w:ascii="Arial" w:cs="Arial" w:eastAsia="Arial" w:hAnsi="Arial"/>
          <w:sz w:val="16"/>
          <w:szCs w:val="16"/>
          <w:color w:val="auto"/>
        </w:rPr>
      </w:pPr>
      <w:r>
        <w:rPr>
          <w:rFonts w:ascii="Arial" w:cs="Arial" w:eastAsia="Arial" w:hAnsi="Arial"/>
          <w:sz w:val="16"/>
          <w:szCs w:val="16"/>
          <w:color w:val="auto"/>
        </w:rPr>
        <w:t>Includes the management of loans, credits, deposits and checking accounts of the small and microenterprises, which are carried out through Mibanco, Banco de la Microempresa S.A. and Mibanco – Banco de la Microempresa de Colombia S.A.</w:t>
      </w:r>
    </w:p>
    <w:p>
      <w:pPr>
        <w:spacing w:after="0" w:line="122" w:lineRule="exact"/>
        <w:rPr>
          <w:rFonts w:ascii="Arial" w:cs="Arial" w:eastAsia="Arial" w:hAnsi="Arial"/>
          <w:sz w:val="16"/>
          <w:szCs w:val="16"/>
          <w:color w:val="auto"/>
        </w:rPr>
      </w:pPr>
    </w:p>
    <w:p>
      <w:pPr>
        <w:ind w:left="863" w:hanging="284"/>
        <w:spacing w:after="0"/>
        <w:tabs>
          <w:tab w:leader="none" w:pos="86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Investment Management and Advisory -</w:t>
      </w:r>
    </w:p>
    <w:p>
      <w:pPr>
        <w:spacing w:after="0" w:line="177" w:lineRule="exact"/>
        <w:rPr>
          <w:rFonts w:ascii="Arial" w:cs="Arial" w:eastAsia="Arial" w:hAnsi="Arial"/>
          <w:sz w:val="16"/>
          <w:szCs w:val="16"/>
          <w:color w:val="auto"/>
        </w:rPr>
      </w:pPr>
    </w:p>
    <w:p>
      <w:pPr>
        <w:ind w:left="863" w:right="100"/>
        <w:spacing w:after="0" w:line="248" w:lineRule="auto"/>
        <w:rPr>
          <w:rFonts w:ascii="Arial" w:cs="Arial" w:eastAsia="Arial" w:hAnsi="Arial"/>
          <w:sz w:val="16"/>
          <w:szCs w:val="16"/>
          <w:color w:val="auto"/>
        </w:rPr>
      </w:pPr>
      <w:r>
        <w:rPr>
          <w:rFonts w:ascii="Arial" w:cs="Arial" w:eastAsia="Arial" w:hAnsi="Arial"/>
          <w:sz w:val="16"/>
          <w:szCs w:val="16"/>
          <w:color w:val="auto"/>
        </w:rPr>
        <w:t>Comprising brokerage service and investment management services offered to a broad and diverse client, which includes corporations, institutional investors, governments and foundations; also, comprising the structuring and placement of issues in the primary market, as well as the execution and negotiation of transactions in the secondary market. Additionally, it structures securitization processes for corporate customers and manages mutual funds.</w:t>
      </w:r>
    </w:p>
    <w:p>
      <w:pPr>
        <w:spacing w:after="0" w:line="14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All these services are provided through Credicorp Capital Ltd. and subsidiaries and ASB Bank Corp.</w:t>
      </w:r>
    </w:p>
    <w:p>
      <w:pPr>
        <w:spacing w:after="0" w:line="17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Management of these business lines is designed to:</w:t>
      </w:r>
    </w:p>
    <w:p>
      <w:pPr>
        <w:spacing w:after="0" w:line="17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   Promote the joint action of our businesses in order to take advantage of the synergies which result from the diversification of our portfolio.</w:t>
      </w:r>
    </w:p>
    <w:p>
      <w:pPr>
        <w:spacing w:after="0" w:line="177" w:lineRule="exact"/>
        <w:rPr>
          <w:sz w:val="20"/>
          <w:szCs w:val="20"/>
          <w:color w:val="auto"/>
        </w:rPr>
      </w:pPr>
    </w:p>
    <w:p>
      <w:pPr>
        <w:ind w:left="863" w:right="500" w:hanging="289"/>
        <w:spacing w:after="0" w:line="255" w:lineRule="auto"/>
        <w:rPr>
          <w:sz w:val="20"/>
          <w:szCs w:val="20"/>
          <w:color w:val="auto"/>
        </w:rPr>
      </w:pPr>
      <w:r>
        <w:rPr>
          <w:rFonts w:ascii="Arial" w:cs="Arial" w:eastAsia="Arial" w:hAnsi="Arial"/>
          <w:sz w:val="16"/>
          <w:szCs w:val="16"/>
          <w:color w:val="auto"/>
        </w:rPr>
        <w:t>– Strengthening our leadership in the financial sector through our growth in new businesses, and the establishment of an investment banking platform available not only to the corporate world, but also to the retail segment, especially to the Small and Medium Enterprise (SME) and Consumer sectors.</w:t>
      </w:r>
    </w:p>
    <w:p>
      <w:pPr>
        <w:spacing w:after="0" w:line="13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   Improve the ongoing search to adapt our business models, processes and procedures into line with best practices worldwide.</w:t>
      </w:r>
    </w:p>
    <w:p>
      <w:pPr>
        <w:spacing w:after="0" w:line="334" w:lineRule="exact"/>
        <w:rPr>
          <w:sz w:val="20"/>
          <w:szCs w:val="20"/>
          <w:color w:val="auto"/>
        </w:rPr>
      </w:pPr>
    </w:p>
    <w:p>
      <w:pPr>
        <w:ind w:left="5483" w:hanging="88"/>
        <w:spacing w:after="0"/>
        <w:tabs>
          <w:tab w:leader="none" w:pos="5483" w:val="left"/>
        </w:tabs>
        <w:numPr>
          <w:ilvl w:val="1"/>
          <w:numId w:val="137"/>
        </w:numPr>
        <w:rPr>
          <w:rFonts w:ascii="Arial" w:cs="Arial" w:eastAsia="Arial" w:hAnsi="Arial"/>
          <w:sz w:val="16"/>
          <w:szCs w:val="16"/>
          <w:color w:val="auto"/>
        </w:rPr>
      </w:pPr>
      <w:r>
        <w:rPr>
          <w:rFonts w:ascii="Arial" w:cs="Arial" w:eastAsia="Arial" w:hAnsi="Arial"/>
          <w:sz w:val="16"/>
          <w:szCs w:val="16"/>
          <w:color w:val="auto"/>
        </w:rPr>
        <w:t>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296" w:right="339" w:bottom="1440" w:gutter="0" w:footer="0" w:header="0"/>
        </w:sectPr>
      </w:pPr>
    </w:p>
    <w:bookmarkStart w:id="126" w:name="page127"/>
    <w:bookmarkEnd w:id="126"/>
    <w:p>
      <w:pPr>
        <w:spacing w:after="0" w:line="248" w:lineRule="auto"/>
        <w:rPr>
          <w:sz w:val="20"/>
          <w:szCs w:val="20"/>
          <w:color w:val="auto"/>
        </w:rPr>
      </w:pPr>
      <w:r>
        <w:rPr>
          <w:rFonts w:ascii="Arial" w:cs="Arial" w:eastAsia="Arial" w:hAnsi="Arial"/>
          <w:sz w:val="16"/>
          <w:szCs w:val="16"/>
          <w:color w:val="auto"/>
        </w:rPr>
        <w:t>The operating results of the Group’s new business lines are monitored separately by the Board of Directors and Senior Management on a monthly basis, in order to make decisions regarding the allocation of resources and the evaluation of the performance of each one of the segments. The Chief Operating Decision Maker (CODM) of Credicorp is the Chief Executive Officer (CEO). The performance of the segments is evaluated based on the net profits or losses and is measured consistently with the net profits and losses presented in the consolidated statement of income.</w:t>
      </w:r>
    </w:p>
    <w:p>
      <w:pPr>
        <w:spacing w:after="0" w:line="144"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color w:val="auto"/>
        </w:rPr>
        <w:t>Financial information by segment is prepared subject to the necessary and on a uniform basis, with coherent grouping according to the type of activity and customer.</w:t>
      </w:r>
    </w:p>
    <w:p>
      <w:pPr>
        <w:spacing w:after="0" w:line="123"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None of the income derives from transactions carried out with a single customer or counterparty which is equal to or greater than 10.0 percent or more of the total income of the Group as of December 31, 2025, 2024 and 2023.</w:t>
      </w: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80"/>
          </w:cols>
          <w:pgMar w:left="1180" w:top="304" w:right="339" w:bottom="1440" w:gutter="0" w:footer="0" w:header="0"/>
        </w:sectPr>
      </w:pPr>
    </w:p>
    <w:bookmarkStart w:id="127" w:name="page128"/>
    <w:bookmarkEnd w:id="127"/>
    <w:p>
      <w:pPr>
        <w:ind w:left="283" w:right="120" w:hanging="283"/>
        <w:spacing w:after="0" w:line="274" w:lineRule="auto"/>
        <w:tabs>
          <w:tab w:leader="none" w:pos="28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following table presents information recorded in the results and for certain items of the assets corresponding to the Group’s reportable segments (in millions of soles) as of December 31, 2025, 2024 and 2023:</w:t>
      </w:r>
    </w:p>
    <w:p>
      <w:pPr>
        <w:spacing w:after="0" w:line="144" w:lineRule="exact"/>
        <w:rPr>
          <w:sz w:val="20"/>
          <w:szCs w:val="20"/>
          <w:color w:val="auto"/>
        </w:rPr>
      </w:pPr>
    </w:p>
    <w:tbl>
      <w:tblPr>
        <w:tblLayout w:type="fixed"/>
        <w:tblInd w:w="28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Income (*)</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Additions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interest,</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Provision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Depreciation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of fixed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From</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similar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for credit</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asset,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other</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Other</w:t>
            </w: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losses on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amortization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intangibles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segments</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w:t>
            </w:r>
          </w:p>
        </w:tc>
        <w:tc>
          <w:tcPr>
            <w:tcW w:w="7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7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Net profit</w:t>
            </w: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7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Total</w:t>
            </w:r>
          </w:p>
        </w:tc>
        <w:tc>
          <w:tcPr>
            <w:tcW w:w="74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2025</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External</w:t>
            </w: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expenses</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net (***)</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right in use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tax</w:t>
            </w: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(loss)</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goodwill</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Universal Banking</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Banco de Crédito del Perú</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19,528</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723</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11,137</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5,240</w:t>
            </w:r>
          </w:p>
        </w:tc>
        <w:tc>
          <w:tcPr>
            <w:tcW w:w="7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(1,927)</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(621)</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(2,158)</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6,042</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859</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202,206</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176,582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Banco de Crédito de Bolivia</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683</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22</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215</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186</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(24)</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(22)</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(34)</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86</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26</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10,062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10,034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20,211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745</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11,352</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5,426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(1,951)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(643)</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6,128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885</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212,268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186,616</w:t>
            </w:r>
          </w:p>
        </w:tc>
        <w:tc>
          <w:tcPr>
            <w:tcW w:w="0" w:type="dxa"/>
            <w:vAlign w:val="bottom"/>
          </w:tcPr>
          <w:p>
            <w:pPr>
              <w:spacing w:after="0"/>
              <w:rPr>
                <w:sz w:val="1"/>
                <w:szCs w:val="1"/>
                <w:color w:val="auto"/>
              </w:rPr>
            </w:pPr>
          </w:p>
        </w:tc>
      </w:tr>
      <w:tr>
        <w:trPr>
          <w:trHeight w:val="258"/>
        </w:trPr>
        <w:tc>
          <w:tcPr>
            <w:tcW w:w="2220" w:type="dxa"/>
            <w:vAlign w:val="bottom"/>
            <w:gridSpan w:val="2"/>
          </w:tcPr>
          <w:p>
            <w:pPr>
              <w:spacing w:after="0"/>
              <w:rPr>
                <w:sz w:val="20"/>
                <w:szCs w:val="20"/>
                <w:color w:val="auto"/>
              </w:rPr>
            </w:pPr>
            <w:r>
              <w:rPr>
                <w:rFonts w:ascii="Arial" w:cs="Arial" w:eastAsia="Arial" w:hAnsi="Arial"/>
                <w:sz w:val="13"/>
                <w:szCs w:val="13"/>
                <w:color w:val="auto"/>
              </w:rPr>
              <w:t>Insurance, Medical Services and</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220" w:type="dxa"/>
            <w:vAlign w:val="bottom"/>
            <w:gridSpan w:val="2"/>
          </w:tcPr>
          <w:p>
            <w:pPr>
              <w:spacing w:after="0" w:line="145" w:lineRule="exact"/>
              <w:rPr>
                <w:sz w:val="20"/>
                <w:szCs w:val="20"/>
                <w:color w:val="auto"/>
              </w:rPr>
            </w:pPr>
            <w:r>
              <w:rPr>
                <w:rFonts w:ascii="Arial" w:cs="Arial" w:eastAsia="Arial" w:hAnsi="Arial"/>
                <w:sz w:val="13"/>
                <w:szCs w:val="13"/>
                <w:color w:val="auto"/>
              </w:rPr>
              <w:t>Pension funds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Pacífico Seguros and subsidiaries</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2,374</w:t>
            </w:r>
          </w:p>
        </w:tc>
        <w:tc>
          <w:tcPr>
            <w:tcW w:w="82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1,235</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298</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1,456</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(41)</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(150)</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854</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731</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20,625</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16,496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Prima AFP</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407</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4</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403</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(29)</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(60)</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147</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15</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682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2,781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1,239</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299</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746</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21,307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16,727</w:t>
            </w:r>
          </w:p>
        </w:tc>
        <w:tc>
          <w:tcPr>
            <w:tcW w:w="0" w:type="dxa"/>
            <w:vAlign w:val="bottom"/>
          </w:tcPr>
          <w:p>
            <w:pPr>
              <w:spacing w:after="0"/>
              <w:rPr>
                <w:sz w:val="1"/>
                <w:szCs w:val="1"/>
                <w:color w:val="auto"/>
              </w:rPr>
            </w:pPr>
          </w:p>
        </w:tc>
      </w:tr>
      <w:tr>
        <w:trPr>
          <w:trHeight w:val="258"/>
        </w:trPr>
        <w:tc>
          <w:tcPr>
            <w:tcW w:w="2220" w:type="dxa"/>
            <w:vAlign w:val="bottom"/>
            <w:gridSpan w:val="2"/>
          </w:tcPr>
          <w:p>
            <w:pPr>
              <w:spacing w:after="0"/>
              <w:rPr>
                <w:sz w:val="20"/>
                <w:szCs w:val="20"/>
                <w:color w:val="auto"/>
              </w:rPr>
            </w:pPr>
            <w:r>
              <w:rPr>
                <w:rFonts w:ascii="Arial" w:cs="Arial" w:eastAsia="Arial" w:hAnsi="Arial"/>
                <w:sz w:val="13"/>
                <w:szCs w:val="13"/>
                <w:color w:val="auto"/>
              </w:rPr>
              <w:t>Microfinance</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Mibanco</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3,301</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150</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2,480</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138</w:t>
            </w:r>
          </w:p>
        </w:tc>
        <w:tc>
          <w:tcPr>
            <w:tcW w:w="7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(749)</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(93)</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(158)</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453</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120</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18,355</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15,568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Mibanco Colombia</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670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430</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56</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(93)</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(31)</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47</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13</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2,858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2,369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3,971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2,910</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21,213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17,937</w:t>
            </w:r>
          </w:p>
        </w:tc>
        <w:tc>
          <w:tcPr>
            <w:tcW w:w="0" w:type="dxa"/>
            <w:vAlign w:val="bottom"/>
          </w:tcPr>
          <w:p>
            <w:pPr>
              <w:spacing w:after="0"/>
              <w:rPr>
                <w:sz w:val="1"/>
                <w:szCs w:val="1"/>
                <w:color w:val="auto"/>
              </w:rPr>
            </w:pPr>
          </w:p>
        </w:tc>
      </w:tr>
      <w:tr>
        <w:trPr>
          <w:trHeight w:val="282"/>
        </w:trPr>
        <w:tc>
          <w:tcPr>
            <w:tcW w:w="2220" w:type="dxa"/>
            <w:vAlign w:val="bottom"/>
            <w:gridSpan w:val="2"/>
          </w:tcPr>
          <w:p>
            <w:pPr>
              <w:spacing w:after="0"/>
              <w:rPr>
                <w:sz w:val="20"/>
                <w:szCs w:val="20"/>
                <w:color w:val="auto"/>
              </w:rPr>
            </w:pPr>
            <w:r>
              <w:rPr>
                <w:rFonts w:ascii="Arial" w:cs="Arial" w:eastAsia="Arial" w:hAnsi="Arial"/>
                <w:sz w:val="13"/>
                <w:szCs w:val="13"/>
                <w:color w:val="auto"/>
                <w:w w:val="99"/>
              </w:rPr>
              <w:t>Investment Management and Advisory</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1,405</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538</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1,010</w:t>
            </w: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(42)</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(54)</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225</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30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8,226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6,682</w:t>
            </w:r>
          </w:p>
        </w:tc>
        <w:tc>
          <w:tcPr>
            <w:tcW w:w="0" w:type="dxa"/>
            <w:vAlign w:val="bottom"/>
          </w:tcPr>
          <w:p>
            <w:pPr>
              <w:spacing w:after="0"/>
              <w:rPr>
                <w:sz w:val="1"/>
                <w:szCs w:val="1"/>
                <w:color w:val="auto"/>
              </w:rPr>
            </w:pPr>
          </w:p>
        </w:tc>
      </w:tr>
      <w:tr>
        <w:trPr>
          <w:trHeight w:val="290"/>
        </w:trPr>
        <w:tc>
          <w:tcPr>
            <w:tcW w:w="2220" w:type="dxa"/>
            <w:vAlign w:val="bottom"/>
            <w:gridSpan w:val="2"/>
          </w:tcPr>
          <w:p>
            <w:pPr>
              <w:spacing w:after="0"/>
              <w:rPr>
                <w:sz w:val="20"/>
                <w:szCs w:val="20"/>
                <w:color w:val="auto"/>
              </w:rPr>
            </w:pPr>
            <w:r>
              <w:rPr>
                <w:rFonts w:ascii="Arial" w:cs="Arial" w:eastAsia="Arial" w:hAnsi="Arial"/>
                <w:sz w:val="13"/>
                <w:szCs w:val="13"/>
                <w:color w:val="auto"/>
              </w:rPr>
              <w:t>Other segments</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455</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216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101</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304</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(80)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(25)</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(216)</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(766)</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54</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6,446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2,410</w:t>
            </w:r>
          </w:p>
        </w:tc>
        <w:tc>
          <w:tcPr>
            <w:tcW w:w="0" w:type="dxa"/>
            <w:vAlign w:val="bottom"/>
          </w:tcPr>
          <w:p>
            <w:pPr>
              <w:spacing w:after="0"/>
              <w:rPr>
                <w:sz w:val="1"/>
                <w:szCs w:val="1"/>
                <w:color w:val="auto"/>
              </w:rPr>
            </w:pPr>
          </w:p>
        </w:tc>
      </w:tr>
      <w:tr>
        <w:trPr>
          <w:trHeight w:val="286"/>
        </w:trPr>
        <w:tc>
          <w:tcPr>
            <w:tcW w:w="2220" w:type="dxa"/>
            <w:vAlign w:val="bottom"/>
            <w:gridSpan w:val="2"/>
          </w:tcPr>
          <w:p>
            <w:pPr>
              <w:spacing w:after="0"/>
              <w:rPr>
                <w:sz w:val="20"/>
                <w:szCs w:val="20"/>
                <w:color w:val="auto"/>
              </w:rPr>
            </w:pPr>
            <w:r>
              <w:rPr>
                <w:rFonts w:ascii="Arial" w:cs="Arial" w:eastAsia="Arial" w:hAnsi="Arial"/>
                <w:sz w:val="13"/>
                <w:szCs w:val="13"/>
                <w:color w:val="auto"/>
              </w:rPr>
              <w:t>Eliminations</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(2,097)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(2,106)</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consolidated</w:t>
            </w: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28,555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2,889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14,716</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8,625</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(2,873)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(2,865)</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7,083</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1,848</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267,363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228,266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863" w:hanging="574"/>
        <w:spacing w:after="0"/>
        <w:tabs>
          <w:tab w:leader="none" w:pos="86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the result of the insurance and reinsurance service and medical services results.</w:t>
      </w:r>
    </w:p>
    <w:p>
      <w:pPr>
        <w:spacing w:after="0" w:line="10" w:lineRule="exact"/>
        <w:rPr>
          <w:sz w:val="20"/>
          <w:szCs w:val="20"/>
          <w:color w:val="auto"/>
        </w:rPr>
      </w:pPr>
    </w:p>
    <w:p>
      <w:pPr>
        <w:ind w:left="863" w:hanging="574"/>
        <w:spacing w:after="0"/>
        <w:tabs>
          <w:tab w:leader="none" w:pos="86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ind w:left="863" w:right="500" w:hanging="574"/>
        <w:spacing w:after="0" w:line="253" w:lineRule="auto"/>
        <w:tabs>
          <w:tab w:leader="none" w:pos="86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Corresponds to other income (include income and expenses for commissions) result of the insurance and reinsurance service and medical services results.</w:t>
      </w:r>
    </w:p>
    <w:p>
      <w:pPr>
        <w:spacing w:after="0" w:line="295" w:lineRule="exact"/>
        <w:rPr>
          <w:rFonts w:ascii="Arial" w:cs="Arial" w:eastAsia="Arial" w:hAnsi="Arial"/>
          <w:sz w:val="16"/>
          <w:szCs w:val="16"/>
          <w:color w:val="auto"/>
        </w:rPr>
      </w:pPr>
    </w:p>
    <w:p>
      <w:pPr>
        <w:ind w:left="5483" w:hanging="88"/>
        <w:spacing w:after="0"/>
        <w:tabs>
          <w:tab w:leader="none" w:pos="548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03"/>
          </w:cols>
          <w:pgMar w:left="317" w:top="304" w:right="37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Income (*)</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Additions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interest,</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Provision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Depreciation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of fixed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From</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similar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for credit</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asset,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other</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Other</w:t>
            </w: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losses on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amortization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intangibles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segments</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w:t>
            </w:r>
          </w:p>
        </w:tc>
        <w:tc>
          <w:tcPr>
            <w:tcW w:w="7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7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Net profit</w:t>
            </w: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7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Total</w:t>
            </w:r>
          </w:p>
        </w:tc>
        <w:tc>
          <w:tcPr>
            <w:tcW w:w="74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2024</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External</w:t>
            </w: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expenses</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net (***)</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right in use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tax</w:t>
            </w: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(loss)</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goodwill</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Universal Banking</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Banco de Crédito del Perú</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19,176</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647</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10,815</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4,831</w:t>
            </w:r>
          </w:p>
        </w:tc>
        <w:tc>
          <w:tcPr>
            <w:tcW w:w="7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(2,831)</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(492)</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(1,767)</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5,003</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722</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194,921</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171,451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Banco de Crédito de Bolivia</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924</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25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353</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164</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(84)</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(30)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(73)</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4</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84</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12,996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12,954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672</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11,168</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4,995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(2,915)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806</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207,917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184,405</w:t>
            </w:r>
          </w:p>
        </w:tc>
        <w:tc>
          <w:tcPr>
            <w:tcW w:w="0" w:type="dxa"/>
            <w:vAlign w:val="bottom"/>
          </w:tcPr>
          <w:p>
            <w:pPr>
              <w:spacing w:after="0"/>
              <w:rPr>
                <w:sz w:val="1"/>
                <w:szCs w:val="1"/>
                <w:color w:val="auto"/>
              </w:rPr>
            </w:pPr>
          </w:p>
        </w:tc>
      </w:tr>
      <w:tr>
        <w:trPr>
          <w:trHeight w:val="258"/>
        </w:trPr>
        <w:tc>
          <w:tcPr>
            <w:tcW w:w="2220" w:type="dxa"/>
            <w:vAlign w:val="bottom"/>
            <w:gridSpan w:val="2"/>
          </w:tcPr>
          <w:p>
            <w:pPr>
              <w:spacing w:after="0"/>
              <w:rPr>
                <w:sz w:val="20"/>
                <w:szCs w:val="20"/>
                <w:color w:val="auto"/>
              </w:rPr>
            </w:pPr>
            <w:r>
              <w:rPr>
                <w:rFonts w:ascii="Arial" w:cs="Arial" w:eastAsia="Arial" w:hAnsi="Arial"/>
                <w:sz w:val="13"/>
                <w:szCs w:val="13"/>
                <w:color w:val="auto"/>
              </w:rPr>
              <w:t>Insurance and Pension funds</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Pacífico Seguros and subsidiaries</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1,769</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541</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299</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935</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(44)</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770</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122</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17,777</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14,355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Prima AFP</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385</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379</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(27)</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(55)</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133</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12</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658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2,154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547</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18,435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14,537</w:t>
            </w:r>
          </w:p>
        </w:tc>
        <w:tc>
          <w:tcPr>
            <w:tcW w:w="0" w:type="dxa"/>
            <w:vAlign w:val="bottom"/>
          </w:tcPr>
          <w:p>
            <w:pPr>
              <w:spacing w:after="0"/>
              <w:rPr>
                <w:sz w:val="1"/>
                <w:szCs w:val="1"/>
                <w:color w:val="auto"/>
              </w:rPr>
            </w:pPr>
          </w:p>
        </w:tc>
      </w:tr>
      <w:tr>
        <w:trPr>
          <w:trHeight w:val="258"/>
        </w:trPr>
        <w:tc>
          <w:tcPr>
            <w:tcW w:w="2220" w:type="dxa"/>
            <w:vAlign w:val="bottom"/>
            <w:gridSpan w:val="2"/>
          </w:tcPr>
          <w:p>
            <w:pPr>
              <w:spacing w:after="0"/>
              <w:rPr>
                <w:sz w:val="20"/>
                <w:szCs w:val="20"/>
                <w:color w:val="auto"/>
              </w:rPr>
            </w:pPr>
            <w:r>
              <w:rPr>
                <w:rFonts w:ascii="Arial" w:cs="Arial" w:eastAsia="Arial" w:hAnsi="Arial"/>
                <w:sz w:val="13"/>
                <w:szCs w:val="13"/>
                <w:color w:val="auto"/>
              </w:rPr>
              <w:t>Microfinance</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Mibanco</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3,195</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146</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2,243</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125</w:t>
            </w:r>
          </w:p>
        </w:tc>
        <w:tc>
          <w:tcPr>
            <w:tcW w:w="7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(851)</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(93)</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(85)</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308</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85</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16,979</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14,279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Mibanco Colombia</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574</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326</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60</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(118)</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(19)</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(10)</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2,323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3,769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2,569</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19,302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16,179</w:t>
            </w:r>
          </w:p>
        </w:tc>
        <w:tc>
          <w:tcPr>
            <w:tcW w:w="0" w:type="dxa"/>
            <w:vAlign w:val="bottom"/>
          </w:tcPr>
          <w:p>
            <w:pPr>
              <w:spacing w:after="0"/>
              <w:rPr>
                <w:sz w:val="1"/>
                <w:szCs w:val="1"/>
                <w:color w:val="auto"/>
              </w:rPr>
            </w:pPr>
          </w:p>
        </w:tc>
      </w:tr>
      <w:tr>
        <w:trPr>
          <w:trHeight w:val="282"/>
        </w:trPr>
        <w:tc>
          <w:tcPr>
            <w:tcW w:w="2220" w:type="dxa"/>
            <w:vAlign w:val="bottom"/>
            <w:gridSpan w:val="2"/>
          </w:tcPr>
          <w:p>
            <w:pPr>
              <w:spacing w:after="0"/>
              <w:rPr>
                <w:sz w:val="20"/>
                <w:szCs w:val="20"/>
                <w:color w:val="auto"/>
              </w:rPr>
            </w:pPr>
            <w:r>
              <w:rPr>
                <w:rFonts w:ascii="Arial" w:cs="Arial" w:eastAsia="Arial" w:hAnsi="Arial"/>
                <w:sz w:val="13"/>
                <w:szCs w:val="13"/>
                <w:color w:val="auto"/>
                <w:w w:val="99"/>
              </w:rPr>
              <w:t>Investment Management and Advisory</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1,317</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527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36</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945</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(30)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(43)</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(69)</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196</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36</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8,466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6,907</w:t>
            </w:r>
          </w:p>
        </w:tc>
        <w:tc>
          <w:tcPr>
            <w:tcW w:w="0" w:type="dxa"/>
            <w:vAlign w:val="bottom"/>
          </w:tcPr>
          <w:p>
            <w:pPr>
              <w:spacing w:after="0"/>
              <w:rPr>
                <w:sz w:val="1"/>
                <w:szCs w:val="1"/>
                <w:color w:val="auto"/>
              </w:rPr>
            </w:pPr>
          </w:p>
        </w:tc>
      </w:tr>
      <w:tr>
        <w:trPr>
          <w:trHeight w:val="290"/>
        </w:trPr>
        <w:tc>
          <w:tcPr>
            <w:tcW w:w="2220" w:type="dxa"/>
            <w:vAlign w:val="bottom"/>
            <w:gridSpan w:val="2"/>
          </w:tcPr>
          <w:p>
            <w:pPr>
              <w:spacing w:after="0"/>
              <w:rPr>
                <w:sz w:val="20"/>
                <w:szCs w:val="20"/>
                <w:color w:val="auto"/>
              </w:rPr>
            </w:pPr>
            <w:r>
              <w:rPr>
                <w:rFonts w:ascii="Arial" w:cs="Arial" w:eastAsia="Arial" w:hAnsi="Arial"/>
                <w:sz w:val="13"/>
                <w:szCs w:val="13"/>
                <w:color w:val="auto"/>
              </w:rPr>
              <w:t>Other segments</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388</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132</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264</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(29)</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(7)</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(83)</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(779)</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40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6,341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3,286</w:t>
            </w:r>
          </w:p>
        </w:tc>
        <w:tc>
          <w:tcPr>
            <w:tcW w:w="0" w:type="dxa"/>
            <w:vAlign w:val="bottom"/>
          </w:tcPr>
          <w:p>
            <w:pPr>
              <w:spacing w:after="0"/>
              <w:rPr>
                <w:sz w:val="1"/>
                <w:szCs w:val="1"/>
                <w:color w:val="auto"/>
              </w:rPr>
            </w:pPr>
          </w:p>
        </w:tc>
      </w:tr>
      <w:tr>
        <w:trPr>
          <w:trHeight w:val="286"/>
        </w:trPr>
        <w:tc>
          <w:tcPr>
            <w:tcW w:w="2220" w:type="dxa"/>
            <w:vAlign w:val="bottom"/>
            <w:gridSpan w:val="2"/>
          </w:tcPr>
          <w:p>
            <w:pPr>
              <w:spacing w:after="0"/>
              <w:rPr>
                <w:sz w:val="20"/>
                <w:szCs w:val="20"/>
                <w:color w:val="auto"/>
              </w:rPr>
            </w:pPr>
            <w:r>
              <w:rPr>
                <w:rFonts w:ascii="Arial" w:cs="Arial" w:eastAsia="Arial" w:hAnsi="Arial"/>
                <w:sz w:val="13"/>
                <w:szCs w:val="13"/>
                <w:color w:val="auto"/>
              </w:rPr>
              <w:t>Eliminations</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(24)</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(4,372)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(4,202)</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consolidated</w:t>
            </w: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27,472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2,025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14,115</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7,603</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(3,943)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(2,201)</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5,623</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1,111</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256,089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221,112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80" w:hanging="574"/>
        <w:spacing w:after="0"/>
        <w:tabs>
          <w:tab w:leader="none" w:pos="5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the result of the insurance and reinsurance service.</w:t>
      </w:r>
    </w:p>
    <w:p>
      <w:pPr>
        <w:spacing w:after="0" w:line="10" w:lineRule="exact"/>
        <w:rPr>
          <w:sz w:val="20"/>
          <w:szCs w:val="20"/>
          <w:color w:val="auto"/>
        </w:rPr>
      </w:pPr>
    </w:p>
    <w:p>
      <w:pPr>
        <w:ind w:left="580" w:hanging="574"/>
        <w:spacing w:after="0"/>
        <w:tabs>
          <w:tab w:leader="none" w:pos="5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ind w:left="580" w:hanging="574"/>
        <w:spacing w:after="0"/>
        <w:tabs>
          <w:tab w:leader="none" w:pos="5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Corresponds to other income (include income and expenses for commissions) result of the insurance and reinsurance service.</w:t>
      </w:r>
    </w:p>
    <w:p>
      <w:pPr>
        <w:spacing w:after="0" w:line="318" w:lineRule="exact"/>
        <w:rPr>
          <w:rFonts w:ascii="Arial" w:cs="Arial" w:eastAsia="Arial" w:hAnsi="Arial"/>
          <w:sz w:val="16"/>
          <w:szCs w:val="16"/>
          <w:color w:val="auto"/>
        </w:rPr>
      </w:pPr>
    </w:p>
    <w:p>
      <w:pPr>
        <w:ind w:left="5200" w:hanging="88"/>
        <w:spacing w:after="0"/>
        <w:tabs>
          <w:tab w:leader="none" w:pos="52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20"/>
          </w:cols>
          <w:pgMar w:left="600" w:top="325" w:right="37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Income (*)</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Additions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interest,</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Provision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Depreciation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of fixed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From</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similar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for credit</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asset,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other</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Other</w:t>
            </w: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losses on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amortization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intangibles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segments</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w:t>
            </w:r>
          </w:p>
        </w:tc>
        <w:tc>
          <w:tcPr>
            <w:tcW w:w="7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7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Net profit</w:t>
            </w:r>
          </w:p>
        </w:tc>
        <w:tc>
          <w:tcPr>
            <w:tcW w:w="8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w:t>
            </w:r>
          </w:p>
        </w:tc>
        <w:tc>
          <w:tcPr>
            <w:tcW w:w="7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Total</w:t>
            </w:r>
          </w:p>
        </w:tc>
        <w:tc>
          <w:tcPr>
            <w:tcW w:w="74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2023</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External</w:t>
            </w: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expenses</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net (***)</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right in use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tax</w:t>
            </w: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(loss)</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goodwill</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Universal Banking</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Banco de Crédito del Perú</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17,802</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686</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9,818</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4,315</w:t>
            </w:r>
          </w:p>
        </w:tc>
        <w:tc>
          <w:tcPr>
            <w:tcW w:w="7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(2,846)</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(460)</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(1,498)</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4,379</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894</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178,053</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155,908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Banco de Crédito de Bolivia</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820</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19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332</w:t>
            </w:r>
          </w:p>
        </w:tc>
        <w:tc>
          <w:tcPr>
            <w:tcW w:w="660" w:type="dxa"/>
            <w:vAlign w:val="bottom"/>
          </w:tcPr>
          <w:p>
            <w:pPr>
              <w:jc w:val="right"/>
              <w:spacing w:after="0"/>
              <w:rPr>
                <w:sz w:val="20"/>
                <w:szCs w:val="20"/>
                <w:color w:val="auto"/>
              </w:rPr>
            </w:pPr>
            <w:r>
              <w:rPr>
                <w:rFonts w:ascii="Arial" w:cs="Arial" w:eastAsia="Arial" w:hAnsi="Arial"/>
                <w:sz w:val="13"/>
                <w:szCs w:val="13"/>
                <w:color w:val="auto"/>
              </w:rPr>
              <w:t>110</w:t>
            </w:r>
          </w:p>
        </w:tc>
        <w:tc>
          <w:tcPr>
            <w:tcW w:w="4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(50)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(28)</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(62)</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3</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16</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12,631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12,593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18,622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705</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10,150</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(2,896)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(1,560)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4,382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910</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190,684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168,501</w:t>
            </w:r>
          </w:p>
        </w:tc>
        <w:tc>
          <w:tcPr>
            <w:tcW w:w="0" w:type="dxa"/>
            <w:vAlign w:val="bottom"/>
          </w:tcPr>
          <w:p>
            <w:pPr>
              <w:spacing w:after="0"/>
              <w:rPr>
                <w:sz w:val="1"/>
                <w:szCs w:val="1"/>
                <w:color w:val="auto"/>
              </w:rPr>
            </w:pPr>
          </w:p>
        </w:tc>
      </w:tr>
      <w:tr>
        <w:trPr>
          <w:trHeight w:val="258"/>
        </w:trPr>
        <w:tc>
          <w:tcPr>
            <w:tcW w:w="2220" w:type="dxa"/>
            <w:vAlign w:val="bottom"/>
            <w:gridSpan w:val="2"/>
          </w:tcPr>
          <w:p>
            <w:pPr>
              <w:spacing w:after="0"/>
              <w:rPr>
                <w:sz w:val="20"/>
                <w:szCs w:val="20"/>
                <w:color w:val="auto"/>
              </w:rPr>
            </w:pPr>
            <w:r>
              <w:rPr>
                <w:rFonts w:ascii="Arial" w:cs="Arial" w:eastAsia="Arial" w:hAnsi="Arial"/>
                <w:sz w:val="13"/>
                <w:szCs w:val="13"/>
                <w:color w:val="auto"/>
              </w:rPr>
              <w:t>Insurance and Pension funds</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Pacífico Seguros y subsidiarias</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1,730</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528</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285</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952</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(40)</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819</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79</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16,586</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13,435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Prima AFP</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386</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379</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(25)</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(57)</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150</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17</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741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535</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289</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17,327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13,675</w:t>
            </w:r>
          </w:p>
        </w:tc>
        <w:tc>
          <w:tcPr>
            <w:tcW w:w="0" w:type="dxa"/>
            <w:vAlign w:val="bottom"/>
          </w:tcPr>
          <w:p>
            <w:pPr>
              <w:spacing w:after="0"/>
              <w:rPr>
                <w:sz w:val="1"/>
                <w:szCs w:val="1"/>
                <w:color w:val="auto"/>
              </w:rPr>
            </w:pPr>
          </w:p>
        </w:tc>
      </w:tr>
      <w:tr>
        <w:trPr>
          <w:trHeight w:val="258"/>
        </w:trPr>
        <w:tc>
          <w:tcPr>
            <w:tcW w:w="2220" w:type="dxa"/>
            <w:vAlign w:val="bottom"/>
            <w:gridSpan w:val="2"/>
          </w:tcPr>
          <w:p>
            <w:pPr>
              <w:spacing w:after="0"/>
              <w:rPr>
                <w:sz w:val="20"/>
                <w:szCs w:val="20"/>
                <w:color w:val="auto"/>
              </w:rPr>
            </w:pPr>
            <w:r>
              <w:rPr>
                <w:rFonts w:ascii="Arial" w:cs="Arial" w:eastAsia="Arial" w:hAnsi="Arial"/>
                <w:sz w:val="13"/>
                <w:szCs w:val="13"/>
                <w:color w:val="auto"/>
              </w:rPr>
              <w:t>Microfinance</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Pr>
          <w:p>
            <w:pPr>
              <w:ind w:left="140"/>
              <w:spacing w:after="0" w:line="145" w:lineRule="exact"/>
              <w:rPr>
                <w:sz w:val="20"/>
                <w:szCs w:val="20"/>
                <w:color w:val="auto"/>
              </w:rPr>
            </w:pPr>
            <w:r>
              <w:rPr>
                <w:rFonts w:ascii="Arial" w:cs="Arial" w:eastAsia="Arial" w:hAnsi="Arial"/>
                <w:sz w:val="13"/>
                <w:szCs w:val="13"/>
                <w:color w:val="auto"/>
              </w:rPr>
              <w:t>Mibanco</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3,236</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187</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2,165</w:t>
            </w: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155</w:t>
            </w:r>
          </w:p>
        </w:tc>
        <w:tc>
          <w:tcPr>
            <w:tcW w:w="7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(923)</w:t>
            </w: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(87)</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(47)</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202</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129</w:t>
            </w: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16,931</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13,902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Arial" w:cs="Arial" w:eastAsia="Arial" w:hAnsi="Arial"/>
                <w:sz w:val="13"/>
                <w:szCs w:val="13"/>
                <w:color w:val="auto"/>
              </w:rPr>
              <w:t>Mibanco Colombia</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489</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255</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45</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(125)</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(15)</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26</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(145)</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44</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2,164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1,892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3,725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2,420</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19,095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15,794</w:t>
            </w:r>
          </w:p>
        </w:tc>
        <w:tc>
          <w:tcPr>
            <w:tcW w:w="0" w:type="dxa"/>
            <w:vAlign w:val="bottom"/>
          </w:tcPr>
          <w:p>
            <w:pPr>
              <w:spacing w:after="0"/>
              <w:rPr>
                <w:sz w:val="1"/>
                <w:szCs w:val="1"/>
                <w:color w:val="auto"/>
              </w:rPr>
            </w:pPr>
          </w:p>
        </w:tc>
      </w:tr>
      <w:tr>
        <w:trPr>
          <w:trHeight w:val="282"/>
        </w:trPr>
        <w:tc>
          <w:tcPr>
            <w:tcW w:w="2220" w:type="dxa"/>
            <w:vAlign w:val="bottom"/>
            <w:gridSpan w:val="2"/>
          </w:tcPr>
          <w:p>
            <w:pPr>
              <w:spacing w:after="0"/>
              <w:rPr>
                <w:sz w:val="20"/>
                <w:szCs w:val="20"/>
                <w:color w:val="auto"/>
              </w:rPr>
            </w:pPr>
            <w:r>
              <w:rPr>
                <w:rFonts w:ascii="Arial" w:cs="Arial" w:eastAsia="Arial" w:hAnsi="Arial"/>
                <w:sz w:val="13"/>
                <w:szCs w:val="13"/>
                <w:color w:val="auto"/>
                <w:w w:val="99"/>
              </w:rPr>
              <w:t>Investment Management and Advisory</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1,210</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518</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82</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809</w:t>
            </w: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(50)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(31)</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161</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16</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10,104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8,394</w:t>
            </w:r>
          </w:p>
        </w:tc>
        <w:tc>
          <w:tcPr>
            <w:tcW w:w="0" w:type="dxa"/>
            <w:vAlign w:val="bottom"/>
          </w:tcPr>
          <w:p>
            <w:pPr>
              <w:spacing w:after="0"/>
              <w:rPr>
                <w:sz w:val="1"/>
                <w:szCs w:val="1"/>
                <w:color w:val="auto"/>
              </w:rPr>
            </w:pPr>
          </w:p>
        </w:tc>
      </w:tr>
      <w:tr>
        <w:trPr>
          <w:trHeight w:val="290"/>
        </w:trPr>
        <w:tc>
          <w:tcPr>
            <w:tcW w:w="2220" w:type="dxa"/>
            <w:vAlign w:val="bottom"/>
            <w:gridSpan w:val="2"/>
          </w:tcPr>
          <w:p>
            <w:pPr>
              <w:spacing w:after="0"/>
              <w:rPr>
                <w:sz w:val="20"/>
                <w:szCs w:val="20"/>
                <w:color w:val="auto"/>
              </w:rPr>
            </w:pPr>
            <w:r>
              <w:rPr>
                <w:rFonts w:ascii="Arial" w:cs="Arial" w:eastAsia="Arial" w:hAnsi="Arial"/>
                <w:sz w:val="13"/>
                <w:szCs w:val="13"/>
                <w:color w:val="auto"/>
              </w:rPr>
              <w:t>Other segments</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278</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105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216</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(13)</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(179)</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(609)</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19</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4,947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2,670</w:t>
            </w:r>
          </w:p>
        </w:tc>
        <w:tc>
          <w:tcPr>
            <w:tcW w:w="0" w:type="dxa"/>
            <w:vAlign w:val="bottom"/>
          </w:tcPr>
          <w:p>
            <w:pPr>
              <w:spacing w:after="0"/>
              <w:rPr>
                <w:sz w:val="1"/>
                <w:szCs w:val="1"/>
                <w:color w:val="auto"/>
              </w:rPr>
            </w:pPr>
          </w:p>
        </w:tc>
      </w:tr>
      <w:tr>
        <w:trPr>
          <w:trHeight w:val="286"/>
        </w:trPr>
        <w:tc>
          <w:tcPr>
            <w:tcW w:w="2220" w:type="dxa"/>
            <w:vAlign w:val="bottom"/>
            <w:gridSpan w:val="2"/>
          </w:tcPr>
          <w:p>
            <w:pPr>
              <w:spacing w:after="0"/>
              <w:rPr>
                <w:sz w:val="20"/>
                <w:szCs w:val="20"/>
                <w:color w:val="auto"/>
              </w:rPr>
            </w:pPr>
            <w:r>
              <w:rPr>
                <w:rFonts w:ascii="Arial" w:cs="Arial" w:eastAsia="Arial" w:hAnsi="Arial"/>
                <w:sz w:val="13"/>
                <w:szCs w:val="13"/>
                <w:color w:val="auto"/>
              </w:rPr>
              <w:t>Eliminations</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(3,317)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(3,301)</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consolidated</w:t>
            </w: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25,665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2,051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12,938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6,867</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(3,957)</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(659)</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(1,888)</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4,960</w:t>
            </w: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1,214</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238,840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205,733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80" w:hanging="574"/>
        <w:spacing w:after="0"/>
        <w:tabs>
          <w:tab w:leader="none" w:pos="5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the result of the insurance and reinsurance service.</w:t>
      </w:r>
    </w:p>
    <w:p>
      <w:pPr>
        <w:spacing w:after="0" w:line="10" w:lineRule="exact"/>
        <w:rPr>
          <w:sz w:val="20"/>
          <w:szCs w:val="20"/>
          <w:color w:val="auto"/>
        </w:rPr>
      </w:pPr>
    </w:p>
    <w:p>
      <w:pPr>
        <w:ind w:left="580" w:hanging="574"/>
        <w:spacing w:after="0"/>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ind w:left="580" w:hanging="574"/>
        <w:spacing w:after="0"/>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Corresponds to other income (include income and expenses for commissions) result of the insurance and reinsurance service.</w:t>
      </w:r>
    </w:p>
    <w:p>
      <w:pPr>
        <w:spacing w:after="0" w:line="318" w:lineRule="exact"/>
        <w:rPr>
          <w:rFonts w:ascii="Arial" w:cs="Arial" w:eastAsia="Arial" w:hAnsi="Arial"/>
          <w:sz w:val="16"/>
          <w:szCs w:val="16"/>
          <w:color w:val="auto"/>
        </w:rPr>
      </w:pPr>
    </w:p>
    <w:p>
      <w:pPr>
        <w:ind w:left="5200" w:hanging="88"/>
        <w:spacing w:after="0"/>
        <w:tabs>
          <w:tab w:leader="none" w:pos="52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20"/>
          </w:cols>
          <w:pgMar w:left="600" w:top="325" w:right="379" w:bottom="1440" w:gutter="0" w:footer="0" w:header="0"/>
        </w:sectPr>
      </w:pPr>
    </w:p>
    <w:bookmarkStart w:id="130" w:name="page131"/>
    <w:bookmarkEnd w:id="130"/>
    <w:p>
      <w:pPr>
        <w:ind w:left="283" w:hanging="283"/>
        <w:spacing w:after="0" w:line="274" w:lineRule="auto"/>
        <w:tabs>
          <w:tab w:leader="none" w:pos="28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following table presents (in millions of soles) the distribution of the total revenue, operating revenue and non-current assets of the Group; all assigned based on the location of the clients and assets, respectively, as of December 31, 2025, 2024 and 2023:</w:t>
      </w:r>
    </w:p>
    <w:p>
      <w:pPr>
        <w:spacing w:after="0" w:line="144" w:lineRule="exact"/>
        <w:rPr>
          <w:sz w:val="20"/>
          <w:szCs w:val="20"/>
          <w:color w:val="auto"/>
        </w:rPr>
      </w:pPr>
    </w:p>
    <w:tbl>
      <w:tblPr>
        <w:tblLayout w:type="fixed"/>
        <w:tblInd w:w="283"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3"/>
                <w:szCs w:val="13"/>
                <w:b w:val="1"/>
                <w:bCs w:val="1"/>
                <w:color w:val="auto"/>
              </w:rPr>
              <w:t>Total non</w:t>
            </w: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3"/>
                <w:szCs w:val="13"/>
                <w:b w:val="1"/>
                <w:bCs w:val="1"/>
                <w:color w:val="auto"/>
              </w:rPr>
              <w:t>Total non</w:t>
            </w: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3"/>
                <w:szCs w:val="13"/>
                <w:b w:val="1"/>
                <w:bCs w:val="1"/>
                <w:color w:val="auto"/>
              </w:rPr>
              <w:t>Total non</w:t>
            </w: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860" w:type="dxa"/>
            <w:vAlign w:val="bottom"/>
            <w:gridSpan w:val="3"/>
          </w:tcPr>
          <w:p>
            <w:pPr>
              <w:ind w:left="80"/>
              <w:spacing w:after="0" w:line="145" w:lineRule="exact"/>
              <w:rPr>
                <w:sz w:val="20"/>
                <w:szCs w:val="20"/>
                <w:color w:val="auto"/>
              </w:rPr>
            </w:pPr>
            <w:r>
              <w:rPr>
                <w:rFonts w:ascii="Arial" w:cs="Arial" w:eastAsia="Arial" w:hAnsi="Arial"/>
                <w:sz w:val="13"/>
                <w:szCs w:val="13"/>
                <w:b w:val="1"/>
                <w:bCs w:val="1"/>
                <w:color w:val="auto"/>
              </w:rPr>
              <w:t>Total</w:t>
            </w:r>
          </w:p>
        </w:tc>
        <w:tc>
          <w:tcPr>
            <w:tcW w:w="7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Operating</w:t>
            </w:r>
          </w:p>
        </w:tc>
        <w:tc>
          <w:tcPr>
            <w:tcW w:w="8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current</w:t>
            </w:r>
          </w:p>
        </w:tc>
        <w:tc>
          <w:tcPr>
            <w:tcW w:w="7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Total</w:t>
            </w:r>
          </w:p>
        </w:tc>
        <w:tc>
          <w:tcPr>
            <w:tcW w:w="8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Total</w:t>
            </w:r>
          </w:p>
        </w:tc>
        <w:tc>
          <w:tcPr>
            <w:tcW w:w="7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Operating</w:t>
            </w:r>
          </w:p>
        </w:tc>
        <w:tc>
          <w:tcPr>
            <w:tcW w:w="78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Total</w:t>
            </w:r>
          </w:p>
        </w:tc>
        <w:tc>
          <w:tcPr>
            <w:tcW w:w="7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Total</w:t>
            </w:r>
          </w:p>
        </w:tc>
        <w:tc>
          <w:tcPr>
            <w:tcW w:w="80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Operating</w:t>
            </w:r>
          </w:p>
        </w:tc>
        <w:tc>
          <w:tcPr>
            <w:tcW w:w="84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current</w:t>
            </w:r>
          </w:p>
        </w:tc>
        <w:tc>
          <w:tcPr>
            <w:tcW w:w="700" w:type="dxa"/>
            <w:vAlign w:val="bottom"/>
          </w:tcPr>
          <w:p>
            <w:pPr>
              <w:spacing w:after="0" w:line="14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500" w:type="dxa"/>
            <w:vAlign w:val="bottom"/>
            <w:vMerge w:val="restart"/>
          </w:tcPr>
          <w:p>
            <w:pPr>
              <w:spacing w:after="0"/>
              <w:rPr>
                <w:sz w:val="20"/>
                <w:szCs w:val="20"/>
                <w:color w:val="auto"/>
              </w:rPr>
            </w:pPr>
            <w:r>
              <w:rPr>
                <w:rFonts w:ascii="Arial" w:cs="Arial" w:eastAsia="Arial" w:hAnsi="Arial"/>
                <w:sz w:val="13"/>
                <w:szCs w:val="13"/>
                <w:color w:val="auto"/>
              </w:rPr>
              <w:t>Peru</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income (*)</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assets (***)</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 (*)</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assets (***)</w:t>
            </w: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liabilities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80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 (**)</w:t>
            </w: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assets (***)</w:t>
            </w:r>
          </w:p>
        </w:tc>
        <w:tc>
          <w:tcPr>
            <w:tcW w:w="7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29"/>
        </w:trPr>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29,685</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13,936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6,686</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207,828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24,573</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13,358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4,459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196,497</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22,588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11,922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4,648</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180,268</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Bermuda</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125</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17</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38</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277</w:t>
            </w:r>
          </w:p>
        </w:tc>
        <w:tc>
          <w:tcPr>
            <w:tcW w:w="7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(767)</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(636)</w:t>
            </w:r>
          </w:p>
        </w:tc>
        <w:tc>
          <w:tcPr>
            <w:tcW w:w="78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5</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1,917</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150</w:t>
            </w:r>
          </w:p>
        </w:tc>
        <w:tc>
          <w:tcPr>
            <w:tcW w:w="8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(45)</w:t>
            </w:r>
          </w:p>
        </w:tc>
        <w:tc>
          <w:tcPr>
            <w:tcW w:w="4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2,086</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Colombia</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1,360</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361</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405</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4,593</w:t>
            </w:r>
          </w:p>
        </w:tc>
        <w:tc>
          <w:tcPr>
            <w:tcW w:w="84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1,265</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240</w:t>
            </w:r>
          </w:p>
        </w:tc>
        <w:tc>
          <w:tcPr>
            <w:tcW w:w="78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339</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3,402</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854</w:t>
            </w:r>
          </w:p>
        </w:tc>
        <w:tc>
          <w:tcPr>
            <w:tcW w:w="8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199</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193</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4,060</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Bolivia</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735</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211</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152</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10,176</w:t>
            </w:r>
          </w:p>
        </w:tc>
        <w:tc>
          <w:tcPr>
            <w:tcW w:w="84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1,065</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346</w:t>
            </w:r>
          </w:p>
        </w:tc>
        <w:tc>
          <w:tcPr>
            <w:tcW w:w="78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201</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13,121</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1,028</w:t>
            </w:r>
          </w:p>
        </w:tc>
        <w:tc>
          <w:tcPr>
            <w:tcW w:w="8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328</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122</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12,784</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Panama</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404</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131</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18</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3,963</w:t>
            </w:r>
          </w:p>
        </w:tc>
        <w:tc>
          <w:tcPr>
            <w:tcW w:w="84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356</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129</w:t>
            </w:r>
          </w:p>
        </w:tc>
        <w:tc>
          <w:tcPr>
            <w:tcW w:w="78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29</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4,758</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384</w:t>
            </w:r>
          </w:p>
        </w:tc>
        <w:tc>
          <w:tcPr>
            <w:tcW w:w="8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174</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31</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5,580</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Chile</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234</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77</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102</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2,382</w:t>
            </w:r>
          </w:p>
        </w:tc>
        <w:tc>
          <w:tcPr>
            <w:tcW w:w="84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208</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16</w:t>
            </w:r>
          </w:p>
        </w:tc>
        <w:tc>
          <w:tcPr>
            <w:tcW w:w="78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88</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1,132</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129</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75</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United States of America</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42</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20</w:t>
            </w:r>
          </w:p>
        </w:tc>
        <w:tc>
          <w:tcPr>
            <w:tcW w:w="84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38</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9</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17</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29</w:t>
            </w:r>
          </w:p>
        </w:tc>
        <w:tc>
          <w:tcPr>
            <w:tcW w:w="6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14</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Cayman Islands</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532</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574</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30</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76</w:t>
            </w:r>
          </w:p>
        </w:tc>
        <w:tc>
          <w:tcPr>
            <w:tcW w:w="84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734</w:t>
            </w: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662</w:t>
            </w: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268</w:t>
            </w: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503</w:t>
            </w:r>
          </w:p>
        </w:tc>
        <w:tc>
          <w:tcPr>
            <w:tcW w:w="8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358</w:t>
            </w:r>
          </w:p>
        </w:tc>
        <w:tc>
          <w:tcPr>
            <w:tcW w:w="4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5"/>
        </w:trPr>
        <w:tc>
          <w:tcPr>
            <w:tcW w:w="1500" w:type="dxa"/>
            <w:vAlign w:val="bottom"/>
          </w:tcPr>
          <w:p>
            <w:pPr>
              <w:spacing w:after="0"/>
              <w:rPr>
                <w:sz w:val="20"/>
                <w:szCs w:val="20"/>
                <w:color w:val="auto"/>
              </w:rPr>
            </w:pPr>
            <w:r>
              <w:rPr>
                <w:rFonts w:ascii="Arial" w:cs="Arial" w:eastAsia="Arial" w:hAnsi="Arial"/>
                <w:sz w:val="13"/>
                <w:szCs w:val="13"/>
                <w:color w:val="auto"/>
              </w:rPr>
              <w:t>Others (****)</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(4,562)</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(591)</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(1,049)</w:t>
            </w: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3"/>
                <w:szCs w:val="13"/>
                <w:b w:val="1"/>
                <w:bCs w:val="1"/>
                <w:color w:val="auto"/>
              </w:rPr>
              <w:t>Total consolidated</w:t>
            </w: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28,555</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14,716</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7,437</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228,266</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27,472</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14,115</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5,130</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221,112</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25,665</w:t>
            </w: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12,938</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5,083</w:t>
            </w:r>
          </w:p>
        </w:tc>
        <w:tc>
          <w:tcPr>
            <w:tcW w:w="700" w:type="dxa"/>
            <w:vAlign w:val="bottom"/>
          </w:tcPr>
          <w:p>
            <w:pPr>
              <w:jc w:val="right"/>
              <w:spacing w:after="0"/>
              <w:rPr>
                <w:sz w:val="20"/>
                <w:szCs w:val="20"/>
                <w:color w:val="auto"/>
              </w:rPr>
            </w:pPr>
            <w:r>
              <w:rPr>
                <w:rFonts w:ascii="Arial" w:cs="Arial" w:eastAsia="Arial" w:hAnsi="Arial"/>
                <w:sz w:val="13"/>
                <w:szCs w:val="13"/>
                <w:color w:val="auto"/>
              </w:rPr>
              <w:t>205,733</w:t>
            </w:r>
          </w:p>
        </w:tc>
        <w:tc>
          <w:tcPr>
            <w:tcW w:w="0" w:type="dxa"/>
            <w:vAlign w:val="bottom"/>
          </w:tcPr>
          <w:p>
            <w:pPr>
              <w:spacing w:after="0"/>
              <w:rPr>
                <w:sz w:val="1"/>
                <w:szCs w:val="1"/>
                <w:color w:val="auto"/>
              </w:rPr>
            </w:pPr>
          </w:p>
        </w:tc>
      </w:tr>
      <w:tr>
        <w:trPr>
          <w:trHeight w:val="24"/>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863" w:hanging="574"/>
        <w:spacing w:after="0" w:line="242" w:lineRule="auto"/>
        <w:tabs>
          <w:tab w:leader="none" w:pos="86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 of December 31, 2025, it includes the total of interest and similar income, other income, insurance and reinsurance results, and medical services results. As of December 31, 2024 and 2023, it includes the total of interest and similar income, other income, and insurance and reinsurance results.</w:t>
      </w:r>
    </w:p>
    <w:p>
      <w:pPr>
        <w:ind w:left="863" w:hanging="574"/>
        <w:spacing w:after="0"/>
        <w:tabs>
          <w:tab w:leader="none" w:pos="86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Operating income includes the income from interest and similar expenses from banking.</w:t>
      </w:r>
    </w:p>
    <w:p>
      <w:pPr>
        <w:ind w:left="863" w:hanging="574"/>
        <w:spacing w:after="0" w:line="236" w:lineRule="auto"/>
        <w:tabs>
          <w:tab w:leader="none" w:pos="86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Non-current assets consist of property, furniture and equipment, intangible assets and goodwill and right-for-use assets, net.</w:t>
      </w:r>
    </w:p>
    <w:p>
      <w:pPr>
        <w:ind w:left="283"/>
        <w:spacing w:after="0"/>
        <w:tabs>
          <w:tab w:leader="none" w:pos="843" w:val="left"/>
        </w:tabs>
        <w:rPr>
          <w:sz w:val="20"/>
          <w:szCs w:val="20"/>
          <w:color w:val="auto"/>
        </w:rPr>
      </w:pPr>
      <w:r>
        <w:rPr>
          <w:rFonts w:ascii="Arial" w:cs="Arial" w:eastAsia="Arial" w:hAnsi="Arial"/>
          <w:sz w:val="16"/>
          <w:szCs w:val="16"/>
          <w:color w:val="auto"/>
        </w:rPr>
        <w:t>(****)</w:t>
        <w:tab/>
        <w:t>Includes other countries such as Mexico, adjustments and eliminations.</w:t>
      </w:r>
    </w:p>
    <w:p>
      <w:pPr>
        <w:spacing w:after="0" w:line="31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304" w:right="339" w:bottom="1440" w:gutter="0" w:footer="0" w:header="0"/>
        </w:sectPr>
      </w:pPr>
    </w:p>
    <w:bookmarkStart w:id="131" w:name="page132"/>
    <w:bookmarkEnd w:id="131"/>
    <w:p>
      <w:pPr>
        <w:ind w:left="583" w:hanging="583"/>
        <w:spacing w:after="0"/>
        <w:tabs>
          <w:tab w:leader="none" w:pos="583"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TRANSACTIONS WITH RELATED PARTIES</w:t>
      </w:r>
    </w:p>
    <w:p>
      <w:pPr>
        <w:spacing w:after="0" w:line="177" w:lineRule="exact"/>
        <w:rPr>
          <w:rFonts w:ascii="Arial" w:cs="Arial" w:eastAsia="Arial" w:hAnsi="Arial"/>
          <w:sz w:val="16"/>
          <w:szCs w:val="16"/>
          <w:b w:val="1"/>
          <w:bCs w:val="1"/>
          <w:color w:val="auto"/>
        </w:rPr>
      </w:pPr>
    </w:p>
    <w:p>
      <w:pPr>
        <w:ind w:left="863" w:right="220" w:hanging="284"/>
        <w:spacing w:after="0" w:line="255" w:lineRule="auto"/>
        <w:tabs>
          <w:tab w:leader="none" w:pos="863"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Group’s consolidated financial statements as of December 31, 2025 and 2024 include transactions with related parties, the Board of Directors, the Group’s key executives (defined as the Management of Credicorp) and the companies which are controlled by these individuals through their majority shareholding or their role as Chairman or CEO.</w:t>
      </w:r>
    </w:p>
    <w:p>
      <w:pPr>
        <w:spacing w:after="0" w:line="137" w:lineRule="exact"/>
        <w:rPr>
          <w:rFonts w:ascii="Arial" w:cs="Arial" w:eastAsia="Arial" w:hAnsi="Arial"/>
          <w:sz w:val="16"/>
          <w:szCs w:val="16"/>
          <w:color w:val="auto"/>
        </w:rPr>
      </w:pPr>
    </w:p>
    <w:p>
      <w:pPr>
        <w:ind w:left="863" w:hanging="284"/>
        <w:spacing w:after="0"/>
        <w:tabs>
          <w:tab w:leader="none" w:pos="863"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following table presents the main transactions and balances with related parties and individuals as of December 31, 2025 and 2024:</w:t>
      </w:r>
    </w:p>
    <w:p>
      <w:pPr>
        <w:spacing w:after="0" w:line="178" w:lineRule="exact"/>
        <w:rPr>
          <w:sz w:val="20"/>
          <w:szCs w:val="20"/>
          <w:color w:val="auto"/>
        </w:rPr>
      </w:pPr>
    </w:p>
    <w:tbl>
      <w:tblPr>
        <w:tblLayout w:type="fixed"/>
        <w:tblInd w:w="863" w:type="dxa"/>
        <w:tblCellMar>
          <w:top w:w="0" w:type="dxa"/>
          <w:left w:w="0" w:type="dxa"/>
          <w:bottom w:w="0" w:type="dxa"/>
          <w:right w:w="0" w:type="dxa"/>
        </w:tblCellMar>
      </w:tblPr>
      <w:tr>
        <w:trPr>
          <w:trHeight w:val="198"/>
        </w:trPr>
        <w:tc>
          <w:tcPr>
            <w:tcW w:w="7740" w:type="dxa"/>
            <w:vAlign w:val="bottom"/>
            <w:gridSpan w:val="2"/>
          </w:tcPr>
          <w:p>
            <w:pPr>
              <w:ind w:left="7120"/>
              <w:spacing w:after="0"/>
              <w:rPr>
                <w:sz w:val="20"/>
                <w:szCs w:val="20"/>
                <w:color w:val="auto"/>
              </w:rPr>
            </w:pPr>
            <w:r>
              <w:rPr>
                <w:rFonts w:ascii="Arial" w:cs="Arial" w:eastAsia="Arial" w:hAnsi="Arial"/>
                <w:sz w:val="16"/>
                <w:szCs w:val="16"/>
                <w:b w:val="1"/>
                <w:bCs w:val="1"/>
                <w:color w:val="auto"/>
              </w:rPr>
              <w:t>2025</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712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Statement of financial position -</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7740" w:type="dxa"/>
            <w:vAlign w:val="bottom"/>
            <w:gridSpan w:val="2"/>
          </w:tcPr>
          <w:p>
            <w:pPr>
              <w:spacing w:after="0" w:line="181" w:lineRule="exact"/>
              <w:rPr>
                <w:sz w:val="20"/>
                <w:szCs w:val="20"/>
                <w:color w:val="auto"/>
              </w:rPr>
            </w:pPr>
            <w:r>
              <w:rPr>
                <w:rFonts w:ascii="Arial" w:cs="Arial" w:eastAsia="Arial" w:hAnsi="Arial"/>
                <w:sz w:val="16"/>
                <w:szCs w:val="16"/>
                <w:color w:val="auto"/>
              </w:rPr>
              <w:t>Direct loans</w:t>
            </w: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1,855,712</w:t>
            </w:r>
          </w:p>
        </w:tc>
        <w:tc>
          <w:tcPr>
            <w:tcW w:w="14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2,472,179</w:t>
            </w:r>
          </w:p>
        </w:tc>
      </w:tr>
      <w:tr>
        <w:trPr>
          <w:trHeight w:val="181"/>
        </w:trPr>
        <w:tc>
          <w:tcPr>
            <w:tcW w:w="7740" w:type="dxa"/>
            <w:vAlign w:val="bottom"/>
            <w:gridSpan w:val="2"/>
          </w:tcPr>
          <w:p>
            <w:pPr>
              <w:spacing w:after="0" w:line="181" w:lineRule="exact"/>
              <w:rPr>
                <w:sz w:val="20"/>
                <w:szCs w:val="20"/>
                <w:color w:val="auto"/>
              </w:rPr>
            </w:pPr>
            <w:r>
              <w:rPr>
                <w:rFonts w:ascii="Arial" w:cs="Arial" w:eastAsia="Arial" w:hAnsi="Arial"/>
                <w:sz w:val="16"/>
                <w:szCs w:val="16"/>
                <w:color w:val="auto"/>
              </w:rPr>
              <w:t>Investments (i)</w:t>
            </w: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874,937</w:t>
            </w:r>
          </w:p>
        </w:tc>
        <w:tc>
          <w:tcPr>
            <w:tcW w:w="14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611,271</w:t>
            </w:r>
          </w:p>
        </w:tc>
      </w:tr>
      <w:tr>
        <w:trPr>
          <w:trHeight w:val="181"/>
        </w:trPr>
        <w:tc>
          <w:tcPr>
            <w:tcW w:w="7740" w:type="dxa"/>
            <w:vAlign w:val="bottom"/>
            <w:gridSpan w:val="2"/>
          </w:tcPr>
          <w:p>
            <w:pPr>
              <w:spacing w:after="0" w:line="181" w:lineRule="exact"/>
              <w:rPr>
                <w:sz w:val="20"/>
                <w:szCs w:val="20"/>
                <w:color w:val="auto"/>
              </w:rPr>
            </w:pPr>
            <w:r>
              <w:rPr>
                <w:rFonts w:ascii="Arial" w:cs="Arial" w:eastAsia="Arial" w:hAnsi="Arial"/>
                <w:sz w:val="16"/>
                <w:szCs w:val="16"/>
                <w:color w:val="auto"/>
              </w:rPr>
              <w:t>Deposits (ii)</w:t>
            </w: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(659,231)</w:t>
            </w:r>
          </w:p>
        </w:tc>
        <w:tc>
          <w:tcPr>
            <w:tcW w:w="14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(1,839,980)</w:t>
            </w:r>
          </w:p>
        </w:tc>
      </w:tr>
      <w:tr>
        <w:trPr>
          <w:trHeight w:val="214"/>
        </w:trPr>
        <w:tc>
          <w:tcPr>
            <w:tcW w:w="7740" w:type="dxa"/>
            <w:vAlign w:val="bottom"/>
            <w:gridSpan w:val="2"/>
          </w:tcPr>
          <w:p>
            <w:pPr>
              <w:spacing w:after="0"/>
              <w:rPr>
                <w:sz w:val="20"/>
                <w:szCs w:val="20"/>
                <w:color w:val="auto"/>
              </w:rPr>
            </w:pPr>
            <w:r>
              <w:rPr>
                <w:rFonts w:ascii="Arial" w:cs="Arial" w:eastAsia="Arial" w:hAnsi="Arial"/>
                <w:sz w:val="16"/>
                <w:szCs w:val="16"/>
                <w:color w:val="auto"/>
              </w:rPr>
              <w:t>Derivatives at fair value</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354,610</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280,624</w:t>
            </w:r>
          </w:p>
        </w:tc>
      </w:tr>
    </w:tbl>
    <w:p>
      <w:pPr>
        <w:spacing w:after="0" w:line="148" w:lineRule="exact"/>
        <w:rPr>
          <w:sz w:val="20"/>
          <w:szCs w:val="20"/>
          <w:color w:val="auto"/>
        </w:rPr>
      </w:pPr>
    </w:p>
    <w:p>
      <w:pPr>
        <w:ind w:left="1163" w:right="20" w:hanging="295"/>
        <w:spacing w:after="0" w:line="255" w:lineRule="auto"/>
        <w:tabs>
          <w:tab w:leader="none" w:pos="116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As of December 31, 2025, the balance includes mainly S/206.3 million of corporate bonds of Alicorp S.A.A., S/151.7 million of corporate bonds issued by Pluz Energía Perú S.A.A., S/150.8 million of corporate bonds issued by Corporacion Primax and S/95.3 million of corporate bonds of Cementos Pacasmayo S.A.</w:t>
      </w:r>
    </w:p>
    <w:p>
      <w:pPr>
        <w:spacing w:after="0" w:line="137" w:lineRule="exact"/>
        <w:rPr>
          <w:rFonts w:ascii="Arial" w:cs="Arial" w:eastAsia="Arial" w:hAnsi="Arial"/>
          <w:sz w:val="16"/>
          <w:szCs w:val="16"/>
          <w:color w:val="auto"/>
        </w:rPr>
      </w:pPr>
    </w:p>
    <w:p>
      <w:pPr>
        <w:ind w:left="1163"/>
        <w:spacing w:after="0" w:line="274" w:lineRule="auto"/>
        <w:rPr>
          <w:rFonts w:ascii="Arial" w:cs="Arial" w:eastAsia="Arial" w:hAnsi="Arial"/>
          <w:sz w:val="16"/>
          <w:szCs w:val="16"/>
          <w:color w:val="auto"/>
        </w:rPr>
      </w:pPr>
      <w:r>
        <w:rPr>
          <w:rFonts w:ascii="Arial" w:cs="Arial" w:eastAsia="Arial" w:hAnsi="Arial"/>
          <w:sz w:val="16"/>
          <w:szCs w:val="16"/>
          <w:color w:val="auto"/>
        </w:rPr>
        <w:t>As of December 31, 2024 the balance includes mainly S/155.7 million of corporate bonds of Alicorp S.A.A., S/93.9 million of corporate bonds issued by Cementos Pacasmayo S.A., and S/104.2 million of shares of Inversiones Centenario.</w:t>
      </w:r>
    </w:p>
    <w:p>
      <w:pPr>
        <w:spacing w:after="0" w:line="122" w:lineRule="exact"/>
        <w:rPr>
          <w:rFonts w:ascii="Arial" w:cs="Arial" w:eastAsia="Arial" w:hAnsi="Arial"/>
          <w:sz w:val="16"/>
          <w:szCs w:val="16"/>
          <w:color w:val="auto"/>
        </w:rPr>
      </w:pPr>
    </w:p>
    <w:p>
      <w:pPr>
        <w:ind w:left="1163" w:hanging="295"/>
        <w:spacing w:after="0"/>
        <w:tabs>
          <w:tab w:leader="none" w:pos="116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Corresponds to deposits from legal entities and individuals.</w:t>
      </w:r>
    </w:p>
    <w:p>
      <w:pPr>
        <w:spacing w:after="0" w:line="178" w:lineRule="exact"/>
        <w:rPr>
          <w:sz w:val="20"/>
          <w:szCs w:val="20"/>
          <w:color w:val="auto"/>
        </w:rPr>
      </w:pPr>
    </w:p>
    <w:tbl>
      <w:tblPr>
        <w:tblLayout w:type="fixed"/>
        <w:tblInd w:w="1163" w:type="dxa"/>
        <w:tblCellMar>
          <w:top w:w="0" w:type="dxa"/>
          <w:left w:w="0" w:type="dxa"/>
          <w:bottom w:w="0" w:type="dxa"/>
          <w:right w:w="0" w:type="dxa"/>
        </w:tblCellMar>
      </w:tblPr>
      <w:tr>
        <w:trPr>
          <w:trHeight w:val="198"/>
        </w:trPr>
        <w:tc>
          <w:tcPr>
            <w:tcW w:w="7280" w:type="dxa"/>
            <w:vAlign w:val="bottom"/>
            <w:gridSpan w:val="2"/>
          </w:tcPr>
          <w:p>
            <w:pPr>
              <w:ind w:left="6620"/>
              <w:spacing w:after="0"/>
              <w:rPr>
                <w:sz w:val="20"/>
                <w:szCs w:val="20"/>
                <w:color w:val="auto"/>
              </w:rPr>
            </w:pPr>
            <w:r>
              <w:rPr>
                <w:rFonts w:ascii="Arial" w:cs="Arial" w:eastAsia="Arial" w:hAnsi="Arial"/>
                <w:sz w:val="16"/>
                <w:szCs w:val="16"/>
                <w:b w:val="1"/>
                <w:bCs w:val="1"/>
                <w:color w:val="auto"/>
              </w:rPr>
              <w:t>2025</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66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Statement of income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7280" w:type="dxa"/>
            <w:vAlign w:val="bottom"/>
            <w:gridSpan w:val="2"/>
          </w:tcPr>
          <w:p>
            <w:pPr>
              <w:spacing w:after="0" w:line="181" w:lineRule="exact"/>
              <w:rPr>
                <w:sz w:val="20"/>
                <w:szCs w:val="20"/>
                <w:color w:val="auto"/>
              </w:rPr>
            </w:pPr>
            <w:r>
              <w:rPr>
                <w:rFonts w:ascii="Arial" w:cs="Arial" w:eastAsia="Arial" w:hAnsi="Arial"/>
                <w:sz w:val="16"/>
                <w:szCs w:val="16"/>
                <w:color w:val="auto"/>
              </w:rPr>
              <w:t>Interest income related to loans</w:t>
            </w:r>
          </w:p>
        </w:tc>
        <w:tc>
          <w:tcPr>
            <w:tcW w:w="9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7,715</w:t>
            </w:r>
          </w:p>
        </w:tc>
        <w:tc>
          <w:tcPr>
            <w:tcW w:w="13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55,485</w:t>
            </w:r>
          </w:p>
        </w:tc>
      </w:tr>
      <w:tr>
        <w:trPr>
          <w:trHeight w:val="181"/>
        </w:trPr>
        <w:tc>
          <w:tcPr>
            <w:tcW w:w="7280" w:type="dxa"/>
            <w:vAlign w:val="bottom"/>
            <w:gridSpan w:val="2"/>
          </w:tcPr>
          <w:p>
            <w:pPr>
              <w:spacing w:after="0" w:line="181" w:lineRule="exact"/>
              <w:rPr>
                <w:sz w:val="20"/>
                <w:szCs w:val="20"/>
                <w:color w:val="auto"/>
              </w:rPr>
            </w:pPr>
            <w:r>
              <w:rPr>
                <w:rFonts w:ascii="Arial" w:cs="Arial" w:eastAsia="Arial" w:hAnsi="Arial"/>
                <w:sz w:val="16"/>
                <w:szCs w:val="16"/>
                <w:color w:val="auto"/>
              </w:rPr>
              <w:t>Interest expenses related to deposits</w:t>
            </w:r>
          </w:p>
        </w:tc>
        <w:tc>
          <w:tcPr>
            <w:tcW w:w="9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(5,122)</w:t>
            </w:r>
          </w:p>
        </w:tc>
        <w:tc>
          <w:tcPr>
            <w:tcW w:w="13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(37,308)</w:t>
            </w:r>
          </w:p>
        </w:tc>
      </w:tr>
      <w:tr>
        <w:trPr>
          <w:trHeight w:val="214"/>
        </w:trPr>
        <w:tc>
          <w:tcPr>
            <w:tcW w:w="728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19,644</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22,735</w:t>
            </w:r>
          </w:p>
        </w:tc>
      </w:tr>
      <w:tr>
        <w:trPr>
          <w:trHeight w:val="32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Contingent risks and commitments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7280" w:type="dxa"/>
            <w:vAlign w:val="bottom"/>
            <w:gridSpan w:val="2"/>
          </w:tcPr>
          <w:p>
            <w:pPr>
              <w:spacing w:after="0"/>
              <w:rPr>
                <w:sz w:val="20"/>
                <w:szCs w:val="20"/>
                <w:color w:val="auto"/>
              </w:rPr>
            </w:pPr>
            <w:r>
              <w:rPr>
                <w:rFonts w:ascii="Arial" w:cs="Arial" w:eastAsia="Arial" w:hAnsi="Arial"/>
                <w:sz w:val="16"/>
                <w:szCs w:val="16"/>
                <w:color w:val="auto"/>
              </w:rPr>
              <w:t>Indirect loans</w:t>
            </w:r>
          </w:p>
        </w:tc>
        <w:tc>
          <w:tcPr>
            <w:tcW w:w="700" w:type="dxa"/>
            <w:vAlign w:val="bottom"/>
          </w:tcPr>
          <w:p>
            <w:pPr>
              <w:jc w:val="right"/>
              <w:spacing w:after="0"/>
              <w:rPr>
                <w:sz w:val="20"/>
                <w:szCs w:val="20"/>
                <w:color w:val="auto"/>
              </w:rPr>
            </w:pPr>
            <w:r>
              <w:rPr>
                <w:rFonts w:ascii="Arial" w:cs="Arial" w:eastAsia="Arial" w:hAnsi="Arial"/>
                <w:sz w:val="16"/>
                <w:szCs w:val="16"/>
                <w:color w:val="auto"/>
              </w:rPr>
              <w:t>518,493</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746,992</w:t>
            </w:r>
          </w:p>
        </w:tc>
      </w:tr>
    </w:tbl>
    <w:p>
      <w:pPr>
        <w:spacing w:after="0" w:line="148" w:lineRule="exact"/>
        <w:rPr>
          <w:sz w:val="20"/>
          <w:szCs w:val="20"/>
          <w:color w:val="auto"/>
        </w:rPr>
      </w:pPr>
    </w:p>
    <w:p>
      <w:pPr>
        <w:ind w:left="863" w:right="60" w:hanging="284"/>
        <w:spacing w:after="0" w:line="245" w:lineRule="auto"/>
        <w:tabs>
          <w:tab w:leader="none" w:pos="86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As of December 31, 2025, direct loans to related companies are secured by collateral, had maturities between January 2026 and July 2032, accrue interest at an annual soles average interest rate of 10.08 percent and at an annual foreign currency average interest rate of 8.23 percent (As of December 31, 2024, maturities where between January 2025 and December 2030, and the annual soles average interest rate was 10.78 percent and the annual foreign currency average interest rate was 9.56). Also, as of December 31, 2025, the Group maintains S/87.4 million allowance for loan losses for related parties (As of December 31, 2024 maintains S/58.1 million).</w:t>
      </w:r>
    </w:p>
    <w:p>
      <w:pPr>
        <w:spacing w:after="0" w:line="303" w:lineRule="exact"/>
        <w:rPr>
          <w:rFonts w:ascii="Arial" w:cs="Arial" w:eastAsia="Arial" w:hAnsi="Arial"/>
          <w:sz w:val="16"/>
          <w:szCs w:val="16"/>
          <w:color w:val="auto"/>
        </w:rPr>
      </w:pPr>
    </w:p>
    <w:p>
      <w:pPr>
        <w:ind w:left="5483" w:hanging="88"/>
        <w:spacing w:after="0"/>
        <w:tabs>
          <w:tab w:leader="none" w:pos="5483" w:val="left"/>
        </w:tabs>
        <w:numPr>
          <w:ilvl w:val="1"/>
          <w:numId w:val="154"/>
        </w:numPr>
        <w:rPr>
          <w:rFonts w:ascii="Arial" w:cs="Arial" w:eastAsia="Arial" w:hAnsi="Arial"/>
          <w:sz w:val="16"/>
          <w:szCs w:val="16"/>
          <w:color w:val="auto"/>
        </w:rPr>
      </w:pPr>
      <w:r>
        <w:rPr>
          <w:rFonts w:ascii="Arial" w:cs="Arial" w:eastAsia="Arial" w:hAnsi="Arial"/>
          <w:sz w:val="16"/>
          <w:szCs w:val="16"/>
          <w:color w:val="auto"/>
        </w:rPr>
        <w:t>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43"/>
          </w:cols>
          <w:pgMar w:left="317" w:top="304" w:right="439" w:bottom="1440" w:gutter="0" w:footer="0" w:header="0"/>
        </w:sectPr>
      </w:pPr>
    </w:p>
    <w:bookmarkStart w:id="132" w:name="page133"/>
    <w:bookmarkEnd w:id="132"/>
    <w:p>
      <w:pPr>
        <w:ind w:left="860" w:right="120" w:hanging="284"/>
        <w:spacing w:after="0" w:line="245" w:lineRule="auto"/>
        <w:tabs>
          <w:tab w:leader="none" w:pos="8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At December 31, 2025 and 2024,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At December 31, 2025 and 2024, direct loans to employees, directors, key management and family members amounted to S/1,463.2 million and S/1,389.6 million, respectively; they are repaid monthly.</w:t>
      </w:r>
    </w:p>
    <w:p>
      <w:pPr>
        <w:spacing w:after="0" w:line="146" w:lineRule="exact"/>
        <w:rPr>
          <w:rFonts w:ascii="Arial" w:cs="Arial" w:eastAsia="Arial" w:hAnsi="Arial"/>
          <w:sz w:val="16"/>
          <w:szCs w:val="16"/>
          <w:color w:val="auto"/>
        </w:rPr>
      </w:pPr>
    </w:p>
    <w:p>
      <w:pPr>
        <w:ind w:left="860" w:right="180" w:hanging="284"/>
        <w:spacing w:after="0" w:line="274" w:lineRule="auto"/>
        <w:tabs>
          <w:tab w:leader="none" w:pos="8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Group’s key executives’ compensation (including the related income taxes assumed by the Group) as of December 31, 2025 and 2024 was as follows:</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198"/>
        </w:trPr>
        <w:tc>
          <w:tcPr>
            <w:tcW w:w="7820" w:type="dxa"/>
            <w:vAlign w:val="bottom"/>
            <w:gridSpan w:val="2"/>
          </w:tcPr>
          <w:p>
            <w:pPr>
              <w:ind w:left="7120"/>
              <w:spacing w:after="0"/>
              <w:rPr>
                <w:sz w:val="20"/>
                <w:szCs w:val="20"/>
                <w:color w:val="auto"/>
              </w:rPr>
            </w:pPr>
            <w:r>
              <w:rPr>
                <w:rFonts w:ascii="Arial" w:cs="Arial" w:eastAsia="Arial" w:hAnsi="Arial"/>
                <w:sz w:val="16"/>
                <w:szCs w:val="16"/>
                <w:b w:val="1"/>
                <w:bCs w:val="1"/>
                <w:color w:val="auto"/>
              </w:rPr>
              <w:t>2025</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71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7820" w:type="dxa"/>
            <w:vAlign w:val="bottom"/>
            <w:gridSpan w:val="2"/>
          </w:tcPr>
          <w:p>
            <w:pPr>
              <w:spacing w:after="0"/>
              <w:rPr>
                <w:sz w:val="20"/>
                <w:szCs w:val="20"/>
                <w:color w:val="auto"/>
              </w:rPr>
            </w:pPr>
            <w:r>
              <w:rPr>
                <w:rFonts w:ascii="Arial" w:cs="Arial" w:eastAsia="Arial" w:hAnsi="Arial"/>
                <w:sz w:val="16"/>
                <w:szCs w:val="16"/>
                <w:color w:val="auto"/>
              </w:rPr>
              <w:t>Director’s compensation</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11,221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8,628</w:t>
            </w:r>
          </w:p>
        </w:tc>
        <w:tc>
          <w:tcPr>
            <w:tcW w:w="20" w:type="dxa"/>
            <w:vAlign w:val="bottom"/>
          </w:tcPr>
          <w:p>
            <w:pPr>
              <w:spacing w:after="0"/>
              <w:rPr>
                <w:sz w:val="24"/>
                <w:szCs w:val="24"/>
                <w:color w:val="auto"/>
              </w:rPr>
            </w:pPr>
          </w:p>
        </w:tc>
      </w:tr>
      <w:tr>
        <w:trPr>
          <w:trHeight w:val="181"/>
        </w:trPr>
        <w:tc>
          <w:tcPr>
            <w:tcW w:w="7820" w:type="dxa"/>
            <w:vAlign w:val="bottom"/>
            <w:gridSpan w:val="2"/>
          </w:tcPr>
          <w:p>
            <w:pPr>
              <w:spacing w:after="0" w:line="181" w:lineRule="exact"/>
              <w:rPr>
                <w:sz w:val="20"/>
                <w:szCs w:val="20"/>
                <w:color w:val="auto"/>
              </w:rPr>
            </w:pPr>
            <w:r>
              <w:rPr>
                <w:rFonts w:ascii="Arial" w:cs="Arial" w:eastAsia="Arial" w:hAnsi="Arial"/>
                <w:sz w:val="16"/>
                <w:szCs w:val="16"/>
                <w:color w:val="auto"/>
              </w:rPr>
              <w:t>Senior Management:</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782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Remuneration</w:t>
            </w:r>
          </w:p>
        </w:tc>
        <w:tc>
          <w:tcPr>
            <w:tcW w:w="9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66,485</w:t>
            </w:r>
          </w:p>
        </w:tc>
        <w:tc>
          <w:tcPr>
            <w:tcW w:w="14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62,258</w:t>
            </w:r>
          </w:p>
        </w:tc>
      </w:tr>
      <w:tr>
        <w:trPr>
          <w:trHeight w:val="198"/>
        </w:trPr>
        <w:tc>
          <w:tcPr>
            <w:tcW w:w="7820" w:type="dxa"/>
            <w:vAlign w:val="bottom"/>
            <w:gridSpan w:val="2"/>
          </w:tcPr>
          <w:p>
            <w:pPr>
              <w:spacing w:after="0"/>
              <w:rPr>
                <w:sz w:val="20"/>
                <w:szCs w:val="20"/>
                <w:color w:val="auto"/>
              </w:rPr>
            </w:pPr>
            <w:r>
              <w:rPr>
                <w:rFonts w:ascii="Arial" w:cs="Arial" w:eastAsia="Arial" w:hAnsi="Arial"/>
                <w:sz w:val="16"/>
                <w:szCs w:val="16"/>
                <w:color w:val="auto"/>
              </w:rPr>
              <w:t>Expense for long-term incentive programs (Stock awards):</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40,811</w:t>
            </w:r>
          </w:p>
        </w:tc>
        <w:tc>
          <w:tcPr>
            <w:tcW w:w="1480" w:type="dxa"/>
            <w:vAlign w:val="bottom"/>
            <w:gridSpan w:val="3"/>
          </w:tcPr>
          <w:p>
            <w:pPr>
              <w:jc w:val="right"/>
              <w:ind w:right="20"/>
              <w:spacing w:after="0"/>
              <w:rPr>
                <w:sz w:val="20"/>
                <w:szCs w:val="20"/>
                <w:color w:val="auto"/>
              </w:rPr>
            </w:pPr>
            <w:r>
              <w:rPr>
                <w:rFonts w:ascii="Arial" w:cs="Arial" w:eastAsia="Arial" w:hAnsi="Arial"/>
                <w:sz w:val="16"/>
                <w:szCs w:val="16"/>
                <w:color w:val="auto"/>
              </w:rPr>
              <w:t>36,839</w:t>
            </w:r>
          </w:p>
        </w:tc>
      </w:tr>
      <w:tr>
        <w:trPr>
          <w:trHeight w:val="177"/>
        </w:trPr>
        <w:tc>
          <w:tcPr>
            <w:tcW w:w="712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7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118,517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107,725</w:t>
            </w:r>
          </w:p>
        </w:tc>
        <w:tc>
          <w:tcPr>
            <w:tcW w:w="20" w:type="dxa"/>
            <w:vAlign w:val="bottom"/>
            <w:tcBorders>
              <w:top w:val="single" w:sz="8" w:color="auto"/>
              <w:bottom w:val="single" w:sz="8" w:color="auto"/>
            </w:tcBorders>
          </w:tcPr>
          <w:p>
            <w:pPr>
              <w:spacing w:after="0"/>
              <w:rPr>
                <w:sz w:val="15"/>
                <w:szCs w:val="15"/>
                <w:color w:val="auto"/>
              </w:rPr>
            </w:pPr>
          </w:p>
        </w:tc>
      </w:tr>
    </w:tbl>
    <w:p>
      <w:pPr>
        <w:spacing w:after="0" w:line="164" w:lineRule="exact"/>
        <w:rPr>
          <w:sz w:val="20"/>
          <w:szCs w:val="20"/>
          <w:color w:val="auto"/>
        </w:rPr>
      </w:pPr>
    </w:p>
    <w:p>
      <w:pPr>
        <w:jc w:val="both"/>
        <w:ind w:left="860" w:right="20"/>
        <w:spacing w:after="0" w:line="248" w:lineRule="auto"/>
        <w:rPr>
          <w:sz w:val="20"/>
          <w:szCs w:val="20"/>
          <w:color w:val="auto"/>
        </w:rPr>
      </w:pPr>
      <w:r>
        <w:rPr>
          <w:rFonts w:ascii="Arial" w:cs="Arial" w:eastAsia="Arial" w:hAnsi="Arial"/>
          <w:sz w:val="16"/>
          <w:szCs w:val="16"/>
          <w:color w:val="auto"/>
        </w:rPr>
        <w:t>Between February and March of each year, the Group grants its own shares to certain key executives under two long-term incentive programs: the “Value Generation Plan” and the “Retention Plan.” Under the Retention Plan, the shares granted vest over the next three years (33.3 percent of the total shares granted each year). Under the Value Generation Plan, the shares are delivered after three years, subject to the achievement of specific performance metrics.</w:t>
      </w:r>
    </w:p>
    <w:p>
      <w:pPr>
        <w:spacing w:after="0" w:line="144" w:lineRule="exact"/>
        <w:rPr>
          <w:sz w:val="20"/>
          <w:szCs w:val="20"/>
          <w:color w:val="auto"/>
        </w:rPr>
      </w:pPr>
    </w:p>
    <w:p>
      <w:pPr>
        <w:jc w:val="both"/>
        <w:ind w:left="860" w:right="20"/>
        <w:spacing w:after="0" w:line="274" w:lineRule="auto"/>
        <w:rPr>
          <w:sz w:val="20"/>
          <w:szCs w:val="20"/>
          <w:color w:val="auto"/>
        </w:rPr>
      </w:pPr>
      <w:r>
        <w:rPr>
          <w:rFonts w:ascii="Arial" w:cs="Arial" w:eastAsia="Arial" w:hAnsi="Arial"/>
          <w:sz w:val="16"/>
          <w:szCs w:val="16"/>
          <w:color w:val="auto"/>
        </w:rPr>
        <w:t>The shares are presented on a gross basis and include the corresponding income taxes in accordance with the tax legislation applicable in each country.</w:t>
      </w:r>
    </w:p>
    <w:p>
      <w:pPr>
        <w:spacing w:after="0" w:line="123" w:lineRule="exact"/>
        <w:rPr>
          <w:sz w:val="20"/>
          <w:szCs w:val="20"/>
          <w:color w:val="auto"/>
        </w:rPr>
      </w:pPr>
    </w:p>
    <w:p>
      <w:pPr>
        <w:ind w:left="860" w:right="120" w:hanging="284"/>
        <w:spacing w:after="0" w:line="274" w:lineRule="auto"/>
        <w:tabs>
          <w:tab w:leader="none" w:pos="8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 of December 31, 2025 and 2024 the Group holds interests in various funds managed by certain of the Group’s subsidiaries. The details of the funds are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00" w:type="dxa"/>
            <w:vAlign w:val="bottom"/>
            <w:gridSpan w:val="2"/>
          </w:tcPr>
          <w:p>
            <w:pPr>
              <w:ind w:left="7980"/>
              <w:spacing w:after="0"/>
              <w:rPr>
                <w:sz w:val="20"/>
                <w:szCs w:val="20"/>
                <w:color w:val="auto"/>
              </w:rPr>
            </w:pPr>
            <w:r>
              <w:rPr>
                <w:rFonts w:ascii="Arial" w:cs="Arial" w:eastAsia="Arial" w:hAnsi="Arial"/>
                <w:sz w:val="16"/>
                <w:szCs w:val="16"/>
                <w:b w:val="1"/>
                <w:bCs w:val="1"/>
                <w:color w:val="auto"/>
              </w:rPr>
              <w:t>2025</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4"/>
        </w:trPr>
        <w:tc>
          <w:tcPr>
            <w:tcW w:w="798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gridSpan w:val="2"/>
          </w:tcPr>
          <w:p>
            <w:pPr>
              <w:spacing w:after="0"/>
              <w:rPr>
                <w:sz w:val="18"/>
                <w:szCs w:val="18"/>
                <w:color w:val="auto"/>
              </w:rPr>
            </w:pPr>
          </w:p>
        </w:tc>
      </w:tr>
      <w:tr>
        <w:trPr>
          <w:trHeight w:val="305"/>
        </w:trPr>
        <w:tc>
          <w:tcPr>
            <w:tcW w:w="8600" w:type="dxa"/>
            <w:vAlign w:val="bottom"/>
            <w:gridSpan w:val="2"/>
          </w:tcPr>
          <w:p>
            <w:pPr>
              <w:ind w:left="860"/>
              <w:spacing w:after="0"/>
              <w:rPr>
                <w:sz w:val="20"/>
                <w:szCs w:val="20"/>
                <w:color w:val="auto"/>
              </w:rPr>
            </w:pPr>
            <w:r>
              <w:rPr>
                <w:rFonts w:ascii="Arial" w:cs="Arial" w:eastAsia="Arial" w:hAnsi="Arial"/>
                <w:sz w:val="16"/>
                <w:szCs w:val="16"/>
                <w:b w:val="1"/>
                <w:bCs w:val="1"/>
                <w:color w:val="auto"/>
              </w:rPr>
              <w:t>At fair value through profit or loss: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600" w:type="dxa"/>
            <w:vAlign w:val="bottom"/>
            <w:gridSpan w:val="2"/>
          </w:tcPr>
          <w:p>
            <w:pPr>
              <w:ind w:left="860"/>
              <w:spacing w:after="0" w:line="181" w:lineRule="exact"/>
              <w:rPr>
                <w:sz w:val="20"/>
                <w:szCs w:val="20"/>
                <w:color w:val="auto"/>
              </w:rPr>
            </w:pPr>
            <w:r>
              <w:rPr>
                <w:rFonts w:ascii="Arial" w:cs="Arial" w:eastAsia="Arial" w:hAnsi="Arial"/>
                <w:sz w:val="16"/>
                <w:szCs w:val="16"/>
                <w:color w:val="auto"/>
              </w:rPr>
              <w:t>Mutual funds, investment funds and hedge funds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600" w:type="dxa"/>
            <w:vAlign w:val="bottom"/>
            <w:gridSpan w:val="2"/>
          </w:tcPr>
          <w:p>
            <w:pPr>
              <w:ind w:left="1000"/>
              <w:spacing w:after="0" w:line="181" w:lineRule="exact"/>
              <w:rPr>
                <w:sz w:val="20"/>
                <w:szCs w:val="20"/>
                <w:color w:val="auto"/>
              </w:rPr>
            </w:pPr>
            <w:r>
              <w:rPr>
                <w:rFonts w:ascii="Arial" w:cs="Arial" w:eastAsia="Arial" w:hAnsi="Arial"/>
                <w:sz w:val="16"/>
                <w:szCs w:val="16"/>
                <w:color w:val="auto"/>
              </w:rPr>
              <w:t>U.S. Dollars</w:t>
            </w: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623,810</w:t>
            </w:r>
          </w:p>
        </w:tc>
        <w:tc>
          <w:tcPr>
            <w:tcW w:w="14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451,522</w:t>
            </w:r>
          </w:p>
        </w:tc>
        <w:tc>
          <w:tcPr>
            <w:tcW w:w="140" w:type="dxa"/>
            <w:vAlign w:val="bottom"/>
          </w:tcPr>
          <w:p>
            <w:pPr>
              <w:spacing w:after="0"/>
              <w:rPr>
                <w:sz w:val="15"/>
                <w:szCs w:val="15"/>
                <w:color w:val="auto"/>
              </w:rPr>
            </w:pPr>
          </w:p>
        </w:tc>
      </w:tr>
      <w:tr>
        <w:trPr>
          <w:trHeight w:val="181"/>
        </w:trPr>
        <w:tc>
          <w:tcPr>
            <w:tcW w:w="8600" w:type="dxa"/>
            <w:vAlign w:val="bottom"/>
            <w:gridSpan w:val="2"/>
          </w:tcPr>
          <w:p>
            <w:pPr>
              <w:ind w:left="1000"/>
              <w:spacing w:after="0" w:line="181" w:lineRule="exact"/>
              <w:rPr>
                <w:sz w:val="20"/>
                <w:szCs w:val="20"/>
                <w:color w:val="auto"/>
              </w:rPr>
            </w:pPr>
            <w:r>
              <w:rPr>
                <w:rFonts w:ascii="Arial" w:cs="Arial" w:eastAsia="Arial" w:hAnsi="Arial"/>
                <w:sz w:val="16"/>
                <w:szCs w:val="16"/>
                <w:color w:val="auto"/>
              </w:rPr>
              <w:t>Soles</w:t>
            </w: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597,816</w:t>
            </w:r>
          </w:p>
        </w:tc>
        <w:tc>
          <w:tcPr>
            <w:tcW w:w="14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397,614</w:t>
            </w:r>
          </w:p>
        </w:tc>
        <w:tc>
          <w:tcPr>
            <w:tcW w:w="140" w:type="dxa"/>
            <w:vAlign w:val="bottom"/>
          </w:tcPr>
          <w:p>
            <w:pPr>
              <w:spacing w:after="0"/>
              <w:rPr>
                <w:sz w:val="15"/>
                <w:szCs w:val="15"/>
                <w:color w:val="auto"/>
              </w:rPr>
            </w:pPr>
          </w:p>
        </w:tc>
      </w:tr>
      <w:tr>
        <w:trPr>
          <w:trHeight w:val="181"/>
        </w:trPr>
        <w:tc>
          <w:tcPr>
            <w:tcW w:w="8600" w:type="dxa"/>
            <w:vAlign w:val="bottom"/>
            <w:gridSpan w:val="2"/>
          </w:tcPr>
          <w:p>
            <w:pPr>
              <w:ind w:left="1000"/>
              <w:spacing w:after="0" w:line="181" w:lineRule="exact"/>
              <w:rPr>
                <w:sz w:val="20"/>
                <w:szCs w:val="20"/>
                <w:color w:val="auto"/>
              </w:rPr>
            </w:pPr>
            <w:r>
              <w:rPr>
                <w:rFonts w:ascii="Arial" w:cs="Arial" w:eastAsia="Arial" w:hAnsi="Arial"/>
                <w:sz w:val="16"/>
                <w:szCs w:val="16"/>
                <w:color w:val="auto"/>
              </w:rPr>
              <w:t>Bolivianos</w:t>
            </w: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288,850</w:t>
            </w:r>
          </w:p>
        </w:tc>
        <w:tc>
          <w:tcPr>
            <w:tcW w:w="14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280,188</w:t>
            </w:r>
          </w:p>
        </w:tc>
        <w:tc>
          <w:tcPr>
            <w:tcW w:w="140" w:type="dxa"/>
            <w:vAlign w:val="bottom"/>
          </w:tcPr>
          <w:p>
            <w:pPr>
              <w:spacing w:after="0"/>
              <w:rPr>
                <w:sz w:val="15"/>
                <w:szCs w:val="15"/>
                <w:color w:val="auto"/>
              </w:rPr>
            </w:pPr>
          </w:p>
        </w:tc>
      </w:tr>
      <w:tr>
        <w:trPr>
          <w:trHeight w:val="181"/>
        </w:trPr>
        <w:tc>
          <w:tcPr>
            <w:tcW w:w="8600" w:type="dxa"/>
            <w:vAlign w:val="bottom"/>
            <w:gridSpan w:val="2"/>
          </w:tcPr>
          <w:p>
            <w:pPr>
              <w:ind w:left="1000"/>
              <w:spacing w:after="0" w:line="181" w:lineRule="exact"/>
              <w:rPr>
                <w:sz w:val="20"/>
                <w:szCs w:val="20"/>
                <w:color w:val="auto"/>
              </w:rPr>
            </w:pPr>
            <w:r>
              <w:rPr>
                <w:rFonts w:ascii="Arial" w:cs="Arial" w:eastAsia="Arial" w:hAnsi="Arial"/>
                <w:sz w:val="16"/>
                <w:szCs w:val="16"/>
                <w:color w:val="auto"/>
              </w:rPr>
              <w:t>Colombian pesos</w:t>
            </w: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170,306</w:t>
            </w:r>
          </w:p>
        </w:tc>
        <w:tc>
          <w:tcPr>
            <w:tcW w:w="148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133,821</w:t>
            </w:r>
          </w:p>
        </w:tc>
        <w:tc>
          <w:tcPr>
            <w:tcW w:w="140" w:type="dxa"/>
            <w:vAlign w:val="bottom"/>
          </w:tcPr>
          <w:p>
            <w:pPr>
              <w:spacing w:after="0"/>
              <w:rPr>
                <w:sz w:val="15"/>
                <w:szCs w:val="15"/>
                <w:color w:val="auto"/>
              </w:rPr>
            </w:pPr>
          </w:p>
        </w:tc>
      </w:tr>
      <w:tr>
        <w:trPr>
          <w:trHeight w:val="198"/>
        </w:trPr>
        <w:tc>
          <w:tcPr>
            <w:tcW w:w="8600" w:type="dxa"/>
            <w:vAlign w:val="bottom"/>
            <w:gridSpan w:val="2"/>
          </w:tcPr>
          <w:p>
            <w:pPr>
              <w:ind w:left="1000"/>
              <w:spacing w:after="0"/>
              <w:rPr>
                <w:sz w:val="20"/>
                <w:szCs w:val="20"/>
                <w:color w:val="auto"/>
              </w:rPr>
            </w:pPr>
            <w:r>
              <w:rPr>
                <w:rFonts w:ascii="Arial" w:cs="Arial" w:eastAsia="Arial" w:hAnsi="Arial"/>
                <w:sz w:val="16"/>
                <w:szCs w:val="16"/>
                <w:color w:val="auto"/>
              </w:rPr>
              <w:t>Chilean pesos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17,643</w:t>
            </w:r>
          </w:p>
        </w:tc>
        <w:tc>
          <w:tcPr>
            <w:tcW w:w="1620" w:type="dxa"/>
            <w:vAlign w:val="bottom"/>
            <w:gridSpan w:val="4"/>
          </w:tcPr>
          <w:p>
            <w:pPr>
              <w:jc w:val="right"/>
              <w:ind w:right="160"/>
              <w:spacing w:after="0"/>
              <w:rPr>
                <w:sz w:val="20"/>
                <w:szCs w:val="20"/>
                <w:color w:val="auto"/>
              </w:rPr>
            </w:pPr>
            <w:r>
              <w:rPr>
                <w:rFonts w:ascii="Arial" w:cs="Arial" w:eastAsia="Arial" w:hAnsi="Arial"/>
                <w:sz w:val="16"/>
                <w:szCs w:val="16"/>
                <w:color w:val="auto"/>
              </w:rPr>
              <w:t>15,409</w:t>
            </w:r>
          </w:p>
        </w:tc>
      </w:tr>
      <w:tr>
        <w:trPr>
          <w:trHeight w:val="177"/>
        </w:trPr>
        <w:tc>
          <w:tcPr>
            <w:tcW w:w="7980" w:type="dxa"/>
            <w:vAlign w:val="bottom"/>
          </w:tcPr>
          <w:p>
            <w:pPr>
              <w:ind w:left="860"/>
              <w:spacing w:after="0" w:line="173" w:lineRule="exact"/>
              <w:rPr>
                <w:sz w:val="20"/>
                <w:szCs w:val="20"/>
                <w:color w:val="auto"/>
              </w:rPr>
            </w:pPr>
            <w:r>
              <w:rPr>
                <w:rFonts w:ascii="Arial" w:cs="Arial" w:eastAsia="Arial" w:hAnsi="Arial"/>
                <w:sz w:val="16"/>
                <w:szCs w:val="16"/>
                <w:b w:val="1"/>
                <w:bCs w:val="1"/>
                <w:color w:val="auto"/>
              </w:rPr>
              <w:t>Total</w:t>
            </w:r>
          </w:p>
        </w:tc>
        <w:tc>
          <w:tcPr>
            <w:tcW w:w="6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1,698,425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1,278,554</w:t>
            </w:r>
          </w:p>
        </w:tc>
        <w:tc>
          <w:tcPr>
            <w:tcW w:w="140" w:type="dxa"/>
            <w:vAlign w:val="bottom"/>
          </w:tcPr>
          <w:p>
            <w:pPr>
              <w:spacing w:after="0"/>
              <w:rPr>
                <w:sz w:val="15"/>
                <w:szCs w:val="15"/>
                <w:color w:val="auto"/>
              </w:rPr>
            </w:pPr>
          </w:p>
        </w:tc>
      </w:tr>
      <w:tr>
        <w:trPr>
          <w:trHeight w:val="185"/>
        </w:trPr>
        <w:tc>
          <w:tcPr>
            <w:tcW w:w="7980" w:type="dxa"/>
            <w:vAlign w:val="bottom"/>
          </w:tcPr>
          <w:p>
            <w:pPr>
              <w:ind w:left="860"/>
              <w:spacing w:after="0" w:line="181" w:lineRule="exact"/>
              <w:rPr>
                <w:sz w:val="20"/>
                <w:szCs w:val="20"/>
                <w:color w:val="auto"/>
              </w:rPr>
            </w:pPr>
            <w:r>
              <w:rPr>
                <w:rFonts w:ascii="Arial" w:cs="Arial" w:eastAsia="Arial" w:hAnsi="Arial"/>
                <w:sz w:val="16"/>
                <w:szCs w:val="16"/>
                <w:color w:val="auto"/>
              </w:rPr>
              <w:t>Restricted mutual funds, Note 6(a)(iv)</w:t>
            </w:r>
          </w:p>
        </w:tc>
        <w:tc>
          <w:tcPr>
            <w:tcW w:w="620" w:type="dxa"/>
            <w:vAlign w:val="bottom"/>
          </w:tcPr>
          <w:p>
            <w:pPr>
              <w:spacing w:after="0"/>
              <w:rPr>
                <w:sz w:val="16"/>
                <w:szCs w:val="16"/>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336,159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307,225</w:t>
            </w:r>
          </w:p>
        </w:tc>
        <w:tc>
          <w:tcPr>
            <w:tcW w:w="140" w:type="dxa"/>
            <w:vAlign w:val="bottom"/>
          </w:tcPr>
          <w:p>
            <w:pPr>
              <w:spacing w:after="0"/>
              <w:rPr>
                <w:sz w:val="16"/>
                <w:szCs w:val="16"/>
                <w:color w:val="auto"/>
              </w:rPr>
            </w:pPr>
          </w:p>
        </w:tc>
      </w:tr>
      <w:tr>
        <w:trPr>
          <w:trHeight w:val="522"/>
        </w:trPr>
        <w:tc>
          <w:tcPr>
            <w:tcW w:w="7980" w:type="dxa"/>
            <w:vAlign w:val="bottom"/>
          </w:tcPr>
          <w:p>
            <w:pPr>
              <w:ind w:left="5400"/>
              <w:spacing w:after="0"/>
              <w:rPr>
                <w:sz w:val="20"/>
                <w:szCs w:val="20"/>
                <w:color w:val="auto"/>
              </w:rPr>
            </w:pPr>
            <w:r>
              <w:rPr>
                <w:rFonts w:ascii="Arial" w:cs="Arial" w:eastAsia="Arial" w:hAnsi="Arial"/>
                <w:sz w:val="16"/>
                <w:szCs w:val="16"/>
                <w:color w:val="auto"/>
              </w:rPr>
              <w:t>- 128 -</w:t>
            </w:r>
          </w:p>
        </w:tc>
        <w:tc>
          <w:tcPr>
            <w:tcW w:w="6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
        </w:trPr>
        <w:tc>
          <w:tcPr>
            <w:tcW w:w="7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4" w:right="319" w:bottom="1440" w:gutter="0" w:footer="0" w:header="0"/>
        </w:sectPr>
      </w:pPr>
    </w:p>
    <w:bookmarkStart w:id="133" w:name="page134"/>
    <w:bookmarkEnd w:id="133"/>
    <w:p>
      <w:pPr>
        <w:spacing w:after="0"/>
        <w:tabs>
          <w:tab w:leader="none" w:pos="560" w:val="left"/>
        </w:tabs>
        <w:rPr>
          <w:sz w:val="20"/>
          <w:szCs w:val="20"/>
          <w:color w:val="auto"/>
        </w:rPr>
      </w:pPr>
      <w:r>
        <w:rPr>
          <w:rFonts w:ascii="Arial" w:cs="Arial" w:eastAsia="Arial" w:hAnsi="Arial"/>
          <w:sz w:val="16"/>
          <w:szCs w:val="16"/>
          <w:b w:val="1"/>
          <w:bCs w:val="1"/>
          <w:color w:val="auto"/>
        </w:rPr>
        <w:t>29</w:t>
      </w:r>
      <w:r>
        <w:rPr>
          <w:sz w:val="20"/>
          <w:szCs w:val="20"/>
          <w:color w:val="auto"/>
        </w:rPr>
        <w:tab/>
      </w:r>
      <w:r>
        <w:rPr>
          <w:rFonts w:ascii="Arial" w:cs="Arial" w:eastAsia="Arial" w:hAnsi="Arial"/>
          <w:sz w:val="16"/>
          <w:szCs w:val="16"/>
          <w:b w:val="1"/>
          <w:bCs w:val="1"/>
          <w:color w:val="auto"/>
        </w:rPr>
        <w:t>FINANCIAL INSTRUMENTS CLASSIFICATION</w:t>
      </w:r>
    </w:p>
    <w:p>
      <w:pPr>
        <w:spacing w:after="0" w:line="178" w:lineRule="exact"/>
        <w:rPr>
          <w:sz w:val="20"/>
          <w:szCs w:val="20"/>
          <w:color w:val="auto"/>
        </w:rPr>
      </w:pPr>
    </w:p>
    <w:p>
      <w:pPr>
        <w:ind w:left="580"/>
        <w:spacing w:after="0" w:line="274" w:lineRule="auto"/>
        <w:rPr>
          <w:sz w:val="20"/>
          <w:szCs w:val="20"/>
          <w:color w:val="auto"/>
        </w:rPr>
      </w:pPr>
      <w:r>
        <w:rPr>
          <w:rFonts w:ascii="Arial" w:cs="Arial" w:eastAsia="Arial" w:hAnsi="Arial"/>
          <w:sz w:val="16"/>
          <w:szCs w:val="16"/>
          <w:color w:val="auto"/>
        </w:rPr>
        <w:t>The table below shows the carrying amounts of the financial assets and liabilities captions in the consolidated statement of financial position, by categories as defined under IFRS 9 as of December 31,2025 and 2024:</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21"/>
        </w:trPr>
        <w:tc>
          <w:tcPr>
            <w:tcW w:w="1820" w:type="dxa"/>
            <w:vAlign w:val="bottom"/>
          </w:tcPr>
          <w:p>
            <w:pPr>
              <w:spacing w:after="0"/>
              <w:rPr>
                <w:sz w:val="10"/>
                <w:szCs w:val="10"/>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2025</w:t>
            </w: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820" w:type="dxa"/>
            <w:vAlign w:val="bottom"/>
          </w:tcPr>
          <w:p>
            <w:pPr>
              <w:spacing w:after="0"/>
              <w:rPr>
                <w:sz w:val="7"/>
                <w:szCs w:val="7"/>
                <w:color w:val="auto"/>
              </w:rPr>
            </w:pPr>
          </w:p>
        </w:tc>
        <w:tc>
          <w:tcPr>
            <w:tcW w:w="1460" w:type="dxa"/>
            <w:vAlign w:val="bottom"/>
            <w:gridSpan w:val="4"/>
          </w:tcPr>
          <w:p>
            <w:pPr>
              <w:spacing w:after="0" w:line="88" w:lineRule="exact"/>
              <w:rPr>
                <w:sz w:val="20"/>
                <w:szCs w:val="20"/>
                <w:color w:val="auto"/>
              </w:rPr>
            </w:pPr>
            <w:r>
              <w:rPr>
                <w:rFonts w:ascii="Arial" w:cs="Arial" w:eastAsia="Arial" w:hAnsi="Arial"/>
                <w:sz w:val="10"/>
                <w:szCs w:val="10"/>
                <w:b w:val="1"/>
                <w:bCs w:val="1"/>
                <w:color w:val="auto"/>
              </w:rPr>
              <w:t>Financial assets and</w:t>
            </w:r>
          </w:p>
        </w:tc>
        <w:tc>
          <w:tcPr>
            <w:tcW w:w="1340" w:type="dxa"/>
            <w:vAlign w:val="bottom"/>
            <w:gridSpan w:val="5"/>
          </w:tcPr>
          <w:p>
            <w:pPr>
              <w:spacing w:after="0" w:line="88" w:lineRule="exact"/>
              <w:rPr>
                <w:sz w:val="20"/>
                <w:szCs w:val="20"/>
                <w:color w:val="auto"/>
              </w:rPr>
            </w:pPr>
            <w:r>
              <w:rPr>
                <w:rFonts w:ascii="Arial" w:cs="Arial" w:eastAsia="Arial" w:hAnsi="Arial"/>
                <w:sz w:val="10"/>
                <w:szCs w:val="10"/>
                <w:b w:val="1"/>
                <w:bCs w:val="1"/>
                <w:color w:val="auto"/>
              </w:rPr>
              <w:t>Financial assets at fair</w:t>
            </w: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5"/>
          </w:tcPr>
          <w:p>
            <w:pPr>
              <w:spacing w:after="0" w:line="88" w:lineRule="exact"/>
              <w:rPr>
                <w:sz w:val="20"/>
                <w:szCs w:val="20"/>
                <w:color w:val="auto"/>
              </w:rPr>
            </w:pPr>
            <w:r>
              <w:rPr>
                <w:rFonts w:ascii="Arial" w:cs="Arial" w:eastAsia="Arial" w:hAnsi="Arial"/>
                <w:sz w:val="10"/>
                <w:szCs w:val="10"/>
                <w:b w:val="1"/>
                <w:bCs w:val="1"/>
                <w:color w:val="auto"/>
              </w:rPr>
              <w:t>Financial assets and</w:t>
            </w:r>
          </w:p>
        </w:tc>
        <w:tc>
          <w:tcPr>
            <w:tcW w:w="1460" w:type="dxa"/>
            <w:vAlign w:val="bottom"/>
            <w:gridSpan w:val="6"/>
          </w:tcPr>
          <w:p>
            <w:pPr>
              <w:ind w:left="60"/>
              <w:spacing w:after="0" w:line="88" w:lineRule="exact"/>
              <w:rPr>
                <w:sz w:val="20"/>
                <w:szCs w:val="20"/>
                <w:color w:val="auto"/>
              </w:rPr>
            </w:pPr>
            <w:r>
              <w:rPr>
                <w:rFonts w:ascii="Arial" w:cs="Arial" w:eastAsia="Arial" w:hAnsi="Arial"/>
                <w:sz w:val="10"/>
                <w:szCs w:val="10"/>
                <w:b w:val="1"/>
                <w:bCs w:val="1"/>
                <w:color w:val="auto"/>
              </w:rPr>
              <w:t>Financial assets at fair</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rPr>
                <w:sz w:val="9"/>
                <w:szCs w:val="9"/>
                <w:color w:val="auto"/>
              </w:rPr>
            </w:pPr>
          </w:p>
        </w:tc>
        <w:tc>
          <w:tcPr>
            <w:tcW w:w="7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w w:val="98"/>
              </w:rPr>
              <w:t>liabilities at fair</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5"/>
          </w:tcPr>
          <w:p>
            <w:pPr>
              <w:spacing w:after="0" w:line="109" w:lineRule="exact"/>
              <w:rPr>
                <w:sz w:val="20"/>
                <w:szCs w:val="20"/>
                <w:color w:val="auto"/>
              </w:rPr>
            </w:pPr>
            <w:r>
              <w:rPr>
                <w:rFonts w:ascii="Arial" w:cs="Arial" w:eastAsia="Arial" w:hAnsi="Arial"/>
                <w:sz w:val="10"/>
                <w:szCs w:val="10"/>
                <w:b w:val="1"/>
                <w:bCs w:val="1"/>
                <w:color w:val="auto"/>
              </w:rPr>
              <w:t>value through other</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5"/>
          </w:tcPr>
          <w:p>
            <w:pPr>
              <w:spacing w:after="0" w:line="109" w:lineRule="exact"/>
              <w:rPr>
                <w:sz w:val="20"/>
                <w:szCs w:val="20"/>
                <w:color w:val="auto"/>
              </w:rPr>
            </w:pPr>
            <w:r>
              <w:rPr>
                <w:rFonts w:ascii="Arial" w:cs="Arial" w:eastAsia="Arial" w:hAnsi="Arial"/>
                <w:sz w:val="10"/>
                <w:szCs w:val="10"/>
                <w:b w:val="1"/>
                <w:bCs w:val="1"/>
                <w:color w:val="auto"/>
              </w:rPr>
              <w:t>liabilities at fair</w:t>
            </w:r>
          </w:p>
        </w:tc>
        <w:tc>
          <w:tcPr>
            <w:tcW w:w="1460" w:type="dxa"/>
            <w:vAlign w:val="bottom"/>
            <w:gridSpan w:val="6"/>
          </w:tcPr>
          <w:p>
            <w:pPr>
              <w:ind w:left="60"/>
              <w:spacing w:after="0" w:line="109" w:lineRule="exact"/>
              <w:rPr>
                <w:sz w:val="20"/>
                <w:szCs w:val="20"/>
                <w:color w:val="auto"/>
              </w:rPr>
            </w:pPr>
            <w:r>
              <w:rPr>
                <w:rFonts w:ascii="Arial" w:cs="Arial" w:eastAsia="Arial" w:hAnsi="Arial"/>
                <w:sz w:val="10"/>
                <w:szCs w:val="10"/>
                <w:b w:val="1"/>
                <w:bCs w:val="1"/>
                <w:color w:val="auto"/>
              </w:rPr>
              <w:t>value through other</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1460" w:type="dxa"/>
            <w:vAlign w:val="bottom"/>
            <w:gridSpan w:val="4"/>
          </w:tcPr>
          <w:p>
            <w:pPr>
              <w:spacing w:after="0"/>
              <w:rPr>
                <w:sz w:val="20"/>
                <w:szCs w:val="20"/>
                <w:color w:val="auto"/>
              </w:rPr>
            </w:pPr>
            <w:r>
              <w:rPr>
                <w:rFonts w:ascii="Arial" w:cs="Arial" w:eastAsia="Arial" w:hAnsi="Arial"/>
                <w:sz w:val="10"/>
                <w:szCs w:val="10"/>
                <w:b w:val="1"/>
                <w:bCs w:val="1"/>
                <w:color w:val="auto"/>
              </w:rPr>
              <w:t>value through profit or loss</w:t>
            </w:r>
          </w:p>
        </w:tc>
        <w:tc>
          <w:tcPr>
            <w:tcW w:w="1340" w:type="dxa"/>
            <w:vAlign w:val="bottom"/>
            <w:gridSpan w:val="5"/>
          </w:tcPr>
          <w:p>
            <w:pPr>
              <w:spacing w:after="0"/>
              <w:rPr>
                <w:sz w:val="20"/>
                <w:szCs w:val="20"/>
                <w:color w:val="auto"/>
              </w:rPr>
            </w:pPr>
            <w:r>
              <w:rPr>
                <w:rFonts w:ascii="Arial" w:cs="Arial" w:eastAsia="Arial" w:hAnsi="Arial"/>
                <w:sz w:val="10"/>
                <w:szCs w:val="10"/>
                <w:b w:val="1"/>
                <w:bCs w:val="1"/>
                <w:color w:val="auto"/>
              </w:rPr>
              <w:t>comprehensive income</w:t>
            </w:r>
          </w:p>
        </w:tc>
        <w:tc>
          <w:tcPr>
            <w:tcW w:w="7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Financial</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5"/>
          </w:tcPr>
          <w:p>
            <w:pPr>
              <w:spacing w:after="0"/>
              <w:rPr>
                <w:sz w:val="20"/>
                <w:szCs w:val="20"/>
                <w:color w:val="auto"/>
              </w:rPr>
            </w:pPr>
            <w:r>
              <w:rPr>
                <w:rFonts w:ascii="Arial" w:cs="Arial" w:eastAsia="Arial" w:hAnsi="Arial"/>
                <w:sz w:val="10"/>
                <w:szCs w:val="10"/>
                <w:b w:val="1"/>
                <w:bCs w:val="1"/>
                <w:color w:val="auto"/>
              </w:rPr>
              <w:t>value through profit or loss</w:t>
            </w:r>
          </w:p>
        </w:tc>
        <w:tc>
          <w:tcPr>
            <w:tcW w:w="1460" w:type="dxa"/>
            <w:vAlign w:val="bottom"/>
            <w:gridSpan w:val="6"/>
          </w:tcPr>
          <w:p>
            <w:pPr>
              <w:ind w:left="60"/>
              <w:spacing w:after="0"/>
              <w:rPr>
                <w:sz w:val="20"/>
                <w:szCs w:val="20"/>
                <w:color w:val="auto"/>
              </w:rPr>
            </w:pPr>
            <w:r>
              <w:rPr>
                <w:rFonts w:ascii="Arial" w:cs="Arial" w:eastAsia="Arial" w:hAnsi="Arial"/>
                <w:sz w:val="10"/>
                <w:szCs w:val="10"/>
                <w:b w:val="1"/>
                <w:bCs w:val="1"/>
                <w:color w:val="auto"/>
              </w:rPr>
              <w:t>comprehensive income</w:t>
            </w:r>
          </w:p>
        </w:tc>
        <w:tc>
          <w:tcPr>
            <w:tcW w:w="6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Financial</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assets and</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assets and</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liabilities</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liabilities</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rPr>
                <w:sz w:val="9"/>
                <w:szCs w:val="9"/>
                <w:color w:val="auto"/>
              </w:rPr>
            </w:pPr>
          </w:p>
        </w:tc>
        <w:tc>
          <w:tcPr>
            <w:tcW w:w="7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Investments</w:t>
            </w:r>
          </w:p>
        </w:tc>
        <w:tc>
          <w:tcPr>
            <w:tcW w:w="72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Investments</w:t>
            </w:r>
          </w:p>
        </w:tc>
        <w:tc>
          <w:tcPr>
            <w:tcW w:w="6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Investments</w:t>
            </w:r>
          </w:p>
        </w:tc>
        <w:tc>
          <w:tcPr>
            <w:tcW w:w="70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Investments</w:t>
            </w: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measured at</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spacing w:after="0" w:line="109" w:lineRule="exact"/>
              <w:rPr>
                <w:sz w:val="20"/>
                <w:szCs w:val="20"/>
                <w:color w:val="auto"/>
              </w:rPr>
            </w:pPr>
            <w:r>
              <w:rPr>
                <w:rFonts w:ascii="Arial" w:cs="Arial" w:eastAsia="Arial" w:hAnsi="Arial"/>
                <w:sz w:val="10"/>
                <w:szCs w:val="10"/>
                <w:b w:val="1"/>
                <w:bCs w:val="1"/>
                <w:color w:val="auto"/>
              </w:rPr>
              <w:t>Investments</w:t>
            </w:r>
          </w:p>
        </w:tc>
        <w:tc>
          <w:tcPr>
            <w:tcW w:w="6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Investments</w:t>
            </w:r>
          </w:p>
        </w:tc>
        <w:tc>
          <w:tcPr>
            <w:tcW w:w="70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Investments</w:t>
            </w: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Investments</w:t>
            </w:r>
          </w:p>
        </w:tc>
        <w:tc>
          <w:tcPr>
            <w:tcW w:w="6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measured at</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rPr>
                <w:sz w:val="9"/>
                <w:szCs w:val="9"/>
                <w:color w:val="auto"/>
              </w:rPr>
            </w:pPr>
          </w:p>
        </w:tc>
        <w:tc>
          <w:tcPr>
            <w:tcW w:w="7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and</w:t>
            </w:r>
          </w:p>
        </w:tc>
        <w:tc>
          <w:tcPr>
            <w:tcW w:w="72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designated</w:t>
            </w:r>
          </w:p>
        </w:tc>
        <w:tc>
          <w:tcPr>
            <w:tcW w:w="6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and</w:t>
            </w:r>
          </w:p>
        </w:tc>
        <w:tc>
          <w:tcPr>
            <w:tcW w:w="70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designated</w:t>
            </w: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amortized</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spacing w:after="0" w:line="109" w:lineRule="exact"/>
              <w:rPr>
                <w:sz w:val="20"/>
                <w:szCs w:val="20"/>
                <w:color w:val="auto"/>
              </w:rPr>
            </w:pPr>
            <w:r>
              <w:rPr>
                <w:rFonts w:ascii="Arial" w:cs="Arial" w:eastAsia="Arial" w:hAnsi="Arial"/>
                <w:sz w:val="10"/>
                <w:szCs w:val="10"/>
                <w:b w:val="1"/>
                <w:bCs w:val="1"/>
                <w:color w:val="auto"/>
              </w:rPr>
              <w:t>and</w:t>
            </w:r>
          </w:p>
        </w:tc>
        <w:tc>
          <w:tcPr>
            <w:tcW w:w="6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designated</w:t>
            </w:r>
          </w:p>
        </w:tc>
        <w:tc>
          <w:tcPr>
            <w:tcW w:w="70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and</w:t>
            </w: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designated</w:t>
            </w:r>
          </w:p>
        </w:tc>
        <w:tc>
          <w:tcPr>
            <w:tcW w:w="6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amortized</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derivates</w:t>
            </w:r>
          </w:p>
        </w:tc>
        <w:tc>
          <w:tcPr>
            <w:tcW w:w="720" w:type="dxa"/>
            <w:vAlign w:val="bottom"/>
            <w:gridSpan w:val="2"/>
          </w:tcPr>
          <w:p>
            <w:pPr>
              <w:spacing w:after="0"/>
              <w:rPr>
                <w:sz w:val="20"/>
                <w:szCs w:val="20"/>
                <w:color w:val="auto"/>
              </w:rPr>
            </w:pPr>
            <w:r>
              <w:rPr>
                <w:rFonts w:ascii="Arial" w:cs="Arial" w:eastAsia="Arial" w:hAnsi="Arial"/>
                <w:sz w:val="10"/>
                <w:szCs w:val="10"/>
                <w:b w:val="1"/>
                <w:bCs w:val="1"/>
                <w:color w:val="auto"/>
              </w:rPr>
              <w:t>at inception</w:t>
            </w: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derivates</w:t>
            </w: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at inception</w:t>
            </w:r>
          </w:p>
        </w:tc>
        <w:tc>
          <w:tcPr>
            <w:tcW w:w="760" w:type="dxa"/>
            <w:vAlign w:val="bottom"/>
            <w:gridSpan w:val="3"/>
          </w:tcPr>
          <w:p>
            <w:pPr>
              <w:ind w:left="60"/>
              <w:spacing w:after="0"/>
              <w:rPr>
                <w:sz w:val="20"/>
                <w:szCs w:val="20"/>
                <w:color w:val="auto"/>
              </w:rPr>
            </w:pPr>
            <w:r>
              <w:rPr>
                <w:rFonts w:ascii="Arial" w:cs="Arial" w:eastAsia="Arial" w:hAnsi="Arial"/>
                <w:sz w:val="10"/>
                <w:szCs w:val="10"/>
                <w:b w:val="1"/>
                <w:bCs w:val="1"/>
                <w:color w:val="auto"/>
              </w:rPr>
              <w:t>cost</w:t>
            </w: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Total</w:t>
            </w:r>
          </w:p>
        </w:tc>
        <w:tc>
          <w:tcPr>
            <w:tcW w:w="700" w:type="dxa"/>
            <w:vAlign w:val="bottom"/>
            <w:gridSpan w:val="3"/>
          </w:tcPr>
          <w:p>
            <w:pPr>
              <w:spacing w:after="0"/>
              <w:rPr>
                <w:sz w:val="20"/>
                <w:szCs w:val="20"/>
                <w:color w:val="auto"/>
              </w:rPr>
            </w:pPr>
            <w:r>
              <w:rPr>
                <w:rFonts w:ascii="Arial" w:cs="Arial" w:eastAsia="Arial" w:hAnsi="Arial"/>
                <w:sz w:val="10"/>
                <w:szCs w:val="10"/>
                <w:b w:val="1"/>
                <w:bCs w:val="1"/>
                <w:color w:val="auto"/>
              </w:rPr>
              <w:t>derivates</w:t>
            </w: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at inception</w:t>
            </w: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derivates</w:t>
            </w:r>
          </w:p>
        </w:tc>
        <w:tc>
          <w:tcPr>
            <w:tcW w:w="760" w:type="dxa"/>
            <w:vAlign w:val="bottom"/>
            <w:gridSpan w:val="3"/>
          </w:tcPr>
          <w:p>
            <w:pPr>
              <w:ind w:left="60"/>
              <w:spacing w:after="0"/>
              <w:rPr>
                <w:sz w:val="20"/>
                <w:szCs w:val="20"/>
                <w:color w:val="auto"/>
              </w:rPr>
            </w:pPr>
            <w:r>
              <w:rPr>
                <w:rFonts w:ascii="Arial" w:cs="Arial" w:eastAsia="Arial" w:hAnsi="Arial"/>
                <w:sz w:val="10"/>
                <w:szCs w:val="10"/>
                <w:b w:val="1"/>
                <w:bCs w:val="1"/>
                <w:color w:val="auto"/>
              </w:rPr>
              <w:t>at inception</w:t>
            </w: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cost</w:t>
            </w:r>
          </w:p>
        </w:tc>
        <w:tc>
          <w:tcPr>
            <w:tcW w:w="680" w:type="dxa"/>
            <w:vAlign w:val="bottom"/>
            <w:gridSpan w:val="3"/>
          </w:tcPr>
          <w:p>
            <w:pPr>
              <w:ind w:left="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820" w:type="dxa"/>
            <w:vAlign w:val="bottom"/>
            <w:vMerge w:val="restart"/>
          </w:tcPr>
          <w:p>
            <w:pPr>
              <w:spacing w:after="0"/>
              <w:rPr>
                <w:sz w:val="20"/>
                <w:szCs w:val="20"/>
                <w:color w:val="auto"/>
              </w:rPr>
            </w:pPr>
            <w:r>
              <w:rPr>
                <w:rFonts w:ascii="Arial" w:cs="Arial" w:eastAsia="Arial" w:hAnsi="Arial"/>
                <w:sz w:val="10"/>
                <w:szCs w:val="10"/>
                <w:b w:val="1"/>
                <w:bCs w:val="1"/>
                <w:color w:val="auto"/>
              </w:rPr>
              <w:t>Assets</w:t>
            </w: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85"/>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8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20" w:type="dxa"/>
            <w:vAlign w:val="bottom"/>
          </w:tcPr>
          <w:p>
            <w:pPr>
              <w:spacing w:after="0"/>
              <w:rPr>
                <w:sz w:val="20"/>
                <w:szCs w:val="20"/>
                <w:color w:val="auto"/>
              </w:rPr>
            </w:pPr>
            <w:r>
              <w:rPr>
                <w:rFonts w:ascii="Arial" w:cs="Arial" w:eastAsia="Arial" w:hAnsi="Arial"/>
                <w:sz w:val="10"/>
                <w:szCs w:val="10"/>
                <w:color w:val="auto"/>
              </w:rPr>
              <w:t>Cash and due from banks</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49,044,457</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49,044,457</w:t>
            </w:r>
          </w:p>
        </w:tc>
        <w:tc>
          <w:tcPr>
            <w:tcW w:w="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47,655,196</w:t>
            </w:r>
          </w:p>
        </w:tc>
        <w:tc>
          <w:tcPr>
            <w:tcW w:w="680" w:type="dxa"/>
            <w:vAlign w:val="bottom"/>
            <w:gridSpan w:val="3"/>
          </w:tcPr>
          <w:p>
            <w:pPr>
              <w:jc w:val="right"/>
              <w:ind w:right="20"/>
              <w:spacing w:after="0"/>
              <w:rPr>
                <w:sz w:val="20"/>
                <w:szCs w:val="20"/>
                <w:color w:val="auto"/>
              </w:rPr>
            </w:pPr>
            <w:r>
              <w:rPr>
                <w:rFonts w:ascii="Arial" w:cs="Arial" w:eastAsia="Arial" w:hAnsi="Arial"/>
                <w:sz w:val="10"/>
                <w:szCs w:val="10"/>
                <w:color w:val="auto"/>
              </w:rPr>
              <w:t>47,655,196</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Cash collateral, reverse repurchase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agreements and securities borrowings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2,177,200</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2,177,200</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1,033,177</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1,033,177</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At fair value through profit or loss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4,957,236</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4,957,236</w:t>
            </w:r>
          </w:p>
        </w:tc>
        <w:tc>
          <w:tcPr>
            <w:tcW w:w="70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4,715,343</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4,715,343</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Investments at fair value through other</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comprehensive income, Note 6(b)</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38,943,728</w:t>
            </w:r>
          </w:p>
        </w:tc>
        <w:tc>
          <w:tcPr>
            <w:tcW w:w="700" w:type="dxa"/>
            <w:vAlign w:val="bottom"/>
            <w:gridSpan w:val="3"/>
          </w:tcPr>
          <w:p>
            <w:pPr>
              <w:jc w:val="right"/>
              <w:ind w:right="40"/>
              <w:spacing w:after="0" w:line="109" w:lineRule="exact"/>
              <w:rPr>
                <w:sz w:val="20"/>
                <w:szCs w:val="20"/>
                <w:color w:val="auto"/>
              </w:rPr>
            </w:pPr>
            <w:r>
              <w:rPr>
                <w:rFonts w:ascii="Arial" w:cs="Arial" w:eastAsia="Arial" w:hAnsi="Arial"/>
                <w:sz w:val="10"/>
                <w:szCs w:val="10"/>
                <w:color w:val="auto"/>
              </w:rPr>
              <w:t>90,321</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39,034,049</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40"/>
              <w:spacing w:after="0" w:line="109" w:lineRule="exact"/>
              <w:rPr>
                <w:sz w:val="20"/>
                <w:szCs w:val="20"/>
                <w:color w:val="auto"/>
              </w:rPr>
            </w:pPr>
            <w:r>
              <w:rPr>
                <w:rFonts w:ascii="Arial" w:cs="Arial" w:eastAsia="Arial" w:hAnsi="Arial"/>
                <w:sz w:val="10"/>
                <w:szCs w:val="10"/>
                <w:color w:val="auto"/>
              </w:rPr>
              <w:t>39,995,374</w:t>
            </w: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147,264</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40,142,638</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Amortized cost investments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8,813,657</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8,813,657</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8,967,877</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8,967,877</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Loans, net</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142,315,004</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w w:val="93"/>
              </w:rPr>
              <w:t>142,315,004</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137,737,296</w:t>
            </w:r>
          </w:p>
        </w:tc>
        <w:tc>
          <w:tcPr>
            <w:tcW w:w="40" w:type="dxa"/>
            <w:vAlign w:val="bottom"/>
          </w:tcPr>
          <w:p>
            <w:pPr>
              <w:spacing w:after="0"/>
              <w:rPr>
                <w:sz w:val="9"/>
                <w:szCs w:val="9"/>
                <w:color w:val="auto"/>
              </w:rPr>
            </w:pP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137,737,296</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Financial assets designated at fair value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through profit or loss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992,429</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992,429</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932,734</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932,734</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Due from customers on banker’s</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acceptances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345,906</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345,906</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528,184</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528,184</w:t>
            </w:r>
          </w:p>
        </w:tc>
        <w:tc>
          <w:tcPr>
            <w:tcW w:w="0" w:type="dxa"/>
            <w:vAlign w:val="bottom"/>
          </w:tcPr>
          <w:p>
            <w:pPr>
              <w:spacing w:after="0"/>
              <w:rPr>
                <w:sz w:val="1"/>
                <w:szCs w:val="1"/>
                <w:color w:val="auto"/>
              </w:rPr>
            </w:pPr>
          </w:p>
        </w:tc>
      </w:tr>
      <w:tr>
        <w:trPr>
          <w:trHeight w:val="119"/>
        </w:trPr>
        <w:tc>
          <w:tcPr>
            <w:tcW w:w="1820" w:type="dxa"/>
            <w:vAlign w:val="bottom"/>
          </w:tcPr>
          <w:p>
            <w:pPr>
              <w:spacing w:after="0"/>
              <w:rPr>
                <w:sz w:val="20"/>
                <w:szCs w:val="20"/>
                <w:color w:val="auto"/>
              </w:rPr>
            </w:pPr>
            <w:r>
              <w:rPr>
                <w:rFonts w:ascii="Arial" w:cs="Arial" w:eastAsia="Arial" w:hAnsi="Arial"/>
                <w:sz w:val="10"/>
                <w:szCs w:val="10"/>
                <w:color w:val="auto"/>
              </w:rPr>
              <w:t>Other assets, Note 12(a)</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1,231,188</w:t>
            </w: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677</w:t>
            </w:r>
          </w:p>
        </w:tc>
        <w:tc>
          <w:tcPr>
            <w:tcW w:w="60" w:type="dxa"/>
            <w:vAlign w:val="bottom"/>
          </w:tcPr>
          <w:p>
            <w:pPr>
              <w:spacing w:after="0"/>
              <w:rPr>
                <w:sz w:val="10"/>
                <w:szCs w:val="1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0"/>
                <w:szCs w:val="10"/>
                <w:color w:val="auto"/>
              </w:rPr>
              <w:t>5,102,543</w:t>
            </w: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6,334,408</w:t>
            </w:r>
          </w:p>
        </w:tc>
        <w:tc>
          <w:tcPr>
            <w:tcW w:w="700" w:type="dxa"/>
            <w:vAlign w:val="bottom"/>
            <w:gridSpan w:val="3"/>
          </w:tcPr>
          <w:p>
            <w:pPr>
              <w:jc w:val="right"/>
              <w:ind w:right="100"/>
              <w:spacing w:after="0"/>
              <w:rPr>
                <w:sz w:val="20"/>
                <w:szCs w:val="20"/>
                <w:color w:val="auto"/>
              </w:rPr>
            </w:pPr>
            <w:r>
              <w:rPr>
                <w:rFonts w:ascii="Arial" w:cs="Arial" w:eastAsia="Arial" w:hAnsi="Arial"/>
                <w:sz w:val="10"/>
                <w:szCs w:val="10"/>
                <w:color w:val="auto"/>
              </w:rPr>
              <w:t>904,791</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3,269,019</w:t>
            </w:r>
          </w:p>
        </w:tc>
        <w:tc>
          <w:tcPr>
            <w:tcW w:w="680" w:type="dxa"/>
            <w:vAlign w:val="bottom"/>
            <w:gridSpan w:val="3"/>
          </w:tcPr>
          <w:p>
            <w:pPr>
              <w:jc w:val="right"/>
              <w:ind w:right="20"/>
              <w:spacing w:after="0"/>
              <w:rPr>
                <w:sz w:val="20"/>
                <w:szCs w:val="20"/>
                <w:color w:val="auto"/>
              </w:rPr>
            </w:pPr>
            <w:r>
              <w:rPr>
                <w:rFonts w:ascii="Arial" w:cs="Arial" w:eastAsia="Arial" w:hAnsi="Arial"/>
                <w:sz w:val="10"/>
                <w:szCs w:val="10"/>
                <w:color w:val="auto"/>
              </w:rPr>
              <w:t>4,173,810</w:t>
            </w: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6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6,188,424</w:t>
            </w:r>
          </w:p>
        </w:tc>
        <w:tc>
          <w:tcPr>
            <w:tcW w:w="120" w:type="dxa"/>
            <w:vAlign w:val="bottom"/>
          </w:tcPr>
          <w:p>
            <w:pPr>
              <w:spacing w:after="0"/>
              <w:rPr>
                <w:sz w:val="9"/>
                <w:szCs w:val="9"/>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992,429</w:t>
            </w:r>
          </w:p>
        </w:tc>
        <w:tc>
          <w:tcPr>
            <w:tcW w:w="120" w:type="dxa"/>
            <w:vAlign w:val="bottom"/>
          </w:tcPr>
          <w:p>
            <w:pPr>
              <w:spacing w:after="0"/>
              <w:rPr>
                <w:sz w:val="9"/>
                <w:szCs w:val="9"/>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38,944,405</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90,321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207,798,767</w:t>
            </w:r>
          </w:p>
        </w:tc>
        <w:tc>
          <w:tcPr>
            <w:tcW w:w="100" w:type="dxa"/>
            <w:vAlign w:val="bottom"/>
          </w:tcPr>
          <w:p>
            <w:pPr>
              <w:spacing w:after="0"/>
              <w:rPr>
                <w:sz w:val="9"/>
                <w:szCs w:val="9"/>
                <w:color w:val="auto"/>
              </w:rPr>
            </w:pPr>
          </w:p>
        </w:tc>
        <w:tc>
          <w:tcPr>
            <w:tcW w:w="5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w w:val="93"/>
              </w:rPr>
              <w:t>254,014,346</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5,620,134</w:t>
            </w:r>
          </w:p>
        </w:tc>
        <w:tc>
          <w:tcPr>
            <w:tcW w:w="100" w:type="dxa"/>
            <w:vAlign w:val="bottom"/>
          </w:tcPr>
          <w:p>
            <w:pPr>
              <w:spacing w:after="0"/>
              <w:rPr>
                <w:sz w:val="9"/>
                <w:szCs w:val="9"/>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932,734</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39,995,374</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147,264</w:t>
            </w:r>
          </w:p>
        </w:tc>
        <w:tc>
          <w:tcPr>
            <w:tcW w:w="100" w:type="dxa"/>
            <w:vAlign w:val="bottom"/>
          </w:tcPr>
          <w:p>
            <w:pPr>
              <w:spacing w:after="0"/>
              <w:rPr>
                <w:sz w:val="9"/>
                <w:szCs w:val="9"/>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199,190,749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gridSpan w:val="2"/>
          </w:tcPr>
          <w:p>
            <w:pPr>
              <w:jc w:val="right"/>
              <w:ind w:right="20"/>
              <w:spacing w:after="0" w:line="101" w:lineRule="exact"/>
              <w:rPr>
                <w:sz w:val="20"/>
                <w:szCs w:val="20"/>
                <w:color w:val="auto"/>
              </w:rPr>
            </w:pPr>
            <w:r>
              <w:rPr>
                <w:rFonts w:ascii="Arial" w:cs="Arial" w:eastAsia="Arial" w:hAnsi="Arial"/>
                <w:sz w:val="10"/>
                <w:szCs w:val="10"/>
                <w:color w:val="auto"/>
              </w:rPr>
              <w:t>245,886,255</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20"/>
                <w:szCs w:val="20"/>
                <w:color w:val="auto"/>
              </w:rPr>
            </w:pPr>
            <w:r>
              <w:rPr>
                <w:rFonts w:ascii="Arial" w:cs="Arial" w:eastAsia="Arial" w:hAnsi="Arial"/>
                <w:sz w:val="10"/>
                <w:szCs w:val="10"/>
                <w:b w:val="1"/>
                <w:bCs w:val="1"/>
                <w:color w:val="auto"/>
              </w:rPr>
              <w:t>Liabilities</w:t>
            </w: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tcPr>
          <w:p>
            <w:pPr>
              <w:spacing w:after="0"/>
              <w:rPr>
                <w:sz w:val="20"/>
                <w:szCs w:val="20"/>
                <w:color w:val="auto"/>
              </w:rPr>
            </w:pPr>
            <w:r>
              <w:rPr>
                <w:rFonts w:ascii="Arial" w:cs="Arial" w:eastAsia="Arial" w:hAnsi="Arial"/>
                <w:sz w:val="10"/>
                <w:szCs w:val="10"/>
                <w:color w:val="auto"/>
              </w:rPr>
              <w:t>Deposits and obligations</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170,401,633</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w w:val="93"/>
              </w:rPr>
              <w:t>170,401,633</w:t>
            </w:r>
          </w:p>
        </w:tc>
        <w:tc>
          <w:tcPr>
            <w:tcW w:w="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161,842,066</w:t>
            </w:r>
          </w:p>
        </w:tc>
        <w:tc>
          <w:tcPr>
            <w:tcW w:w="40" w:type="dxa"/>
            <w:vAlign w:val="bottom"/>
          </w:tcPr>
          <w:p>
            <w:pPr>
              <w:spacing w:after="0"/>
              <w:rPr>
                <w:sz w:val="16"/>
                <w:szCs w:val="16"/>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0"/>
                <w:szCs w:val="10"/>
                <w:color w:val="auto"/>
              </w:rPr>
              <w:t>161,842,066</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Payables from repurchase agreements</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and securities lending</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8,243,787</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8,243,787</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9,060,710</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9,060,710</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Due to banks and correspondents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10,675,238</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10,675,238</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10,754,385</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10,754,385</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Due from customers on banker’s</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acceptances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345,906</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345,906</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528,184</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528,184</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Lease liabilities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612,259</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612,259</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404,817</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404,817</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Financial liabilities at fair value through</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profit or loss</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1,055,893</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1,055,893</w:t>
            </w:r>
          </w:p>
        </w:tc>
        <w:tc>
          <w:tcPr>
            <w:tcW w:w="70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151,485</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151,485</w:t>
            </w: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Arial" w:cs="Arial" w:eastAsia="Arial" w:hAnsi="Arial"/>
                <w:sz w:val="10"/>
                <w:szCs w:val="10"/>
                <w:color w:val="auto"/>
              </w:rPr>
              <w:t>Bonds and notes issued</w:t>
            </w: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14,025,535</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14,025,535</w:t>
            </w:r>
          </w:p>
        </w:tc>
        <w:tc>
          <w:tcPr>
            <w:tcW w:w="20" w:type="dxa"/>
            <w:vAlign w:val="bottom"/>
          </w:tcPr>
          <w:p>
            <w:pPr>
              <w:spacing w:after="0"/>
              <w:rPr>
                <w:sz w:val="9"/>
                <w:szCs w:val="9"/>
                <w:color w:val="auto"/>
              </w:rPr>
            </w:pP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17,268,443</w:t>
            </w:r>
          </w:p>
        </w:tc>
        <w:tc>
          <w:tcPr>
            <w:tcW w:w="68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17,268,443</w:t>
            </w:r>
          </w:p>
        </w:tc>
        <w:tc>
          <w:tcPr>
            <w:tcW w:w="0" w:type="dxa"/>
            <w:vAlign w:val="bottom"/>
          </w:tcPr>
          <w:p>
            <w:pPr>
              <w:spacing w:after="0"/>
              <w:rPr>
                <w:sz w:val="1"/>
                <w:szCs w:val="1"/>
                <w:color w:val="auto"/>
              </w:rPr>
            </w:pPr>
          </w:p>
        </w:tc>
      </w:tr>
      <w:tr>
        <w:trPr>
          <w:trHeight w:val="119"/>
        </w:trPr>
        <w:tc>
          <w:tcPr>
            <w:tcW w:w="1820" w:type="dxa"/>
            <w:vAlign w:val="bottom"/>
          </w:tcPr>
          <w:p>
            <w:pPr>
              <w:spacing w:after="0"/>
              <w:rPr>
                <w:sz w:val="20"/>
                <w:szCs w:val="20"/>
                <w:color w:val="auto"/>
              </w:rPr>
            </w:pPr>
            <w:r>
              <w:rPr>
                <w:rFonts w:ascii="Arial" w:cs="Arial" w:eastAsia="Arial" w:hAnsi="Arial"/>
                <w:sz w:val="10"/>
                <w:szCs w:val="10"/>
                <w:color w:val="auto"/>
              </w:rPr>
              <w:t>Other liabilities, Note 12(a)</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1,047,907</w:t>
            </w: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0"/>
                <w:szCs w:val="10"/>
                <w:color w:val="auto"/>
              </w:rPr>
              <w:t>5,700,097</w:t>
            </w: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6,748,004</w:t>
            </w:r>
          </w:p>
        </w:tc>
        <w:tc>
          <w:tcPr>
            <w:tcW w:w="700" w:type="dxa"/>
            <w:vAlign w:val="bottom"/>
            <w:gridSpan w:val="3"/>
          </w:tcPr>
          <w:p>
            <w:pPr>
              <w:jc w:val="right"/>
              <w:ind w:right="100"/>
              <w:spacing w:after="0"/>
              <w:rPr>
                <w:sz w:val="20"/>
                <w:szCs w:val="20"/>
                <w:color w:val="auto"/>
              </w:rPr>
            </w:pPr>
            <w:r>
              <w:rPr>
                <w:rFonts w:ascii="Arial" w:cs="Arial" w:eastAsia="Arial" w:hAnsi="Arial"/>
                <w:sz w:val="10"/>
                <w:szCs w:val="10"/>
                <w:color w:val="auto"/>
              </w:rPr>
              <w:t>819,473</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0"/>
                <w:szCs w:val="10"/>
                <w:color w:val="auto"/>
              </w:rPr>
              <w:t>5,220,127</w:t>
            </w:r>
          </w:p>
        </w:tc>
        <w:tc>
          <w:tcPr>
            <w:tcW w:w="680" w:type="dxa"/>
            <w:vAlign w:val="bottom"/>
            <w:gridSpan w:val="3"/>
          </w:tcPr>
          <w:p>
            <w:pPr>
              <w:jc w:val="right"/>
              <w:ind w:right="20"/>
              <w:spacing w:after="0"/>
              <w:rPr>
                <w:sz w:val="20"/>
                <w:szCs w:val="20"/>
                <w:color w:val="auto"/>
              </w:rPr>
            </w:pPr>
            <w:r>
              <w:rPr>
                <w:rFonts w:ascii="Arial" w:cs="Arial" w:eastAsia="Arial" w:hAnsi="Arial"/>
                <w:sz w:val="10"/>
                <w:szCs w:val="10"/>
                <w:color w:val="auto"/>
              </w:rPr>
              <w:t>6,039,600</w:t>
            </w: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2,103,800</w:t>
            </w:r>
          </w:p>
        </w:tc>
        <w:tc>
          <w:tcPr>
            <w:tcW w:w="12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210,004,455</w:t>
            </w:r>
          </w:p>
        </w:tc>
        <w:tc>
          <w:tcPr>
            <w:tcW w:w="10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93"/>
              </w:rPr>
              <w:t>212,108,255</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970,958</w:t>
            </w:r>
          </w:p>
        </w:tc>
        <w:tc>
          <w:tcPr>
            <w:tcW w:w="10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205,078,732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bottom w:val="single" w:sz="8" w:color="auto"/>
            </w:tcBorders>
            <w:gridSpan w:val="2"/>
          </w:tcPr>
          <w:p>
            <w:pPr>
              <w:jc w:val="right"/>
              <w:ind w:right="20"/>
              <w:spacing w:after="0" w:line="101" w:lineRule="exact"/>
              <w:rPr>
                <w:sz w:val="20"/>
                <w:szCs w:val="20"/>
                <w:color w:val="auto"/>
              </w:rPr>
            </w:pPr>
            <w:r>
              <w:rPr>
                <w:rFonts w:ascii="Arial" w:cs="Arial" w:eastAsia="Arial" w:hAnsi="Arial"/>
                <w:sz w:val="10"/>
                <w:szCs w:val="10"/>
                <w:color w:val="auto"/>
              </w:rPr>
              <w:t>206,049,690</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760"/>
          </w:cols>
          <w:pgMar w:left="320" w:top="292" w:right="819" w:bottom="1440" w:gutter="0" w:footer="0" w:header="0"/>
        </w:sectPr>
      </w:pPr>
    </w:p>
    <w:bookmarkStart w:id="134" w:name="page135"/>
    <w:bookmarkEnd w:id="134"/>
    <w:p>
      <w:pPr>
        <w:ind w:left="583" w:hanging="583"/>
        <w:spacing w:after="0"/>
        <w:tabs>
          <w:tab w:leader="none" w:pos="583"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AND NON-FINANCIAL RISK MANAGEMENT</w:t>
      </w:r>
    </w:p>
    <w:p>
      <w:pPr>
        <w:spacing w:after="0" w:line="177" w:lineRule="exact"/>
        <w:rPr>
          <w:rFonts w:ascii="Arial" w:cs="Arial" w:eastAsia="Arial" w:hAnsi="Arial"/>
          <w:sz w:val="16"/>
          <w:szCs w:val="16"/>
          <w:b w:val="1"/>
          <w:bCs w:val="1"/>
          <w:color w:val="auto"/>
        </w:rPr>
      </w:pPr>
    </w:p>
    <w:p>
      <w:pPr>
        <w:ind w:left="583" w:right="8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The Group’s activities involve principally the use of financial instruments, including derivatives. It also accepts deposits from customers at both fixed and floating rates, for different periods, and invests these funds in high-quality assets. Additionally, it places these deposits at fixed and variable rates with legal entities and individuals, considering the finance costs and expected profitability.</w:t>
      </w:r>
    </w:p>
    <w:p>
      <w:pPr>
        <w:spacing w:after="0" w:line="137" w:lineRule="exact"/>
        <w:rPr>
          <w:rFonts w:ascii="Arial" w:cs="Arial" w:eastAsia="Arial" w:hAnsi="Arial"/>
          <w:sz w:val="16"/>
          <w:szCs w:val="16"/>
          <w:b w:val="1"/>
          <w:bCs w:val="1"/>
          <w:color w:val="auto"/>
        </w:rPr>
      </w:pPr>
    </w:p>
    <w:p>
      <w:pPr>
        <w:ind w:left="583" w:right="520"/>
        <w:spacing w:after="0" w:line="274" w:lineRule="auto"/>
        <w:rPr>
          <w:rFonts w:ascii="Arial" w:cs="Arial" w:eastAsia="Arial" w:hAnsi="Arial"/>
          <w:sz w:val="16"/>
          <w:szCs w:val="16"/>
          <w:b w:val="1"/>
          <w:bCs w:val="1"/>
          <w:color w:val="auto"/>
        </w:rPr>
      </w:pPr>
      <w:r>
        <w:rPr>
          <w:rFonts w:ascii="Arial" w:cs="Arial" w:eastAsia="Arial" w:hAnsi="Arial"/>
          <w:sz w:val="16"/>
          <w:szCs w:val="16"/>
          <w:color w:val="auto"/>
        </w:rPr>
        <w:t>The Group also trades in financial instruments where it takes positions in traded and over-the-counter instruments, derivatives included, to take advantage of short-term market movements on securities, bonds, currencies and interest rates.</w:t>
      </w:r>
    </w:p>
    <w:p>
      <w:pPr>
        <w:spacing w:after="0" w:line="122" w:lineRule="exact"/>
        <w:rPr>
          <w:rFonts w:ascii="Arial" w:cs="Arial" w:eastAsia="Arial" w:hAnsi="Arial"/>
          <w:sz w:val="16"/>
          <w:szCs w:val="16"/>
          <w:b w:val="1"/>
          <w:bCs w:val="1"/>
          <w:color w:val="auto"/>
        </w:rPr>
      </w:pPr>
    </w:p>
    <w:p>
      <w:pPr>
        <w:ind w:left="583" w:right="1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Given the Group’s activities, it has established a risk appetite framework, which is a cornerstone of its risk management. The risk management processes involve continuous identification, measurement, treatment and monitoring. The Group is exposed, principally, to operating risk, credit risk, liquidity risk, market risk, cybersecurity risk, model risk, strategic risk and insurance technical risk. Finally, it reports on a consolidated basis the risks to which the Group is exposed.</w:t>
      </w:r>
    </w:p>
    <w:p>
      <w:pPr>
        <w:spacing w:after="0" w:line="144" w:lineRule="exact"/>
        <w:rPr>
          <w:rFonts w:ascii="Arial" w:cs="Arial" w:eastAsia="Arial" w:hAnsi="Arial"/>
          <w:sz w:val="16"/>
          <w:szCs w:val="16"/>
          <w:b w:val="1"/>
          <w:bCs w:val="1"/>
          <w:color w:val="auto"/>
        </w:rPr>
      </w:pPr>
    </w:p>
    <w:p>
      <w:pPr>
        <w:ind w:left="863" w:hanging="284"/>
        <w:spacing w:after="0"/>
        <w:tabs>
          <w:tab w:leader="none" w:pos="86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Risk management structure -</w:t>
      </w:r>
    </w:p>
    <w:p>
      <w:pPr>
        <w:spacing w:after="0" w:line="177" w:lineRule="exact"/>
        <w:rPr>
          <w:rFonts w:ascii="Arial" w:cs="Arial" w:eastAsia="Arial" w:hAnsi="Arial"/>
          <w:sz w:val="16"/>
          <w:szCs w:val="16"/>
          <w:color w:val="auto"/>
        </w:rPr>
      </w:pPr>
    </w:p>
    <w:p>
      <w:pPr>
        <w:ind w:left="863" w:right="420"/>
        <w:spacing w:after="0" w:line="274" w:lineRule="auto"/>
        <w:rPr>
          <w:rFonts w:ascii="Arial" w:cs="Arial" w:eastAsia="Arial" w:hAnsi="Arial"/>
          <w:sz w:val="16"/>
          <w:szCs w:val="16"/>
          <w:color w:val="auto"/>
        </w:rPr>
      </w:pPr>
      <w:r>
        <w:rPr>
          <w:rFonts w:ascii="Arial" w:cs="Arial" w:eastAsia="Arial" w:hAnsi="Arial"/>
          <w:sz w:val="16"/>
          <w:szCs w:val="16"/>
          <w:color w:val="auto"/>
        </w:rPr>
        <w:t>The Board of Directors of the Group and of each subsidiary are ultimately responsible for identifying and controlling risks; however, there are separate independent instances in the major subsidiaries responsible for managing and monitoring risks, as further explained below:</w:t>
      </w:r>
    </w:p>
    <w:p>
      <w:pPr>
        <w:spacing w:after="0" w:line="122" w:lineRule="exact"/>
        <w:rPr>
          <w:rFonts w:ascii="Arial" w:cs="Arial" w:eastAsia="Arial" w:hAnsi="Arial"/>
          <w:sz w:val="16"/>
          <w:szCs w:val="16"/>
          <w:color w:val="auto"/>
        </w:rPr>
      </w:pPr>
    </w:p>
    <w:p>
      <w:pPr>
        <w:ind w:left="1163" w:right="7920" w:hanging="295"/>
        <w:spacing w:after="0" w:line="503" w:lineRule="auto"/>
        <w:tabs>
          <w:tab w:leader="none" w:pos="1163" w:val="left"/>
        </w:tabs>
        <w:numPr>
          <w:ilvl w:val="2"/>
          <w:numId w:val="157"/>
        </w:numPr>
        <w:rPr>
          <w:rFonts w:ascii="Arial" w:cs="Arial" w:eastAsia="Arial" w:hAnsi="Arial"/>
          <w:sz w:val="15"/>
          <w:szCs w:val="15"/>
          <w:color w:val="auto"/>
        </w:rPr>
      </w:pPr>
      <w:r>
        <w:rPr>
          <w:rFonts w:ascii="Arial" w:cs="Arial" w:eastAsia="Arial" w:hAnsi="Arial"/>
          <w:sz w:val="15"/>
          <w:szCs w:val="15"/>
          <w:color w:val="auto"/>
        </w:rPr>
        <w:t>Group’s Board of Directors - Credicorp Board of Directors –</w:t>
      </w:r>
    </w:p>
    <w:p>
      <w:pPr>
        <w:ind w:left="1163" w:right="240"/>
        <w:spacing w:after="0" w:line="274" w:lineRule="auto"/>
        <w:rPr>
          <w:rFonts w:ascii="Arial" w:cs="Arial" w:eastAsia="Arial" w:hAnsi="Arial"/>
          <w:sz w:val="15"/>
          <w:szCs w:val="15"/>
          <w:color w:val="auto"/>
        </w:rPr>
      </w:pPr>
      <w:r>
        <w:rPr>
          <w:rFonts w:ascii="Arial" w:cs="Arial" w:eastAsia="Arial" w:hAnsi="Arial"/>
          <w:sz w:val="16"/>
          <w:szCs w:val="16"/>
          <w:color w:val="auto"/>
        </w:rPr>
        <w:t>The Credicorp Board of Directors is responsible for the overall approach to risk management of Credicorp Ltd., including the approval of its appetite for risk.</w:t>
      </w:r>
    </w:p>
    <w:p>
      <w:pPr>
        <w:spacing w:after="0" w:line="122" w:lineRule="exact"/>
        <w:rPr>
          <w:rFonts w:ascii="Arial" w:cs="Arial" w:eastAsia="Arial" w:hAnsi="Arial"/>
          <w:sz w:val="15"/>
          <w:szCs w:val="15"/>
          <w:color w:val="auto"/>
        </w:rPr>
      </w:pPr>
    </w:p>
    <w:p>
      <w:pPr>
        <w:ind w:left="1163"/>
        <w:spacing w:after="0" w:line="274" w:lineRule="auto"/>
        <w:rPr>
          <w:rFonts w:ascii="Arial" w:cs="Arial" w:eastAsia="Arial" w:hAnsi="Arial"/>
          <w:sz w:val="15"/>
          <w:szCs w:val="15"/>
          <w:color w:val="auto"/>
        </w:rPr>
      </w:pPr>
      <w:r>
        <w:rPr>
          <w:rFonts w:ascii="Arial" w:cs="Arial" w:eastAsia="Arial" w:hAnsi="Arial"/>
          <w:sz w:val="16"/>
          <w:szCs w:val="16"/>
          <w:color w:val="auto"/>
        </w:rPr>
        <w:t>It also oversees compliance with the approved risk appetite and the level of risk exposure, as well as the relevant improvements in the integral risk management of Grupo Crédito and Subsidiaries of Credicorp (Group).</w:t>
      </w:r>
    </w:p>
    <w:p>
      <w:pPr>
        <w:spacing w:after="0" w:line="122" w:lineRule="exact"/>
        <w:rPr>
          <w:rFonts w:ascii="Arial" w:cs="Arial" w:eastAsia="Arial" w:hAnsi="Arial"/>
          <w:sz w:val="15"/>
          <w:szCs w:val="15"/>
          <w:color w:val="auto"/>
        </w:rPr>
      </w:pPr>
    </w:p>
    <w:p>
      <w:pPr>
        <w:ind w:left="1163"/>
        <w:spacing w:after="0"/>
        <w:rPr>
          <w:rFonts w:ascii="Arial" w:cs="Arial" w:eastAsia="Arial" w:hAnsi="Arial"/>
          <w:sz w:val="15"/>
          <w:szCs w:val="15"/>
          <w:color w:val="auto"/>
        </w:rPr>
      </w:pPr>
      <w:r>
        <w:rPr>
          <w:rFonts w:ascii="Arial" w:cs="Arial" w:eastAsia="Arial" w:hAnsi="Arial"/>
          <w:sz w:val="16"/>
          <w:szCs w:val="16"/>
          <w:color w:val="auto"/>
        </w:rPr>
        <w:t>Grupo Crédito’s Board of Directors –</w:t>
      </w:r>
    </w:p>
    <w:p>
      <w:pPr>
        <w:spacing w:after="0" w:line="177" w:lineRule="exact"/>
        <w:rPr>
          <w:rFonts w:ascii="Arial" w:cs="Arial" w:eastAsia="Arial" w:hAnsi="Arial"/>
          <w:sz w:val="15"/>
          <w:szCs w:val="15"/>
          <w:color w:val="auto"/>
        </w:rPr>
      </w:pPr>
    </w:p>
    <w:p>
      <w:pPr>
        <w:ind w:left="1163" w:right="160"/>
        <w:spacing w:after="0" w:line="248" w:lineRule="auto"/>
        <w:rPr>
          <w:rFonts w:ascii="Arial" w:cs="Arial" w:eastAsia="Arial" w:hAnsi="Arial"/>
          <w:sz w:val="15"/>
          <w:szCs w:val="15"/>
          <w:color w:val="auto"/>
        </w:rPr>
      </w:pPr>
      <w:r>
        <w:rPr>
          <w:rFonts w:ascii="Arial" w:cs="Arial" w:eastAsia="Arial" w:hAnsi="Arial"/>
          <w:sz w:val="16"/>
          <w:szCs w:val="16"/>
          <w:color w:val="auto"/>
        </w:rPr>
        <w:t>Grupo Crédito’s Board of Directors is responsible for the general approach to risk management of the Group’s subsidiaries and the approval of the risk appetite levels that it is willing to assume. Furthermore, it approves the guidelines and policies for Integral Risk Management, promotes an organizational culture that emphasizes the importance of risk management, oversees the internal control system and ensures the adequate performance of the Group’s regulatory compliance function.</w:t>
      </w:r>
    </w:p>
    <w:p>
      <w:pPr>
        <w:spacing w:after="0" w:line="144" w:lineRule="exact"/>
        <w:rPr>
          <w:rFonts w:ascii="Arial" w:cs="Arial" w:eastAsia="Arial" w:hAnsi="Arial"/>
          <w:sz w:val="15"/>
          <w:szCs w:val="15"/>
          <w:color w:val="auto"/>
        </w:rPr>
      </w:pPr>
    </w:p>
    <w:p>
      <w:pPr>
        <w:ind w:left="1163"/>
        <w:spacing w:after="0"/>
        <w:rPr>
          <w:rFonts w:ascii="Arial" w:cs="Arial" w:eastAsia="Arial" w:hAnsi="Arial"/>
          <w:sz w:val="15"/>
          <w:szCs w:val="15"/>
          <w:color w:val="auto"/>
        </w:rPr>
      </w:pPr>
      <w:r>
        <w:rPr>
          <w:rFonts w:ascii="Arial" w:cs="Arial" w:eastAsia="Arial" w:hAnsi="Arial"/>
          <w:sz w:val="16"/>
          <w:szCs w:val="16"/>
          <w:color w:val="auto"/>
        </w:rPr>
        <w:t>Group Company Boards -</w:t>
      </w:r>
    </w:p>
    <w:p>
      <w:pPr>
        <w:spacing w:after="0" w:line="177" w:lineRule="exact"/>
        <w:rPr>
          <w:rFonts w:ascii="Arial" w:cs="Arial" w:eastAsia="Arial" w:hAnsi="Arial"/>
          <w:sz w:val="15"/>
          <w:szCs w:val="15"/>
          <w:color w:val="auto"/>
        </w:rPr>
      </w:pPr>
    </w:p>
    <w:p>
      <w:pPr>
        <w:ind w:left="1163" w:right="80"/>
        <w:spacing w:after="0" w:line="274" w:lineRule="auto"/>
        <w:rPr>
          <w:rFonts w:ascii="Arial" w:cs="Arial" w:eastAsia="Arial" w:hAnsi="Arial"/>
          <w:sz w:val="15"/>
          <w:szCs w:val="15"/>
          <w:color w:val="auto"/>
        </w:rPr>
      </w:pPr>
      <w:r>
        <w:rPr>
          <w:rFonts w:ascii="Arial" w:cs="Arial" w:eastAsia="Arial" w:hAnsi="Arial"/>
          <w:sz w:val="16"/>
          <w:szCs w:val="16"/>
          <w:color w:val="auto"/>
        </w:rPr>
        <w:t>The Board of each company of the Group is responsible for aligning the risk management established by the Board of Grupo Crédito with the context of each one of them. For that, it establishes a framework for risk appetite, policies and guidelines.</w:t>
      </w:r>
    </w:p>
    <w:p>
      <w:pPr>
        <w:spacing w:after="0" w:line="122" w:lineRule="exact"/>
        <w:rPr>
          <w:rFonts w:ascii="Arial" w:cs="Arial" w:eastAsia="Arial" w:hAnsi="Arial"/>
          <w:sz w:val="15"/>
          <w:szCs w:val="15"/>
          <w:color w:val="auto"/>
        </w:rPr>
      </w:pPr>
    </w:p>
    <w:p>
      <w:pPr>
        <w:ind w:left="1163" w:hanging="295"/>
        <w:spacing w:after="0"/>
        <w:tabs>
          <w:tab w:leader="none" w:pos="1163" w:val="left"/>
        </w:tabs>
        <w:numPr>
          <w:ilvl w:val="2"/>
          <w:numId w:val="157"/>
        </w:numPr>
        <w:rPr>
          <w:rFonts w:ascii="Arial" w:cs="Arial" w:eastAsia="Arial" w:hAnsi="Arial"/>
          <w:sz w:val="16"/>
          <w:szCs w:val="16"/>
          <w:color w:val="auto"/>
        </w:rPr>
      </w:pPr>
      <w:r>
        <w:rPr>
          <w:rFonts w:ascii="Arial" w:cs="Arial" w:eastAsia="Arial" w:hAnsi="Arial"/>
          <w:sz w:val="16"/>
          <w:szCs w:val="16"/>
          <w:color w:val="auto"/>
        </w:rPr>
        <w:t>Credicorp Risk Committee -</w:t>
      </w:r>
    </w:p>
    <w:p>
      <w:pPr>
        <w:spacing w:after="0" w:line="177" w:lineRule="exact"/>
        <w:rPr>
          <w:rFonts w:ascii="Arial" w:cs="Arial" w:eastAsia="Arial" w:hAnsi="Arial"/>
          <w:sz w:val="16"/>
          <w:szCs w:val="16"/>
          <w:color w:val="auto"/>
        </w:rPr>
      </w:pPr>
    </w:p>
    <w:p>
      <w:pPr>
        <w:jc w:val="both"/>
        <w:ind w:left="1163" w:right="20" w:hanging="9"/>
        <w:spacing w:after="0" w:line="255" w:lineRule="auto"/>
        <w:rPr>
          <w:rFonts w:ascii="Arial" w:cs="Arial" w:eastAsia="Arial" w:hAnsi="Arial"/>
          <w:sz w:val="16"/>
          <w:szCs w:val="16"/>
          <w:color w:val="auto"/>
        </w:rPr>
      </w:pPr>
      <w:r>
        <w:rPr>
          <w:rFonts w:ascii="Arial" w:cs="Arial" w:eastAsia="Arial" w:hAnsi="Arial"/>
          <w:sz w:val="16"/>
          <w:szCs w:val="16"/>
          <w:color w:val="auto"/>
        </w:rPr>
        <w:t>Represents the Credicorp Board of Directors, proposes the levels of risk appetite for Credicorp Ltd. Also, it is aware of the level of compliance of the risk appetite and the level of exposure assumed by Grupo Crédito and Credicorp subsidiaries and the relevant improvements in integral management of risks of said entities.</w:t>
      </w:r>
    </w:p>
    <w:p>
      <w:pPr>
        <w:spacing w:after="0" w:line="294" w:lineRule="exact"/>
        <w:rPr>
          <w:rFonts w:ascii="Arial" w:cs="Arial" w:eastAsia="Arial" w:hAnsi="Arial"/>
          <w:sz w:val="16"/>
          <w:szCs w:val="16"/>
          <w:color w:val="auto"/>
        </w:rPr>
      </w:pPr>
    </w:p>
    <w:p>
      <w:pPr>
        <w:ind w:left="5483" w:hanging="88"/>
        <w:spacing w:after="0"/>
        <w:tabs>
          <w:tab w:leader="none" w:pos="5483" w:val="left"/>
        </w:tabs>
        <w:numPr>
          <w:ilvl w:val="3"/>
          <w:numId w:val="157"/>
        </w:numPr>
        <w:rPr>
          <w:rFonts w:ascii="Arial" w:cs="Arial" w:eastAsia="Arial" w:hAnsi="Arial"/>
          <w:sz w:val="16"/>
          <w:szCs w:val="16"/>
          <w:color w:val="auto"/>
        </w:rPr>
      </w:pPr>
      <w:r>
        <w:rPr>
          <w:rFonts w:ascii="Arial" w:cs="Arial" w:eastAsia="Arial" w:hAnsi="Arial"/>
          <w:sz w:val="16"/>
          <w:szCs w:val="16"/>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292" w:right="339" w:bottom="1440" w:gutter="0" w:footer="0" w:header="0"/>
        </w:sectPr>
      </w:pPr>
    </w:p>
    <w:bookmarkStart w:id="135" w:name="page136"/>
    <w:bookmarkEnd w:id="135"/>
    <w:p>
      <w:pPr>
        <w:ind w:left="295" w:right="60" w:hanging="8"/>
        <w:spacing w:after="0" w:line="243" w:lineRule="auto"/>
        <w:rPr>
          <w:sz w:val="20"/>
          <w:szCs w:val="20"/>
          <w:color w:val="auto"/>
        </w:rPr>
      </w:pPr>
      <w:r>
        <w:rPr>
          <w:rFonts w:ascii="Arial" w:cs="Arial" w:eastAsia="Arial" w:hAnsi="Arial"/>
          <w:sz w:val="16"/>
          <w:szCs w:val="16"/>
          <w:color w:val="auto"/>
        </w:rPr>
        <w:t>The Committee will be made up of no less than three directors of Credicorp, at least one of which must be independent. Additionally, the Board of Directors may incorporate as a member one or more directors of Credicorp subsidiaries. Likewise, the coordinator of the Committee will be the Credicorp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whose criteria assist with the development of the session.</w:t>
      </w:r>
    </w:p>
    <w:p>
      <w:pPr>
        <w:spacing w:after="0" w:line="149" w:lineRule="exact"/>
        <w:rPr>
          <w:sz w:val="20"/>
          <w:szCs w:val="20"/>
          <w:color w:val="auto"/>
        </w:rPr>
      </w:pPr>
    </w:p>
    <w:p>
      <w:pPr>
        <w:ind w:left="295" w:hanging="295"/>
        <w:spacing w:after="0"/>
        <w:tabs>
          <w:tab w:leader="none" w:pos="29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Grupo Crédito Risk Committee -</w:t>
      </w:r>
    </w:p>
    <w:p>
      <w:pPr>
        <w:spacing w:after="0" w:line="177" w:lineRule="exact"/>
        <w:rPr>
          <w:rFonts w:ascii="Arial" w:cs="Arial" w:eastAsia="Arial" w:hAnsi="Arial"/>
          <w:sz w:val="16"/>
          <w:szCs w:val="16"/>
          <w:color w:val="auto"/>
        </w:rPr>
      </w:pPr>
    </w:p>
    <w:p>
      <w:pPr>
        <w:ind w:left="295" w:right="220" w:hanging="9"/>
        <w:spacing w:after="0" w:line="255" w:lineRule="auto"/>
        <w:rPr>
          <w:rFonts w:ascii="Arial" w:cs="Arial" w:eastAsia="Arial" w:hAnsi="Arial"/>
          <w:sz w:val="16"/>
          <w:szCs w:val="16"/>
          <w:color w:val="auto"/>
        </w:rPr>
      </w:pPr>
      <w:r>
        <w:rPr>
          <w:rFonts w:ascii="Arial" w:cs="Arial" w:eastAsia="Arial" w:hAnsi="Arial"/>
          <w:sz w:val="16"/>
          <w:szCs w:val="16"/>
          <w:color w:val="auto"/>
        </w:rPr>
        <w:t>Represents the Board of Grupo Crédito in risk management decision-making. Furthermore, proposes to Grupo Crédito’s Board of Directors the levels of risk appetite. This Committee defines the strategies used for the adequate management of the different types of risks and the supervision of risk appetite. In addition to it, they establish principles, policies, and general limits to the Group.</w:t>
      </w:r>
    </w:p>
    <w:p>
      <w:pPr>
        <w:spacing w:after="0" w:line="137" w:lineRule="exact"/>
        <w:rPr>
          <w:rFonts w:ascii="Arial" w:cs="Arial" w:eastAsia="Arial" w:hAnsi="Arial"/>
          <w:sz w:val="16"/>
          <w:szCs w:val="16"/>
          <w:color w:val="auto"/>
        </w:rPr>
      </w:pPr>
    </w:p>
    <w:p>
      <w:pPr>
        <w:ind w:left="295" w:right="180" w:hanging="9"/>
        <w:spacing w:after="0" w:line="243" w:lineRule="auto"/>
        <w:rPr>
          <w:rFonts w:ascii="Arial" w:cs="Arial" w:eastAsia="Arial" w:hAnsi="Arial"/>
          <w:sz w:val="16"/>
          <w:szCs w:val="16"/>
          <w:color w:val="auto"/>
        </w:rPr>
      </w:pPr>
      <w:r>
        <w:rPr>
          <w:rFonts w:ascii="Arial" w:cs="Arial" w:eastAsia="Arial" w:hAnsi="Arial"/>
          <w:sz w:val="16"/>
          <w:szCs w:val="16"/>
          <w:color w:val="auto"/>
        </w:rPr>
        <w:t>The Risk Committee is presided by no less than three Board members of Grupo Crédito, at least one of which must be independent. Additionally, the Board of Directors may incorporate as a member one or more directors of the Group. Likewise, the coordinator of the Committee will be the Grupo Crédito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whose criteria assist with the development of the session.</w:t>
      </w:r>
    </w:p>
    <w:p>
      <w:pPr>
        <w:spacing w:after="0" w:line="148" w:lineRule="exact"/>
        <w:rPr>
          <w:rFonts w:ascii="Arial" w:cs="Arial" w:eastAsia="Arial" w:hAnsi="Arial"/>
          <w:sz w:val="16"/>
          <w:szCs w:val="16"/>
          <w:color w:val="auto"/>
        </w:rPr>
      </w:pPr>
    </w:p>
    <w:p>
      <w:pPr>
        <w:ind w:left="295" w:right="220"/>
        <w:spacing w:after="0" w:line="255" w:lineRule="auto"/>
        <w:rPr>
          <w:rFonts w:ascii="Arial" w:cs="Arial" w:eastAsia="Arial" w:hAnsi="Arial"/>
          <w:sz w:val="16"/>
          <w:szCs w:val="16"/>
          <w:color w:val="auto"/>
        </w:rPr>
      </w:pPr>
      <w:r>
        <w:rPr>
          <w:rFonts w:ascii="Arial" w:cs="Arial" w:eastAsia="Arial" w:hAnsi="Arial"/>
          <w:sz w:val="16"/>
          <w:szCs w:val="16"/>
          <w:color w:val="auto"/>
        </w:rPr>
        <w:t>In addition to effectively managing all the risks, the Grupo Crédito Risk Committee is supported by the following committees which report periodically on all relevant changes or issues relating to the risks being managed, except for the Model Risk functions, since Grupo Crédito Risk Committee assumes them directly:</w:t>
      </w:r>
    </w:p>
    <w:p>
      <w:pPr>
        <w:spacing w:after="0" w:line="137"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Corporate credit Risk Committees (retail and non-retail) -</w:t>
      </w:r>
    </w:p>
    <w:p>
      <w:pPr>
        <w:spacing w:after="0" w:line="177" w:lineRule="exact"/>
        <w:rPr>
          <w:rFonts w:ascii="Arial" w:cs="Arial" w:eastAsia="Arial" w:hAnsi="Arial"/>
          <w:sz w:val="16"/>
          <w:szCs w:val="16"/>
          <w:color w:val="auto"/>
        </w:rPr>
      </w:pPr>
    </w:p>
    <w:p>
      <w:pPr>
        <w:ind w:left="295" w:right="160"/>
        <w:spacing w:after="0" w:line="304" w:lineRule="auto"/>
        <w:rPr>
          <w:rFonts w:ascii="Arial" w:cs="Arial" w:eastAsia="Arial" w:hAnsi="Arial"/>
          <w:sz w:val="16"/>
          <w:szCs w:val="16"/>
          <w:color w:val="auto"/>
        </w:rPr>
      </w:pPr>
      <w:r>
        <w:rPr>
          <w:rFonts w:ascii="Arial" w:cs="Arial" w:eastAsia="Arial" w:hAnsi="Arial"/>
          <w:sz w:val="16"/>
          <w:szCs w:val="16"/>
          <w:color w:val="auto"/>
        </w:rPr>
        <w:t>The Corporate Credit Risk Committees (Retail and Wholesale) are responsible for reviewing the level of tolerance of the credit risk appetite, exposure limits, and the actions to implement corrective measures in the event of deviations. In addition, they propose credit risk management rules and policies within the governance framework and organizational structure for the comprehensive management of credit risk. They also propose for approval to the Risk Committee any changes to the functions described above, as well as significant findings. Corporate Committee for Market, Structural, Trading and Liquidity Risk -</w:t>
      </w:r>
    </w:p>
    <w:p>
      <w:pPr>
        <w:spacing w:after="0" w:line="101" w:lineRule="exact"/>
        <w:rPr>
          <w:rFonts w:ascii="Arial" w:cs="Arial" w:eastAsia="Arial" w:hAnsi="Arial"/>
          <w:sz w:val="16"/>
          <w:szCs w:val="16"/>
          <w:color w:val="auto"/>
        </w:rPr>
      </w:pPr>
    </w:p>
    <w:p>
      <w:pPr>
        <w:ind w:left="295"/>
        <w:spacing w:after="0" w:line="248" w:lineRule="auto"/>
        <w:rPr>
          <w:rFonts w:ascii="Arial" w:cs="Arial" w:eastAsia="Arial" w:hAnsi="Arial"/>
          <w:sz w:val="16"/>
          <w:szCs w:val="16"/>
          <w:color w:val="auto"/>
        </w:rPr>
      </w:pPr>
      <w:r>
        <w:rPr>
          <w:rFonts w:ascii="Arial" w:cs="Arial" w:eastAsia="Arial" w:hAnsi="Arial"/>
          <w:sz w:val="16"/>
          <w:szCs w:val="16"/>
          <w:color w:val="auto"/>
        </w:rPr>
        <w:t>The committee for Market, Structural, Trading and Liquidity Risks is in charge of analyzing and proposing corporate objectives, guidelines and policies for the Management of Market and Liquidity Risks of the Group and the Group’s companies. As well as monitoring the indicators and liquidity appetite and the implementation of corrective measures if deviations exist. Additionally, it is responsible for approving the integration into management of a corporate model implemented in the Group.</w:t>
      </w:r>
    </w:p>
    <w:p>
      <w:pPr>
        <w:spacing w:after="0" w:line="144"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Corporate Operational Risk Methodology Committee -</w:t>
      </w:r>
    </w:p>
    <w:p>
      <w:pPr>
        <w:spacing w:after="0" w:line="177" w:lineRule="exact"/>
        <w:rPr>
          <w:rFonts w:ascii="Arial" w:cs="Arial" w:eastAsia="Arial" w:hAnsi="Arial"/>
          <w:sz w:val="16"/>
          <w:szCs w:val="16"/>
          <w:color w:val="auto"/>
        </w:rPr>
      </w:pPr>
    </w:p>
    <w:p>
      <w:pPr>
        <w:ind w:left="295" w:right="140"/>
        <w:spacing w:after="0" w:line="274" w:lineRule="auto"/>
        <w:rPr>
          <w:rFonts w:ascii="Arial" w:cs="Arial" w:eastAsia="Arial" w:hAnsi="Arial"/>
          <w:sz w:val="16"/>
          <w:szCs w:val="16"/>
          <w:color w:val="auto"/>
        </w:rPr>
      </w:pPr>
      <w:r>
        <w:rPr>
          <w:rFonts w:ascii="Arial" w:cs="Arial" w:eastAsia="Arial" w:hAnsi="Arial"/>
          <w:sz w:val="16"/>
          <w:szCs w:val="16"/>
          <w:color w:val="auto"/>
        </w:rPr>
        <w:t>The Corporate Operational Risk Methodology Committee has the primary responsibilities of sharing methodologies for Operational Risk and Business Continuity, as well as sharing best practices regarding the main challenges faced by the Group’s companies.</w:t>
      </w:r>
    </w:p>
    <w:p>
      <w:pPr>
        <w:spacing w:after="0" w:line="279" w:lineRule="exact"/>
        <w:rPr>
          <w:rFonts w:ascii="Arial" w:cs="Arial" w:eastAsia="Arial" w:hAnsi="Arial"/>
          <w:sz w:val="16"/>
          <w:szCs w:val="16"/>
          <w:color w:val="auto"/>
        </w:rPr>
      </w:pPr>
    </w:p>
    <w:p>
      <w:pPr>
        <w:ind w:left="4615" w:hanging="88"/>
        <w:spacing w:after="0"/>
        <w:tabs>
          <w:tab w:leader="none" w:pos="4615" w:val="left"/>
        </w:tabs>
        <w:numPr>
          <w:ilvl w:val="1"/>
          <w:numId w:val="158"/>
        </w:numPr>
        <w:rPr>
          <w:rFonts w:ascii="Arial" w:cs="Arial" w:eastAsia="Arial" w:hAnsi="Arial"/>
          <w:sz w:val="16"/>
          <w:szCs w:val="16"/>
          <w:color w:val="auto"/>
        </w:rPr>
      </w:pPr>
      <w:r>
        <w:rPr>
          <w:rFonts w:ascii="Arial" w:cs="Arial" w:eastAsia="Arial" w:hAnsi="Arial"/>
          <w:sz w:val="16"/>
          <w:szCs w:val="16"/>
          <w:color w:val="auto"/>
        </w:rPr>
        <w:t>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39370</wp:posOffset>
            </wp:positionV>
            <wp:extent cx="714692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55"/>
          </w:cols>
          <w:pgMar w:left="1185" w:top="304" w:right="359" w:bottom="1440" w:gutter="0" w:footer="0" w:header="0"/>
        </w:sectPr>
      </w:pPr>
    </w:p>
    <w:bookmarkStart w:id="136" w:name="page137"/>
    <w:bookmarkEnd w:id="136"/>
    <w:p>
      <w:pPr>
        <w:ind w:left="295" w:hanging="295"/>
        <w:spacing w:after="0"/>
        <w:tabs>
          <w:tab w:leader="none" w:pos="2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Central Risk Management of Credicorp -</w:t>
      </w:r>
    </w:p>
    <w:p>
      <w:pPr>
        <w:spacing w:after="0" w:line="177" w:lineRule="exact"/>
        <w:rPr>
          <w:rFonts w:ascii="Arial" w:cs="Arial" w:eastAsia="Arial" w:hAnsi="Arial"/>
          <w:sz w:val="16"/>
          <w:szCs w:val="16"/>
          <w:color w:val="auto"/>
        </w:rPr>
      </w:pPr>
    </w:p>
    <w:p>
      <w:pPr>
        <w:ind w:left="295"/>
        <w:spacing w:after="0" w:line="248" w:lineRule="auto"/>
        <w:rPr>
          <w:rFonts w:ascii="Arial" w:cs="Arial" w:eastAsia="Arial" w:hAnsi="Arial"/>
          <w:sz w:val="16"/>
          <w:szCs w:val="16"/>
          <w:color w:val="auto"/>
        </w:rPr>
      </w:pPr>
      <w:r>
        <w:rPr>
          <w:rFonts w:ascii="Arial" w:cs="Arial" w:eastAsia="Arial" w:hAnsi="Arial"/>
          <w:sz w:val="16"/>
          <w:szCs w:val="16"/>
          <w:color w:val="auto"/>
        </w:rPr>
        <w:t>The Central Risk Management of Credicorp informs the Credicorp Risk Committee of the level of compliance of the risk appetite and the level of exposure assumed by Grupo Crédito and Credicorp subsidiaries. Likewise, it reports the relevant improvements in the integral risk management of Grupo Crédito and Credicorp subsidiaries. In addition, it proposes to the Credicorp Risk Committee the risk appetite levels for Credicorp Ltd.</w:t>
      </w:r>
    </w:p>
    <w:p>
      <w:pPr>
        <w:spacing w:after="0" w:line="144" w:lineRule="exact"/>
        <w:rPr>
          <w:rFonts w:ascii="Arial" w:cs="Arial" w:eastAsia="Arial" w:hAnsi="Arial"/>
          <w:sz w:val="16"/>
          <w:szCs w:val="16"/>
          <w:color w:val="auto"/>
        </w:rPr>
      </w:pPr>
    </w:p>
    <w:p>
      <w:pPr>
        <w:ind w:left="295" w:hanging="295"/>
        <w:spacing w:after="0"/>
        <w:tabs>
          <w:tab w:leader="none" w:pos="2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Central Risk Management of Grupo Crédito -</w:t>
      </w:r>
    </w:p>
    <w:p>
      <w:pPr>
        <w:spacing w:after="0" w:line="177" w:lineRule="exact"/>
        <w:rPr>
          <w:rFonts w:ascii="Arial" w:cs="Arial" w:eastAsia="Arial" w:hAnsi="Arial"/>
          <w:sz w:val="16"/>
          <w:szCs w:val="16"/>
          <w:color w:val="auto"/>
        </w:rPr>
      </w:pPr>
    </w:p>
    <w:p>
      <w:pPr>
        <w:ind w:left="295" w:right="120"/>
        <w:spacing w:after="0" w:line="245" w:lineRule="auto"/>
        <w:rPr>
          <w:rFonts w:ascii="Arial" w:cs="Arial" w:eastAsia="Arial" w:hAnsi="Arial"/>
          <w:sz w:val="16"/>
          <w:szCs w:val="16"/>
          <w:color w:val="auto"/>
        </w:rPr>
      </w:pPr>
      <w:r>
        <w:rPr>
          <w:rFonts w:ascii="Arial" w:cs="Arial" w:eastAsia="Arial" w:hAnsi="Arial"/>
          <w:sz w:val="16"/>
          <w:szCs w:val="16"/>
          <w:color w:val="auto"/>
        </w:rPr>
        <w:t>The Central Risk Management is responsible for the implementation of policies, procedures, methodologies and the actions to be taken to identify, measure, monitor, mitigate, report and control the different types of risks to which the Group is exposed. In addition, it is responsible for participating in the design and definition of the strategic plans of the business units to ensure that they are aligned within the risk parameters approved by the Grupo Crédito Board of Directors. Likewise, it disseminates the importance of adequate risk management, specifying in each of the units, the role that corresponds to them in the timely identification and definition of the corresponding actions.</w:t>
      </w:r>
    </w:p>
    <w:p>
      <w:pPr>
        <w:spacing w:after="0" w:line="146" w:lineRule="exact"/>
        <w:rPr>
          <w:rFonts w:ascii="Arial" w:cs="Arial" w:eastAsia="Arial" w:hAnsi="Arial"/>
          <w:sz w:val="16"/>
          <w:szCs w:val="16"/>
          <w:color w:val="auto"/>
        </w:rPr>
      </w:pPr>
    </w:p>
    <w:p>
      <w:pPr>
        <w:ind w:left="295" w:right="3020"/>
        <w:spacing w:after="0" w:line="472" w:lineRule="auto"/>
        <w:rPr>
          <w:rFonts w:ascii="Arial" w:cs="Arial" w:eastAsia="Arial" w:hAnsi="Arial"/>
          <w:sz w:val="16"/>
          <w:szCs w:val="16"/>
          <w:color w:val="auto"/>
        </w:rPr>
      </w:pPr>
      <w:r>
        <w:rPr>
          <w:rFonts w:ascii="Arial" w:cs="Arial" w:eastAsia="Arial" w:hAnsi="Arial"/>
          <w:sz w:val="16"/>
          <w:szCs w:val="16"/>
          <w:color w:val="auto"/>
        </w:rPr>
        <w:t>The units of the Central Risk Management that manage risk at the corporate level are the following: Credit Division -</w:t>
      </w:r>
    </w:p>
    <w:p>
      <w:pPr>
        <w:ind w:left="295" w:right="20"/>
        <w:spacing w:after="0" w:line="245" w:lineRule="auto"/>
        <w:rPr>
          <w:rFonts w:ascii="Arial" w:cs="Arial" w:eastAsia="Arial" w:hAnsi="Arial"/>
          <w:sz w:val="16"/>
          <w:szCs w:val="16"/>
          <w:color w:val="auto"/>
        </w:rPr>
      </w:pPr>
      <w:r>
        <w:rPr>
          <w:rFonts w:ascii="Arial" w:cs="Arial" w:eastAsia="Arial" w:hAnsi="Arial"/>
          <w:sz w:val="16"/>
          <w:szCs w:val="16"/>
          <w:color w:val="auto"/>
        </w:rPr>
        <w:t>The Credit Division proposes credit policies and evaluation criteria and credit risk management that the Group assumes with segment customers wholesaler. Evaluate and authorize loan proposals until their autonomy and propose their approval to the higher instances for those that exceed it. These guidelines are established on the basis of the policies set by the Grupo Crédito Board, respecting the laws and regulations in force. In addition, it assesses the evolution of the risk of wholesale clients and identifies problematic situations, taking actions to mitigate or resolve them.</w:t>
      </w:r>
    </w:p>
    <w:p>
      <w:pPr>
        <w:spacing w:after="0" w:line="146"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Risk Management Division -</w:t>
      </w:r>
    </w:p>
    <w:p>
      <w:pPr>
        <w:spacing w:after="0" w:line="177" w:lineRule="exact"/>
        <w:rPr>
          <w:rFonts w:ascii="Arial" w:cs="Arial" w:eastAsia="Arial" w:hAnsi="Arial"/>
          <w:sz w:val="16"/>
          <w:szCs w:val="16"/>
          <w:color w:val="auto"/>
        </w:rPr>
      </w:pPr>
    </w:p>
    <w:p>
      <w:pPr>
        <w:ind w:left="295" w:right="100"/>
        <w:spacing w:after="0" w:line="304" w:lineRule="auto"/>
        <w:rPr>
          <w:rFonts w:ascii="Arial" w:cs="Arial" w:eastAsia="Arial" w:hAnsi="Arial"/>
          <w:sz w:val="16"/>
          <w:szCs w:val="16"/>
          <w:color w:val="auto"/>
        </w:rPr>
      </w:pPr>
      <w:r>
        <w:rPr>
          <w:rFonts w:ascii="Arial" w:cs="Arial" w:eastAsia="Arial" w:hAnsi="Arial"/>
          <w:sz w:val="16"/>
          <w:szCs w:val="16"/>
          <w:color w:val="auto"/>
        </w:rPr>
        <w:t>The Risk Management Division is responsible for ensuring that risk management directives and policies comply with the established by the Board of Directors. In addition, it is responsible for supervising the process of risk management and for coordinating with the companies of Credicorp involved in the whole process, promoting homogeneous risk management and aligning with the best practices. It also has the task of informing the Board of Directors regarding: global exposure and by type of risk, as well as the specific exposure of each Group company. Retail Banking Risk Division -</w:t>
      </w:r>
    </w:p>
    <w:p>
      <w:pPr>
        <w:spacing w:after="0" w:line="101" w:lineRule="exact"/>
        <w:rPr>
          <w:rFonts w:ascii="Arial" w:cs="Arial" w:eastAsia="Arial" w:hAnsi="Arial"/>
          <w:sz w:val="16"/>
          <w:szCs w:val="16"/>
          <w:color w:val="auto"/>
        </w:rPr>
      </w:pPr>
    </w:p>
    <w:p>
      <w:pPr>
        <w:ind w:left="295" w:right="640"/>
        <w:spacing w:after="0" w:line="274" w:lineRule="auto"/>
        <w:rPr>
          <w:rFonts w:ascii="Arial" w:cs="Arial" w:eastAsia="Arial" w:hAnsi="Arial"/>
          <w:sz w:val="16"/>
          <w:szCs w:val="16"/>
          <w:color w:val="auto"/>
        </w:rPr>
      </w:pPr>
      <w:r>
        <w:rPr>
          <w:rFonts w:ascii="Arial" w:cs="Arial" w:eastAsia="Arial" w:hAnsi="Arial"/>
          <w:sz w:val="16"/>
          <w:szCs w:val="16"/>
          <w:color w:val="auto"/>
        </w:rPr>
        <w:t>The Retail Banking Risk Division is responsible for managing the risk profile of the Individuals and Small Businesses portfolio and for developing credit policies that are aligned with the guidelines and risk levels established by the Board of Directors of Grupo Crédito.</w:t>
      </w:r>
    </w:p>
    <w:p>
      <w:pPr>
        <w:spacing w:after="0" w:line="122" w:lineRule="exact"/>
        <w:rPr>
          <w:rFonts w:ascii="Arial" w:cs="Arial" w:eastAsia="Arial" w:hAnsi="Arial"/>
          <w:sz w:val="16"/>
          <w:szCs w:val="16"/>
          <w:color w:val="auto"/>
        </w:rPr>
      </w:pPr>
    </w:p>
    <w:p>
      <w:pPr>
        <w:ind w:left="295" w:right="540"/>
        <w:spacing w:after="0" w:line="274" w:lineRule="auto"/>
        <w:rPr>
          <w:rFonts w:ascii="Arial" w:cs="Arial" w:eastAsia="Arial" w:hAnsi="Arial"/>
          <w:sz w:val="16"/>
          <w:szCs w:val="16"/>
          <w:color w:val="auto"/>
        </w:rPr>
      </w:pPr>
      <w:r>
        <w:rPr>
          <w:rFonts w:ascii="Arial" w:cs="Arial" w:eastAsia="Arial" w:hAnsi="Arial"/>
          <w:sz w:val="16"/>
          <w:szCs w:val="16"/>
          <w:color w:val="auto"/>
        </w:rPr>
        <w:t>Likewise, it participates in the definition of products and campaigns aligned to these policies, as well as in the design, optimization and integration of credit evaluation tools and income estimation for credit management.</w:t>
      </w:r>
    </w:p>
    <w:p>
      <w:pPr>
        <w:spacing w:after="0" w:line="122" w:lineRule="exact"/>
        <w:rPr>
          <w:rFonts w:ascii="Arial" w:cs="Arial" w:eastAsia="Arial" w:hAnsi="Arial"/>
          <w:sz w:val="16"/>
          <w:szCs w:val="16"/>
          <w:color w:val="auto"/>
        </w:rPr>
      </w:pPr>
    </w:p>
    <w:p>
      <w:pPr>
        <w:ind w:left="295" w:right="140"/>
        <w:spacing w:after="0" w:line="255" w:lineRule="auto"/>
        <w:rPr>
          <w:rFonts w:ascii="Arial" w:cs="Arial" w:eastAsia="Arial" w:hAnsi="Arial"/>
          <w:sz w:val="16"/>
          <w:szCs w:val="16"/>
          <w:color w:val="auto"/>
        </w:rPr>
      </w:pPr>
      <w:r>
        <w:rPr>
          <w:rFonts w:ascii="Arial" w:cs="Arial" w:eastAsia="Arial" w:hAnsi="Arial"/>
          <w:sz w:val="16"/>
          <w:szCs w:val="16"/>
          <w:color w:val="auto"/>
        </w:rPr>
        <w:t>Likewise, there is an active and recurring participation of the BCP Retail Banking Risk Division in the Credit Risk and Collections Committee of Mibanco and in the BCB Retail Banking Risk Committee to ensure alignment of best practices in terms of policies and guidelines credit ratings, risk segmentation and credit risk models.</w:t>
      </w:r>
    </w:p>
    <w:p>
      <w:pPr>
        <w:spacing w:after="0" w:line="137"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Corporate Non-Financial Risk Management -</w:t>
      </w:r>
    </w:p>
    <w:p>
      <w:pPr>
        <w:spacing w:after="0" w:line="177" w:lineRule="exact"/>
        <w:rPr>
          <w:rFonts w:ascii="Arial" w:cs="Arial" w:eastAsia="Arial" w:hAnsi="Arial"/>
          <w:sz w:val="16"/>
          <w:szCs w:val="16"/>
          <w:color w:val="auto"/>
        </w:rPr>
      </w:pPr>
    </w:p>
    <w:p>
      <w:pPr>
        <w:ind w:left="295" w:right="580"/>
        <w:spacing w:after="0" w:line="274" w:lineRule="auto"/>
        <w:rPr>
          <w:rFonts w:ascii="Arial" w:cs="Arial" w:eastAsia="Arial" w:hAnsi="Arial"/>
          <w:sz w:val="16"/>
          <w:szCs w:val="16"/>
          <w:color w:val="auto"/>
        </w:rPr>
      </w:pPr>
      <w:r>
        <w:rPr>
          <w:rFonts w:ascii="Arial" w:cs="Arial" w:eastAsia="Arial" w:hAnsi="Arial"/>
          <w:sz w:val="16"/>
          <w:szCs w:val="16"/>
          <w:color w:val="auto"/>
        </w:rPr>
        <w:t>Corporate Non-Financial Risk Management is responsible for defining a non-financial risk strategy aligned with the objectives and risk appetite established at the corporate level. This</w:t>
      </w:r>
    </w:p>
    <w:p>
      <w:pPr>
        <w:spacing w:after="0" w:line="279" w:lineRule="exact"/>
        <w:rPr>
          <w:rFonts w:ascii="Arial" w:cs="Arial" w:eastAsia="Arial" w:hAnsi="Arial"/>
          <w:sz w:val="16"/>
          <w:szCs w:val="16"/>
          <w:color w:val="auto"/>
        </w:rPr>
      </w:pPr>
    </w:p>
    <w:p>
      <w:pPr>
        <w:ind w:left="4615" w:hanging="88"/>
        <w:spacing w:after="0"/>
        <w:tabs>
          <w:tab w:leader="none" w:pos="4615" w:val="left"/>
        </w:tabs>
        <w:numPr>
          <w:ilvl w:val="1"/>
          <w:numId w:val="159"/>
        </w:numPr>
        <w:rPr>
          <w:rFonts w:ascii="Arial" w:cs="Arial" w:eastAsia="Arial" w:hAnsi="Arial"/>
          <w:sz w:val="16"/>
          <w:szCs w:val="16"/>
          <w:color w:val="auto"/>
        </w:rPr>
      </w:pPr>
      <w:r>
        <w:rPr>
          <w:rFonts w:ascii="Arial" w:cs="Arial" w:eastAsia="Arial" w:hAnsi="Arial"/>
          <w:sz w:val="16"/>
          <w:szCs w:val="16"/>
          <w:color w:val="auto"/>
        </w:rPr>
        <w:t>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39370</wp:posOffset>
            </wp:positionV>
            <wp:extent cx="714692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55"/>
          </w:cols>
          <w:pgMar w:left="1185" w:top="304" w:right="359" w:bottom="1440" w:gutter="0" w:footer="0" w:header="0"/>
        </w:sectPr>
      </w:pPr>
    </w:p>
    <w:bookmarkStart w:id="137" w:name="page138"/>
    <w:bookmarkEnd w:id="137"/>
    <w:p>
      <w:pPr>
        <w:jc w:val="both"/>
        <w:ind w:left="584" w:right="280"/>
        <w:spacing w:after="0" w:line="248" w:lineRule="auto"/>
        <w:rPr>
          <w:sz w:val="20"/>
          <w:szCs w:val="20"/>
          <w:color w:val="auto"/>
        </w:rPr>
      </w:pPr>
      <w:r>
        <w:rPr>
          <w:rFonts w:ascii="Arial" w:cs="Arial" w:eastAsia="Arial" w:hAnsi="Arial"/>
          <w:sz w:val="16"/>
          <w:szCs w:val="16"/>
          <w:color w:val="auto"/>
        </w:rPr>
        <w:t>strategy aims to enhance the management process, generate synergies, optimize resources and achieve superior results among the units responsible for managing non-financial risks at the corporate level. Furthermore, to achieve the objectives outlined in the non-financial risk strategy, the Division is tasked with promoting a risk culture, developing talent, defining indicators, and generating and monitoring strategic projects and initiatives.</w:t>
      </w:r>
    </w:p>
    <w:p>
      <w:pPr>
        <w:spacing w:after="0" w:line="144" w:lineRule="exact"/>
        <w:rPr>
          <w:sz w:val="20"/>
          <w:szCs w:val="20"/>
          <w:color w:val="auto"/>
        </w:rPr>
      </w:pPr>
    </w:p>
    <w:p>
      <w:pPr>
        <w:ind w:left="584"/>
        <w:spacing w:after="0"/>
        <w:rPr>
          <w:sz w:val="20"/>
          <w:szCs w:val="20"/>
          <w:color w:val="auto"/>
        </w:rPr>
      </w:pPr>
      <w:r>
        <w:rPr>
          <w:rFonts w:ascii="Arial" w:cs="Arial" w:eastAsia="Arial" w:hAnsi="Arial"/>
          <w:sz w:val="16"/>
          <w:szCs w:val="16"/>
          <w:color w:val="auto"/>
        </w:rPr>
        <w:t>Credicorp’s Pricing Center of Excellence</w:t>
      </w:r>
    </w:p>
    <w:p>
      <w:pPr>
        <w:spacing w:after="0" w:line="178" w:lineRule="exact"/>
        <w:rPr>
          <w:sz w:val="20"/>
          <w:szCs w:val="20"/>
          <w:color w:val="auto"/>
        </w:rPr>
      </w:pPr>
    </w:p>
    <w:p>
      <w:pPr>
        <w:ind w:left="584" w:right="160"/>
        <w:spacing w:after="0" w:line="274" w:lineRule="auto"/>
        <w:rPr>
          <w:sz w:val="20"/>
          <w:szCs w:val="20"/>
          <w:color w:val="auto"/>
        </w:rPr>
      </w:pPr>
      <w:r>
        <w:rPr>
          <w:rFonts w:ascii="Arial" w:cs="Arial" w:eastAsia="Arial" w:hAnsi="Arial"/>
          <w:sz w:val="16"/>
          <w:szCs w:val="16"/>
          <w:color w:val="auto"/>
        </w:rPr>
        <w:t>The main objective of the Group’s Pricing Center of Excellence (CoE) is to efficiently scale the Pricing practice in the Group’s business lines, identifying opportunities and deploying initiatives that allow the development of the Pricing practice.</w:t>
      </w:r>
    </w:p>
    <w:p>
      <w:pPr>
        <w:spacing w:after="0" w:line="123" w:lineRule="exact"/>
        <w:rPr>
          <w:sz w:val="20"/>
          <w:szCs w:val="20"/>
          <w:color w:val="auto"/>
        </w:rPr>
      </w:pPr>
    </w:p>
    <w:p>
      <w:pPr>
        <w:ind w:left="584"/>
        <w:spacing w:after="0"/>
        <w:rPr>
          <w:sz w:val="20"/>
          <w:szCs w:val="20"/>
          <w:color w:val="auto"/>
        </w:rPr>
      </w:pPr>
      <w:r>
        <w:rPr>
          <w:rFonts w:ascii="Arial" w:cs="Arial" w:eastAsia="Arial" w:hAnsi="Arial"/>
          <w:sz w:val="16"/>
          <w:szCs w:val="16"/>
          <w:color w:val="auto"/>
        </w:rPr>
        <w:t>Risk Transformation Office</w:t>
      </w:r>
    </w:p>
    <w:p>
      <w:pPr>
        <w:spacing w:after="0" w:line="17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The Risk Transformation Office is responsible for turning risk management into a competitive advantage, enhancing the following capabilities:</w:t>
      </w:r>
    </w:p>
    <w:p>
      <w:pPr>
        <w:spacing w:after="0" w:line="13" w:lineRule="exact"/>
        <w:rPr>
          <w:sz w:val="20"/>
          <w:szCs w:val="20"/>
          <w:color w:val="auto"/>
        </w:rPr>
      </w:pPr>
    </w:p>
    <w:p>
      <w:pPr>
        <w:ind w:left="704" w:hanging="125"/>
        <w:spacing w:after="0"/>
        <w:tabs>
          <w:tab w:leader="none" w:pos="704" w:val="left"/>
        </w:tabs>
        <w:numPr>
          <w:ilvl w:val="2"/>
          <w:numId w:val="160"/>
        </w:numPr>
        <w:rPr>
          <w:rFonts w:ascii="Arial" w:cs="Arial" w:eastAsia="Arial" w:hAnsi="Arial"/>
          <w:sz w:val="16"/>
          <w:szCs w:val="16"/>
          <w:color w:val="auto"/>
        </w:rPr>
      </w:pPr>
      <w:r>
        <w:rPr>
          <w:rFonts w:ascii="Arial" w:cs="Arial" w:eastAsia="Arial" w:hAnsi="Arial"/>
          <w:sz w:val="16"/>
          <w:szCs w:val="16"/>
          <w:color w:val="auto"/>
        </w:rPr>
        <w:t>origination, ii) portfolio monitoring, iii) life cycle of credit models, iv) cybersecurity, and v) human talent.</w:t>
      </w:r>
    </w:p>
    <w:p>
      <w:pPr>
        <w:spacing w:after="0" w:line="161" w:lineRule="exact"/>
        <w:rPr>
          <w:rFonts w:ascii="Arial" w:cs="Arial" w:eastAsia="Arial" w:hAnsi="Arial"/>
          <w:sz w:val="16"/>
          <w:szCs w:val="16"/>
          <w:color w:val="auto"/>
        </w:rPr>
      </w:pPr>
    </w:p>
    <w:p>
      <w:pPr>
        <w:ind w:left="584" w:hanging="295"/>
        <w:spacing w:after="0"/>
        <w:tabs>
          <w:tab w:leader="none" w:pos="584"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Internal Audit Division and Corporate Ethics and Compliance Division -</w:t>
      </w:r>
    </w:p>
    <w:p>
      <w:pPr>
        <w:spacing w:after="0" w:line="177" w:lineRule="exact"/>
        <w:rPr>
          <w:rFonts w:ascii="Arial" w:cs="Arial" w:eastAsia="Arial" w:hAnsi="Arial"/>
          <w:sz w:val="16"/>
          <w:szCs w:val="16"/>
          <w:color w:val="auto"/>
        </w:rPr>
      </w:pPr>
    </w:p>
    <w:p>
      <w:pPr>
        <w:ind w:left="584" w:right="20"/>
        <w:spacing w:after="0" w:line="245" w:lineRule="auto"/>
        <w:rPr>
          <w:rFonts w:ascii="Arial" w:cs="Arial" w:eastAsia="Arial" w:hAnsi="Arial"/>
          <w:sz w:val="16"/>
          <w:szCs w:val="16"/>
          <w:color w:val="auto"/>
        </w:rPr>
      </w:pPr>
      <w:r>
        <w:rPr>
          <w:rFonts w:ascii="Arial" w:cs="Arial" w:eastAsia="Arial" w:hAnsi="Arial"/>
          <w:sz w:val="16"/>
          <w:szCs w:val="16"/>
          <w:color w:val="auto"/>
        </w:rPr>
        <w:t>The Internal Audit Division is responsible for continuously monitoring the effectiveness and efficiency of the Group’s risk management, control and governance processes, verifying compliance with regulations, policies, objectives and guidelines set by the Board of Directors, providing agile and timely assurance, advice and analysis based on risks and data. On the other hand, it evaluates sufficiency and integration level of Group’s database and information systems. Finally, it ensures that independence is maintained between the functions of the risk management and business units, for each of the Group’s companies.</w:t>
      </w:r>
    </w:p>
    <w:p>
      <w:pPr>
        <w:spacing w:after="0" w:line="146" w:lineRule="exact"/>
        <w:rPr>
          <w:rFonts w:ascii="Arial" w:cs="Arial" w:eastAsia="Arial" w:hAnsi="Arial"/>
          <w:sz w:val="16"/>
          <w:szCs w:val="16"/>
          <w:color w:val="auto"/>
        </w:rPr>
      </w:pPr>
    </w:p>
    <w:p>
      <w:pPr>
        <w:ind w:left="584" w:right="220"/>
        <w:spacing w:after="0" w:line="274" w:lineRule="auto"/>
        <w:rPr>
          <w:rFonts w:ascii="Arial" w:cs="Arial" w:eastAsia="Arial" w:hAnsi="Arial"/>
          <w:sz w:val="16"/>
          <w:szCs w:val="16"/>
          <w:color w:val="auto"/>
        </w:rPr>
      </w:pPr>
      <w:r>
        <w:rPr>
          <w:rFonts w:ascii="Arial" w:cs="Arial" w:eastAsia="Arial" w:hAnsi="Arial"/>
          <w:sz w:val="16"/>
          <w:szCs w:val="16"/>
          <w:color w:val="auto"/>
        </w:rPr>
        <w:t>The Corporate Compliance and Ethics Division reports to the Board and is responsible for providing corporate policies to ensure that Group companies adequately comply with regulations that specified them, and the guidelines established in Credicorp’s Code of Ethics.</w:t>
      </w:r>
    </w:p>
    <w:p>
      <w:pPr>
        <w:spacing w:after="0" w:line="122" w:lineRule="exact"/>
        <w:rPr>
          <w:rFonts w:ascii="Arial" w:cs="Arial" w:eastAsia="Arial" w:hAnsi="Arial"/>
          <w:sz w:val="16"/>
          <w:szCs w:val="16"/>
          <w:color w:val="auto"/>
        </w:rPr>
      </w:pPr>
    </w:p>
    <w:p>
      <w:pPr>
        <w:ind w:left="584" w:hanging="295"/>
        <w:spacing w:after="0"/>
        <w:tabs>
          <w:tab w:leader="none" w:pos="584"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Audit Committee -</w:t>
      </w:r>
    </w:p>
    <w:p>
      <w:pPr>
        <w:spacing w:after="0" w:line="177" w:lineRule="exact"/>
        <w:rPr>
          <w:rFonts w:ascii="Arial" w:cs="Arial" w:eastAsia="Arial" w:hAnsi="Arial"/>
          <w:sz w:val="16"/>
          <w:szCs w:val="16"/>
          <w:color w:val="auto"/>
        </w:rPr>
      </w:pPr>
    </w:p>
    <w:p>
      <w:pPr>
        <w:jc w:val="both"/>
        <w:ind w:left="584"/>
        <w:spacing w:after="0" w:line="242" w:lineRule="auto"/>
        <w:rPr>
          <w:rFonts w:ascii="Arial" w:cs="Arial" w:eastAsia="Arial" w:hAnsi="Arial"/>
          <w:sz w:val="16"/>
          <w:szCs w:val="16"/>
          <w:color w:val="auto"/>
        </w:rPr>
      </w:pPr>
      <w:r>
        <w:rPr>
          <w:rFonts w:ascii="Arial" w:cs="Arial" w:eastAsia="Arial" w:hAnsi="Arial"/>
          <w:sz w:val="16"/>
          <w:szCs w:val="16"/>
          <w:color w:val="auto"/>
        </w:rPr>
        <w:t>The Audit Committee, composed of three independent directors, oversees the Group’s financial reporting process and financial information system, with the purpose of ensuring that: (i) Management establishes and maintains an adequate system of internal control, particularly internal controls over financial reporting. (ii) Appropriate procedures are in place to enable the objective and periodic evaluation of the Group’s internal control system. (iii) The external auditors review the accounting and financial policies applied in the preparation of the Group’s consolidated financial statements. In addition, the Audit Committee facilitates effective communication among the external auditors, the Group’s senior management, BCP’s Internal Audit Division, responsible for conducting Credicorp’s internal audit activities and Credicorp’s Board of Directors.</w:t>
      </w:r>
    </w:p>
    <w:p>
      <w:pPr>
        <w:spacing w:after="0" w:line="148" w:lineRule="exact"/>
        <w:rPr>
          <w:rFonts w:ascii="Arial" w:cs="Arial" w:eastAsia="Arial" w:hAnsi="Arial"/>
          <w:sz w:val="16"/>
          <w:szCs w:val="16"/>
          <w:color w:val="auto"/>
        </w:rPr>
      </w:pPr>
    </w:p>
    <w:p>
      <w:pPr>
        <w:ind w:left="284" w:hanging="284"/>
        <w:spacing w:after="0"/>
        <w:tabs>
          <w:tab w:leader="none" w:pos="28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Risk measurement and reporting systems -</w:t>
      </w:r>
    </w:p>
    <w:p>
      <w:pPr>
        <w:spacing w:after="0" w:line="177" w:lineRule="exact"/>
        <w:rPr>
          <w:rFonts w:ascii="Arial" w:cs="Arial" w:eastAsia="Arial" w:hAnsi="Arial"/>
          <w:sz w:val="16"/>
          <w:szCs w:val="16"/>
          <w:color w:val="auto"/>
        </w:rPr>
      </w:pPr>
    </w:p>
    <w:p>
      <w:pPr>
        <w:ind w:left="284" w:right="40"/>
        <w:spacing w:after="0" w:line="255" w:lineRule="auto"/>
        <w:rPr>
          <w:rFonts w:ascii="Arial" w:cs="Arial" w:eastAsia="Arial" w:hAnsi="Arial"/>
          <w:sz w:val="16"/>
          <w:szCs w:val="16"/>
          <w:color w:val="auto"/>
        </w:rPr>
      </w:pPr>
      <w:r>
        <w:rPr>
          <w:rFonts w:ascii="Arial" w:cs="Arial" w:eastAsia="Arial" w:hAnsi="Arial"/>
          <w:sz w:val="16"/>
          <w:szCs w:val="16"/>
          <w:color w:val="auto"/>
        </w:rPr>
        <w:t>The risk is measured according to models and methodologies developed for the management of each type of risk. Risk reports allow monitoring, at both aggregated and detailed levels, the different types of risks of each company which is exposed. The system provides the facility to meet the appetite review needs by risk requested by the committees and areas described above; as well as comply with regulatory requirements.</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Risk mitigation -</w:t>
      </w:r>
    </w:p>
    <w:p>
      <w:pPr>
        <w:spacing w:after="0" w:line="177" w:lineRule="exact"/>
        <w:rPr>
          <w:rFonts w:ascii="Arial" w:cs="Arial" w:eastAsia="Arial" w:hAnsi="Arial"/>
          <w:sz w:val="16"/>
          <w:szCs w:val="16"/>
          <w:color w:val="auto"/>
        </w:rPr>
      </w:pPr>
    </w:p>
    <w:p>
      <w:pPr>
        <w:ind w:left="284" w:right="260"/>
        <w:spacing w:after="0" w:line="274" w:lineRule="auto"/>
        <w:rPr>
          <w:rFonts w:ascii="Arial" w:cs="Arial" w:eastAsia="Arial" w:hAnsi="Arial"/>
          <w:sz w:val="16"/>
          <w:szCs w:val="16"/>
          <w:color w:val="auto"/>
        </w:rPr>
      </w:pPr>
      <w:r>
        <w:rPr>
          <w:rFonts w:ascii="Arial" w:cs="Arial" w:eastAsia="Arial" w:hAnsi="Arial"/>
          <w:sz w:val="16"/>
          <w:szCs w:val="16"/>
          <w:color w:val="auto"/>
        </w:rPr>
        <w:t>Depending on the type of risk, mitigating instruments are used to reduce its exposure, such as guarantees, derivatives, controls and insurance, among others. Furthermore, it has policies linked to risk appetite and established procedures for each type of risk.</w:t>
      </w:r>
    </w:p>
    <w:p>
      <w:pPr>
        <w:spacing w:after="0" w:line="12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The Group actively uses guarantees to reduce its credit risks.</w:t>
      </w:r>
    </w:p>
    <w:p>
      <w:pPr>
        <w:spacing w:after="0" w:line="334" w:lineRule="exact"/>
        <w:rPr>
          <w:rFonts w:ascii="Arial" w:cs="Arial" w:eastAsia="Arial" w:hAnsi="Arial"/>
          <w:sz w:val="16"/>
          <w:szCs w:val="16"/>
          <w:color w:val="auto"/>
        </w:rPr>
      </w:pPr>
    </w:p>
    <w:p>
      <w:pPr>
        <w:ind w:left="4904" w:hanging="88"/>
        <w:spacing w:after="0"/>
        <w:tabs>
          <w:tab w:leader="none" w:pos="4904" w:val="left"/>
        </w:tabs>
        <w:numPr>
          <w:ilvl w:val="3"/>
          <w:numId w:val="162"/>
        </w:numPr>
        <w:rPr>
          <w:rFonts w:ascii="Arial" w:cs="Arial" w:eastAsia="Arial" w:hAnsi="Arial"/>
          <w:sz w:val="16"/>
          <w:szCs w:val="16"/>
          <w:color w:val="auto"/>
        </w:rPr>
      </w:pPr>
      <w:r>
        <w:rPr>
          <w:rFonts w:ascii="Arial" w:cs="Arial" w:eastAsia="Arial" w:hAnsi="Arial"/>
          <w:sz w:val="16"/>
          <w:szCs w:val="16"/>
          <w:color w:val="auto"/>
        </w:rPr>
        <w:t>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304" w:right="319" w:bottom="1440" w:gutter="0" w:footer="0" w:header="0"/>
        </w:sectPr>
      </w:pPr>
    </w:p>
    <w:bookmarkStart w:id="138" w:name="page139"/>
    <w:bookmarkEnd w:id="138"/>
    <w:p>
      <w:pPr>
        <w:ind w:left="284" w:hanging="284"/>
        <w:spacing w:after="0"/>
        <w:tabs>
          <w:tab w:leader="none" w:pos="28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Risk appetite -</w:t>
      </w:r>
    </w:p>
    <w:p>
      <w:pPr>
        <w:spacing w:after="0" w:line="177" w:lineRule="exact"/>
        <w:rPr>
          <w:rFonts w:ascii="Arial" w:cs="Arial" w:eastAsia="Arial" w:hAnsi="Arial"/>
          <w:sz w:val="16"/>
          <w:szCs w:val="16"/>
          <w:color w:val="auto"/>
        </w:rPr>
      </w:pPr>
    </w:p>
    <w:p>
      <w:pPr>
        <w:ind w:left="284" w:right="140"/>
        <w:spacing w:after="0" w:line="255" w:lineRule="auto"/>
        <w:rPr>
          <w:rFonts w:ascii="Arial" w:cs="Arial" w:eastAsia="Arial" w:hAnsi="Arial"/>
          <w:sz w:val="16"/>
          <w:szCs w:val="16"/>
          <w:color w:val="auto"/>
        </w:rPr>
      </w:pPr>
      <w:r>
        <w:rPr>
          <w:rFonts w:ascii="Arial" w:cs="Arial" w:eastAsia="Arial" w:hAnsi="Arial"/>
          <w:sz w:val="16"/>
          <w:szCs w:val="16"/>
          <w:color w:val="auto"/>
        </w:rPr>
        <w:t>Based on corporate risk management, Grupo Crédito’s Board of Directors annually approves the risk appetite framework to define the maximum level of risk that the organization is willing to take as seeks its strategic and financial objectives, maintaining a corporate vision in individual decisions of each entity. This Risk Appetite framework is based on “core” and specific metrics:</w:t>
      </w:r>
    </w:p>
    <w:p>
      <w:pPr>
        <w:spacing w:after="0" w:line="137" w:lineRule="exact"/>
        <w:rPr>
          <w:rFonts w:ascii="Arial" w:cs="Arial" w:eastAsia="Arial" w:hAnsi="Arial"/>
          <w:sz w:val="16"/>
          <w:szCs w:val="16"/>
          <w:color w:val="auto"/>
        </w:rPr>
      </w:pPr>
    </w:p>
    <w:p>
      <w:pPr>
        <w:ind w:left="284"/>
        <w:spacing w:after="0" w:line="274" w:lineRule="auto"/>
        <w:rPr>
          <w:rFonts w:ascii="Arial" w:cs="Arial" w:eastAsia="Arial" w:hAnsi="Arial"/>
          <w:sz w:val="16"/>
          <w:szCs w:val="16"/>
          <w:color w:val="auto"/>
        </w:rPr>
      </w:pPr>
      <w:r>
        <w:rPr>
          <w:rFonts w:ascii="Arial" w:cs="Arial" w:eastAsia="Arial" w:hAnsi="Arial"/>
          <w:sz w:val="16"/>
          <w:szCs w:val="16"/>
          <w:color w:val="auto"/>
        </w:rPr>
        <w:t>Core metrics are intended to preserve the organization’s strategic pillars, defined as solvency, liquidity, profit and growth, income stability and balance sheet structure.</w:t>
      </w:r>
    </w:p>
    <w:p>
      <w:pPr>
        <w:spacing w:after="0" w:line="122" w:lineRule="exact"/>
        <w:rPr>
          <w:rFonts w:ascii="Arial" w:cs="Arial" w:eastAsia="Arial" w:hAnsi="Arial"/>
          <w:sz w:val="16"/>
          <w:szCs w:val="16"/>
          <w:color w:val="auto"/>
        </w:rPr>
      </w:pPr>
    </w:p>
    <w:p>
      <w:pPr>
        <w:ind w:left="284" w:right="80"/>
        <w:spacing w:after="0" w:line="255" w:lineRule="auto"/>
        <w:rPr>
          <w:rFonts w:ascii="Arial" w:cs="Arial" w:eastAsia="Arial" w:hAnsi="Arial"/>
          <w:sz w:val="16"/>
          <w:szCs w:val="16"/>
          <w:color w:val="auto"/>
        </w:rPr>
      </w:pPr>
      <w:r>
        <w:rPr>
          <w:rFonts w:ascii="Arial" w:cs="Arial" w:eastAsia="Arial" w:hAnsi="Arial"/>
          <w:sz w:val="16"/>
          <w:szCs w:val="16"/>
          <w:color w:val="auto"/>
        </w:rPr>
        <w:t>Specific metrics objectives are intended to monitor on a qualitative and quantitative basis the various risks to which the Group is exposed, as well as defining a tolerance threshold of each of those risks, so the risk profile set by the Board is preserved and any risk focus is anticipated on a more granular basis. These metrics are related to credit risk, market risk and cybersecurity risk.</w:t>
      </w:r>
    </w:p>
    <w:p>
      <w:pPr>
        <w:spacing w:after="0" w:line="13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Risk appetite is measured based on the following guidelines:</w:t>
      </w:r>
    </w:p>
    <w:p>
      <w:pPr>
        <w:spacing w:after="0" w:line="177" w:lineRule="exact"/>
        <w:rPr>
          <w:rFonts w:ascii="Arial" w:cs="Arial" w:eastAsia="Arial" w:hAnsi="Arial"/>
          <w:sz w:val="16"/>
          <w:szCs w:val="16"/>
          <w:color w:val="auto"/>
        </w:rPr>
      </w:pPr>
    </w:p>
    <w:p>
      <w:pPr>
        <w:ind w:left="584" w:hanging="295"/>
        <w:spacing w:after="0"/>
        <w:tabs>
          <w:tab w:leader="none" w:pos="58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Risk appetite statement: Establishes explicit general principles and the qualitative declarations which complement the risk strategy.</w:t>
      </w:r>
    </w:p>
    <w:p>
      <w:pPr>
        <w:spacing w:after="0" w:line="177" w:lineRule="exact"/>
        <w:rPr>
          <w:rFonts w:ascii="Arial" w:cs="Arial" w:eastAsia="Arial" w:hAnsi="Arial"/>
          <w:sz w:val="16"/>
          <w:szCs w:val="16"/>
          <w:color w:val="auto"/>
        </w:rPr>
      </w:pPr>
    </w:p>
    <w:p>
      <w:pPr>
        <w:ind w:left="584" w:hanging="295"/>
        <w:spacing w:after="0"/>
        <w:tabs>
          <w:tab w:leader="none" w:pos="58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Metrics scorecards: These are used to define the levels of risk exposure in the different strategic pillars.</w:t>
      </w:r>
    </w:p>
    <w:p>
      <w:pPr>
        <w:spacing w:after="0" w:line="177" w:lineRule="exact"/>
        <w:rPr>
          <w:rFonts w:ascii="Arial" w:cs="Arial" w:eastAsia="Arial" w:hAnsi="Arial"/>
          <w:sz w:val="16"/>
          <w:szCs w:val="16"/>
          <w:color w:val="auto"/>
        </w:rPr>
      </w:pPr>
    </w:p>
    <w:p>
      <w:pPr>
        <w:ind w:left="584" w:right="20" w:hanging="295"/>
        <w:spacing w:after="0" w:line="274" w:lineRule="auto"/>
        <w:tabs>
          <w:tab w:leader="none" w:pos="58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Limits: Allows control over the risk-taking process within the tolerance threshold established by the Board. They also provide accountability for the risk-taking process and define guidelines regarding the target risk profile.</w:t>
      </w:r>
    </w:p>
    <w:p>
      <w:pPr>
        <w:spacing w:after="0" w:line="122" w:lineRule="exact"/>
        <w:rPr>
          <w:rFonts w:ascii="Arial" w:cs="Arial" w:eastAsia="Arial" w:hAnsi="Arial"/>
          <w:sz w:val="16"/>
          <w:szCs w:val="16"/>
          <w:color w:val="auto"/>
        </w:rPr>
      </w:pPr>
    </w:p>
    <w:p>
      <w:pPr>
        <w:ind w:left="584" w:right="480" w:hanging="295"/>
        <w:spacing w:after="0" w:line="274" w:lineRule="auto"/>
        <w:tabs>
          <w:tab w:leader="none" w:pos="58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Government scheme: Seeks to guarantee compliance of the framework through different roles and responsibilities assigned to the units involved.</w:t>
      </w:r>
    </w:p>
    <w:p>
      <w:pPr>
        <w:spacing w:after="0" w:line="123" w:lineRule="exact"/>
        <w:rPr>
          <w:sz w:val="20"/>
          <w:szCs w:val="20"/>
          <w:color w:val="auto"/>
        </w:rPr>
      </w:pPr>
    </w:p>
    <w:p>
      <w:pPr>
        <w:ind w:left="284" w:right="280"/>
        <w:spacing w:after="0" w:line="274" w:lineRule="auto"/>
        <w:rPr>
          <w:sz w:val="20"/>
          <w:szCs w:val="20"/>
          <w:color w:val="auto"/>
        </w:rPr>
      </w:pPr>
      <w:r>
        <w:rPr>
          <w:rFonts w:ascii="Arial" w:cs="Arial" w:eastAsia="Arial" w:hAnsi="Arial"/>
          <w:sz w:val="16"/>
          <w:szCs w:val="16"/>
          <w:color w:val="auto"/>
        </w:rPr>
        <w:t>The appetite is integrated into the processes of strategic and capital guidelines, as well as in the definition of the annual budget, facilitating the strategic decision making of the organization.</w:t>
      </w:r>
    </w:p>
    <w:p>
      <w:pPr>
        <w:spacing w:after="0" w:line="123" w:lineRule="exact"/>
        <w:rPr>
          <w:sz w:val="20"/>
          <w:szCs w:val="20"/>
          <w:color w:val="auto"/>
        </w:rPr>
      </w:pPr>
    </w:p>
    <w:p>
      <w:pPr>
        <w:ind w:left="284" w:hanging="284"/>
        <w:spacing w:after="0"/>
        <w:tabs>
          <w:tab w:leader="none" w:pos="28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Risk concentration -</w:t>
      </w:r>
    </w:p>
    <w:p>
      <w:pPr>
        <w:spacing w:after="0" w:line="177" w:lineRule="exact"/>
        <w:rPr>
          <w:rFonts w:ascii="Arial" w:cs="Arial" w:eastAsia="Arial" w:hAnsi="Arial"/>
          <w:sz w:val="16"/>
          <w:szCs w:val="16"/>
          <w:color w:val="auto"/>
        </w:rPr>
      </w:pPr>
    </w:p>
    <w:p>
      <w:pPr>
        <w:ind w:left="284" w:right="600"/>
        <w:spacing w:after="0" w:line="274" w:lineRule="auto"/>
        <w:rPr>
          <w:rFonts w:ascii="Arial" w:cs="Arial" w:eastAsia="Arial" w:hAnsi="Arial"/>
          <w:sz w:val="16"/>
          <w:szCs w:val="16"/>
          <w:color w:val="auto"/>
        </w:rPr>
      </w:pPr>
      <w:r>
        <w:rPr>
          <w:rFonts w:ascii="Arial" w:cs="Arial" w:eastAsia="Arial" w:hAnsi="Arial"/>
          <w:sz w:val="16"/>
          <w:szCs w:val="16"/>
          <w:color w:val="auto"/>
        </w:rPr>
        <w:t>Concentrations arise when a reduced and representative number of all of the counterparties of the Group are engaged in similar business activities, or activities in the same geographic region, or have similar economic and political conditions among others.</w:t>
      </w:r>
    </w:p>
    <w:p>
      <w:pPr>
        <w:spacing w:after="0" w:line="123" w:lineRule="exact"/>
        <w:rPr>
          <w:sz w:val="20"/>
          <w:szCs w:val="20"/>
          <w:color w:val="auto"/>
        </w:rPr>
      </w:pPr>
    </w:p>
    <w:p>
      <w:pPr>
        <w:ind w:left="284" w:right="360"/>
        <w:spacing w:after="0" w:line="274" w:lineRule="auto"/>
        <w:rPr>
          <w:sz w:val="20"/>
          <w:szCs w:val="20"/>
          <w:color w:val="auto"/>
        </w:rPr>
      </w:pPr>
      <w:r>
        <w:rPr>
          <w:rFonts w:ascii="Arial" w:cs="Arial" w:eastAsia="Arial" w:hAnsi="Arial"/>
          <w:sz w:val="16"/>
          <w:szCs w:val="16"/>
          <w:color w:val="auto"/>
        </w:rPr>
        <w:t>In order to avoid excessive concentrations of risk, the policies and procedures include specific guidelines and limits to guarantee a diversified portfolio</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30.1 Credit risk -</w:t>
      </w:r>
    </w:p>
    <w:p>
      <w:pPr>
        <w:spacing w:after="0" w:line="178" w:lineRule="exact"/>
        <w:rPr>
          <w:sz w:val="20"/>
          <w:szCs w:val="20"/>
          <w:color w:val="auto"/>
        </w:rPr>
      </w:pPr>
    </w:p>
    <w:p>
      <w:pPr>
        <w:ind w:left="584" w:right="200" w:hanging="295"/>
        <w:spacing w:after="0" w:line="274" w:lineRule="auto"/>
        <w:tabs>
          <w:tab w:leader="none" w:pos="58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Group takes on exposure to credit risk, which is the probability of suffering losses caused by debtors or counterparties failing to comply with payment obligations related to on- or off-balance-sheet exposures.</w:t>
      </w:r>
    </w:p>
    <w:p>
      <w:pPr>
        <w:spacing w:after="0" w:line="122" w:lineRule="exact"/>
        <w:rPr>
          <w:rFonts w:ascii="Arial" w:cs="Arial" w:eastAsia="Arial" w:hAnsi="Arial"/>
          <w:sz w:val="16"/>
          <w:szCs w:val="16"/>
          <w:color w:val="auto"/>
        </w:rPr>
      </w:pPr>
    </w:p>
    <w:p>
      <w:pPr>
        <w:ind w:left="584" w:right="20"/>
        <w:spacing w:after="0" w:line="245" w:lineRule="auto"/>
        <w:rPr>
          <w:rFonts w:ascii="Arial" w:cs="Arial" w:eastAsia="Arial" w:hAnsi="Arial"/>
          <w:sz w:val="16"/>
          <w:szCs w:val="16"/>
          <w:color w:val="auto"/>
        </w:rPr>
      </w:pPr>
      <w:r>
        <w:rPr>
          <w:rFonts w:ascii="Arial" w:cs="Arial" w:eastAsia="Arial" w:hAnsi="Arial"/>
          <w:sz w:val="16"/>
          <w:szCs w:val="16"/>
          <w:color w:val="auto"/>
        </w:rPr>
        <w:t>Credit risk is the most important risk for the Group’s business; therefore, Management carefully manages its exposure to credit risk. Credit exposures arise principally from lending activities that lead to direct loans; they also result from investment activities. There is also credit risk in off-balance sheet financial instruments, such as contingent credits (indirect loans and due from customers on banker’s acceptances), which expose Credicorp to risks similar to direct loans. Likewise, credit risk arises from derivative financial instruments that present positive fair values. Finally, all exposure to credit risk (direct or indirect) is mitigated by the control processes and policies.</w:t>
      </w:r>
    </w:p>
    <w:p>
      <w:pPr>
        <w:spacing w:after="0" w:line="146" w:lineRule="exact"/>
        <w:rPr>
          <w:rFonts w:ascii="Arial" w:cs="Arial" w:eastAsia="Arial" w:hAnsi="Arial"/>
          <w:sz w:val="16"/>
          <w:szCs w:val="16"/>
          <w:color w:val="auto"/>
        </w:rPr>
      </w:pPr>
    </w:p>
    <w:p>
      <w:pPr>
        <w:ind w:left="584" w:right="340"/>
        <w:spacing w:after="0" w:line="274" w:lineRule="auto"/>
        <w:rPr>
          <w:rFonts w:ascii="Arial" w:cs="Arial" w:eastAsia="Arial" w:hAnsi="Arial"/>
          <w:sz w:val="16"/>
          <w:szCs w:val="16"/>
          <w:color w:val="auto"/>
        </w:rPr>
      </w:pPr>
      <w:r>
        <w:rPr>
          <w:rFonts w:ascii="Arial" w:cs="Arial" w:eastAsia="Arial" w:hAnsi="Arial"/>
          <w:sz w:val="16"/>
          <w:szCs w:val="16"/>
          <w:color w:val="auto"/>
        </w:rPr>
        <w:t>As part of managing this type of risk, provisions for impairment of its portfolio are assigned as of the date of the consolidated statement of financial position.</w:t>
      </w:r>
    </w:p>
    <w:p>
      <w:pPr>
        <w:spacing w:after="0" w:line="279" w:lineRule="exact"/>
        <w:rPr>
          <w:rFonts w:ascii="Arial" w:cs="Arial" w:eastAsia="Arial" w:hAnsi="Arial"/>
          <w:sz w:val="16"/>
          <w:szCs w:val="16"/>
          <w:color w:val="auto"/>
        </w:rPr>
      </w:pPr>
    </w:p>
    <w:p>
      <w:pPr>
        <w:ind w:left="4904" w:hanging="88"/>
        <w:spacing w:after="0"/>
        <w:tabs>
          <w:tab w:leader="none" w:pos="4904" w:val="left"/>
        </w:tabs>
        <w:numPr>
          <w:ilvl w:val="1"/>
          <w:numId w:val="165"/>
        </w:numPr>
        <w:rPr>
          <w:rFonts w:ascii="Arial" w:cs="Arial" w:eastAsia="Arial" w:hAnsi="Arial"/>
          <w:sz w:val="16"/>
          <w:szCs w:val="16"/>
          <w:color w:val="auto"/>
        </w:rPr>
      </w:pPr>
      <w:r>
        <w:rPr>
          <w:rFonts w:ascii="Arial" w:cs="Arial" w:eastAsia="Arial" w:hAnsi="Arial"/>
          <w:sz w:val="16"/>
          <w:szCs w:val="16"/>
          <w:color w:val="auto"/>
        </w:rPr>
        <w:t>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04" w:right="339" w:bottom="1440" w:gutter="0" w:footer="0" w:header="0"/>
        </w:sectPr>
      </w:pPr>
    </w:p>
    <w:bookmarkStart w:id="139" w:name="page140"/>
    <w:bookmarkEnd w:id="139"/>
    <w:p>
      <w:pPr>
        <w:ind w:left="40" w:right="460"/>
        <w:spacing w:after="0" w:line="255" w:lineRule="auto"/>
        <w:rPr>
          <w:sz w:val="20"/>
          <w:szCs w:val="20"/>
          <w:color w:val="auto"/>
        </w:rPr>
      </w:pPr>
      <w:r>
        <w:rPr>
          <w:rFonts w:ascii="Arial" w:cs="Arial" w:eastAsia="Arial" w:hAnsi="Arial"/>
          <w:sz w:val="16"/>
          <w:szCs w:val="16"/>
          <w:color w:val="auto"/>
        </w:rPr>
        <w:t>Credit risk levels are defined based on risk exposure limits, which are frequently monitored. Said limits are established in relation to one borrower or group of borrowers, geographical and industry segments. Furthermore, the risk limits by product, industry sector and by geographical segment are approved by the Risk Committee of Credicorp.</w:t>
      </w:r>
    </w:p>
    <w:p>
      <w:pPr>
        <w:spacing w:after="0" w:line="137" w:lineRule="exact"/>
        <w:rPr>
          <w:sz w:val="20"/>
          <w:szCs w:val="20"/>
          <w:color w:val="auto"/>
        </w:rPr>
      </w:pPr>
    </w:p>
    <w:p>
      <w:pPr>
        <w:ind w:left="40" w:right="540"/>
        <w:spacing w:after="0" w:line="274" w:lineRule="auto"/>
        <w:rPr>
          <w:sz w:val="20"/>
          <w:szCs w:val="20"/>
          <w:color w:val="auto"/>
        </w:rPr>
      </w:pPr>
      <w:r>
        <w:rPr>
          <w:rFonts w:ascii="Arial" w:cs="Arial" w:eastAsia="Arial" w:hAnsi="Arial"/>
          <w:sz w:val="16"/>
          <w:szCs w:val="16"/>
          <w:color w:val="auto"/>
        </w:rPr>
        <w:t>Exposure to credit risk is managed through regular analysis of the ability of debtors and potential debtors to meet interest and principal repayment obligations and by changing the credit limits when it is appropriate. Other specific control measures are outlined below:</w:t>
      </w:r>
    </w:p>
    <w:p>
      <w:pPr>
        <w:spacing w:after="0" w:line="123" w:lineRule="exact"/>
        <w:rPr>
          <w:sz w:val="20"/>
          <w:szCs w:val="20"/>
          <w:color w:val="auto"/>
        </w:rPr>
      </w:pPr>
    </w:p>
    <w:p>
      <w:pPr>
        <w:ind w:left="320" w:hanging="285"/>
        <w:spacing w:after="0"/>
        <w:tabs>
          <w:tab w:leader="none" w:pos="3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Collateral -</w:t>
      </w:r>
    </w:p>
    <w:p>
      <w:pPr>
        <w:spacing w:after="0" w:line="177" w:lineRule="exact"/>
        <w:rPr>
          <w:rFonts w:ascii="Arial" w:cs="Arial" w:eastAsia="Arial" w:hAnsi="Arial"/>
          <w:sz w:val="16"/>
          <w:szCs w:val="16"/>
          <w:color w:val="auto"/>
        </w:rPr>
      </w:pPr>
    </w:p>
    <w:p>
      <w:pPr>
        <w:ind w:left="320" w:right="40"/>
        <w:spacing w:after="0" w:line="255" w:lineRule="auto"/>
        <w:rPr>
          <w:rFonts w:ascii="Arial" w:cs="Arial" w:eastAsia="Arial" w:hAnsi="Arial"/>
          <w:sz w:val="16"/>
          <w:szCs w:val="16"/>
          <w:color w:val="auto"/>
        </w:rPr>
      </w:pPr>
      <w:r>
        <w:rPr>
          <w:rFonts w:ascii="Arial" w:cs="Arial" w:eastAsia="Arial" w:hAnsi="Arial"/>
          <w:sz w:val="16"/>
          <w:szCs w:val="16"/>
          <w:color w:val="auto"/>
        </w:rPr>
        <w:t>The Group employs a range of policies and practices to mitigate credit risk. The most traditional of these is collateralization which is common practice. The Group implements guidelines on the acceptability of specific classes of collateral or credit risk mitigation. The main types of collateral obtained are as follows:</w:t>
      </w:r>
    </w:p>
    <w:p>
      <w:pPr>
        <w:spacing w:after="0" w:line="137" w:lineRule="exact"/>
        <w:rPr>
          <w:rFonts w:ascii="Arial" w:cs="Arial" w:eastAsia="Arial" w:hAnsi="Arial"/>
          <w:sz w:val="16"/>
          <w:szCs w:val="16"/>
          <w:color w:val="auto"/>
        </w:rPr>
      </w:pPr>
    </w:p>
    <w:p>
      <w:pPr>
        <w:ind w:left="620" w:right="300" w:hanging="296"/>
        <w:spacing w:after="0" w:line="274" w:lineRule="auto"/>
        <w:tabs>
          <w:tab w:leader="none" w:pos="6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For loans and advances, collateral includes, among others, mortgages on residential properties; liens on business assets such as plants, inventory and accounts receivable; and liens on financial instruments such as debt securities and equity securities.</w:t>
      </w:r>
    </w:p>
    <w:p>
      <w:pPr>
        <w:spacing w:after="0" w:line="122" w:lineRule="exact"/>
        <w:rPr>
          <w:rFonts w:ascii="Arial" w:cs="Arial" w:eastAsia="Arial" w:hAnsi="Arial"/>
          <w:sz w:val="16"/>
          <w:szCs w:val="16"/>
          <w:color w:val="auto"/>
        </w:rPr>
      </w:pPr>
    </w:p>
    <w:p>
      <w:pPr>
        <w:ind w:left="620" w:right="180" w:hanging="296"/>
        <w:spacing w:after="0" w:line="255" w:lineRule="auto"/>
        <w:tabs>
          <w:tab w:leader="none" w:pos="6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Long-term loans and financing to corporate entities are generally guaranteed. Loans to small and micro business generally have no collateral. In order to minimize credit loss, the Group will seek additional collateral from the counterparty as soon as impairment indicators arise.</w:t>
      </w:r>
    </w:p>
    <w:p>
      <w:pPr>
        <w:spacing w:after="0" w:line="137" w:lineRule="exact"/>
        <w:rPr>
          <w:rFonts w:ascii="Arial" w:cs="Arial" w:eastAsia="Arial" w:hAnsi="Arial"/>
          <w:sz w:val="16"/>
          <w:szCs w:val="16"/>
          <w:color w:val="auto"/>
        </w:rPr>
      </w:pPr>
    </w:p>
    <w:p>
      <w:pPr>
        <w:ind w:left="620" w:hanging="296"/>
        <w:spacing w:after="0"/>
        <w:tabs>
          <w:tab w:leader="none" w:pos="6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For repurchase agreements and securities lending, collateral consists of fixed income instruments, cash and loans.</w:t>
      </w:r>
    </w:p>
    <w:p>
      <w:pPr>
        <w:spacing w:after="0" w:line="178" w:lineRule="exact"/>
        <w:rPr>
          <w:sz w:val="20"/>
          <w:szCs w:val="20"/>
          <w:color w:val="auto"/>
        </w:rPr>
      </w:pPr>
    </w:p>
    <w:p>
      <w:pPr>
        <w:jc w:val="both"/>
        <w:ind w:left="320" w:right="20"/>
        <w:spacing w:after="0" w:line="255" w:lineRule="auto"/>
        <w:rPr>
          <w:sz w:val="20"/>
          <w:szCs w:val="20"/>
          <w:color w:val="auto"/>
        </w:rPr>
      </w:pPr>
      <w:r>
        <w:rPr>
          <w:rFonts w:ascii="Arial" w:cs="Arial" w:eastAsia="Arial" w:hAnsi="Arial"/>
          <w:sz w:val="16"/>
          <w:szCs w:val="16"/>
          <w:color w:val="auto"/>
        </w:rPr>
        <w:t>Collateral held as security for financial assets other than loans is determined by the nature of the instrument. Debt securities, treasury and other eligible bills are generally unsecured, except for assets backed securities and similar instruments, which are secured by portfolios of financial instruments.</w:t>
      </w:r>
    </w:p>
    <w:p>
      <w:pPr>
        <w:spacing w:after="0" w:line="137"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As part of the Group’s policies, the recovered assets are sold in seniority order. The proceeds of the sale are used to reduce or amortize the outstanding debt. In general, the Group doesn’t use recovered assets for its operational purposes.</w:t>
      </w:r>
    </w:p>
    <w:p>
      <w:pPr>
        <w:spacing w:after="0" w:line="144" w:lineRule="exact"/>
        <w:rPr>
          <w:sz w:val="20"/>
          <w:szCs w:val="20"/>
          <w:color w:val="auto"/>
        </w:rPr>
      </w:pPr>
    </w:p>
    <w:p>
      <w:pPr>
        <w:ind w:left="320" w:hanging="285"/>
        <w:spacing w:after="0"/>
        <w:tabs>
          <w:tab w:leader="none" w:pos="3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Derivatives -</w:t>
      </w:r>
    </w:p>
    <w:p>
      <w:pPr>
        <w:spacing w:after="0" w:line="177" w:lineRule="exact"/>
        <w:rPr>
          <w:rFonts w:ascii="Arial" w:cs="Arial" w:eastAsia="Arial" w:hAnsi="Arial"/>
          <w:sz w:val="16"/>
          <w:szCs w:val="16"/>
          <w:color w:val="auto"/>
        </w:rPr>
      </w:pPr>
    </w:p>
    <w:p>
      <w:pPr>
        <w:ind w:left="320" w:right="80"/>
        <w:spacing w:after="0" w:line="245" w:lineRule="auto"/>
        <w:rPr>
          <w:rFonts w:ascii="Arial" w:cs="Arial" w:eastAsia="Arial" w:hAnsi="Arial"/>
          <w:sz w:val="16"/>
          <w:szCs w:val="16"/>
          <w:color w:val="auto"/>
        </w:rPr>
      </w:pPr>
      <w:r>
        <w:rPr>
          <w:rFonts w:ascii="Arial" w:cs="Arial" w:eastAsia="Arial" w:hAnsi="Arial"/>
          <w:sz w:val="16"/>
          <w:szCs w:val="16"/>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a portion of the total credit limits with customers, together with potential exposures from market movements. The credit risk of the derivative portfolio is reduced if the instrument is cleared through a clearing house.</w:t>
      </w:r>
    </w:p>
    <w:p>
      <w:pPr>
        <w:spacing w:after="0" w:line="303" w:lineRule="exact"/>
        <w:rPr>
          <w:rFonts w:ascii="Arial" w:cs="Arial" w:eastAsia="Arial" w:hAnsi="Arial"/>
          <w:sz w:val="16"/>
          <w:szCs w:val="16"/>
          <w:color w:val="auto"/>
        </w:rPr>
      </w:pPr>
    </w:p>
    <w:p>
      <w:pPr>
        <w:ind w:left="4360" w:hanging="88"/>
        <w:spacing w:after="0"/>
        <w:tabs>
          <w:tab w:leader="none" w:pos="436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39370</wp:posOffset>
            </wp:positionV>
            <wp:extent cx="714692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20"/>
          </w:cols>
          <w:pgMar w:left="1440" w:top="304" w:right="339" w:bottom="1440" w:gutter="0" w:footer="0" w:header="0"/>
        </w:sectPr>
      </w:pPr>
    </w:p>
    <w:bookmarkStart w:id="140" w:name="page141"/>
    <w:bookmarkEnd w:id="140"/>
    <w:p>
      <w:pPr>
        <w:ind w:left="575" w:hanging="285"/>
        <w:spacing w:after="0"/>
        <w:tabs>
          <w:tab w:leader="none" w:pos="57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Credit-related commitments -</w:t>
      </w:r>
    </w:p>
    <w:p>
      <w:pPr>
        <w:spacing w:after="0" w:line="177" w:lineRule="exact"/>
        <w:rPr>
          <w:rFonts w:ascii="Arial" w:cs="Arial" w:eastAsia="Arial" w:hAnsi="Arial"/>
          <w:sz w:val="16"/>
          <w:szCs w:val="16"/>
          <w:color w:val="auto"/>
        </w:rPr>
      </w:pPr>
    </w:p>
    <w:p>
      <w:pPr>
        <w:ind w:left="575"/>
        <w:spacing w:after="0" w:line="245" w:lineRule="auto"/>
        <w:rPr>
          <w:rFonts w:ascii="Arial" w:cs="Arial" w:eastAsia="Arial" w:hAnsi="Arial"/>
          <w:sz w:val="16"/>
          <w:szCs w:val="16"/>
          <w:color w:val="auto"/>
        </w:rPr>
      </w:pPr>
      <w:r>
        <w:rPr>
          <w:rFonts w:ascii="Arial" w:cs="Arial" w:eastAsia="Arial" w:hAnsi="Arial"/>
          <w:sz w:val="16"/>
          <w:szCs w:val="16"/>
          <w:color w:val="auto"/>
        </w:rPr>
        <w:t>The primary purpose of these instruments is to ensure that funds are available to a customer as required. Guarantees and letters of credit have the same credit risk as direct loans. Documentary and commercial letters of credit which are written undertakings by the Group on behalf of a customer authorizing a third party to draw drafts on the Group up to a stipulated amount under specific terms and conditions are collateralized by the underlying shipments of goods to which they relate and therefore have less risk than a direct loan. The Group has no mandatory commitments to extend credit.</w:t>
      </w:r>
    </w:p>
    <w:p>
      <w:pPr>
        <w:spacing w:after="0" w:line="146" w:lineRule="exact"/>
        <w:rPr>
          <w:rFonts w:ascii="Arial" w:cs="Arial" w:eastAsia="Arial" w:hAnsi="Arial"/>
          <w:sz w:val="16"/>
          <w:szCs w:val="16"/>
          <w:color w:val="auto"/>
        </w:rPr>
      </w:pPr>
    </w:p>
    <w:p>
      <w:pPr>
        <w:ind w:left="295" w:right="40" w:hanging="295"/>
        <w:spacing w:after="0" w:line="274" w:lineRule="auto"/>
        <w:tabs>
          <w:tab w:leader="none" w:pos="29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maximum exposure to credit risk as of December 31, 2025 and 2024, before the effect of mitigation through any collateral, is the carrying amount of each class of financial assets indicated in Notes 30.11(a), 30.11(b) and the contingent credits detailed in Note 18(a).</w:t>
      </w:r>
    </w:p>
    <w:p>
      <w:pPr>
        <w:spacing w:after="0" w:line="122" w:lineRule="exact"/>
        <w:rPr>
          <w:rFonts w:ascii="Arial" w:cs="Arial" w:eastAsia="Arial" w:hAnsi="Arial"/>
          <w:sz w:val="16"/>
          <w:szCs w:val="16"/>
          <w:color w:val="auto"/>
        </w:rPr>
      </w:pPr>
    </w:p>
    <w:p>
      <w:pPr>
        <w:ind w:left="295" w:hanging="295"/>
        <w:spacing w:after="0"/>
        <w:tabs>
          <w:tab w:leader="none" w:pos="29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Credit risk management for loans -</w:t>
      </w:r>
    </w:p>
    <w:p>
      <w:pPr>
        <w:spacing w:after="0" w:line="177" w:lineRule="exact"/>
        <w:rPr>
          <w:rFonts w:ascii="Arial" w:cs="Arial" w:eastAsia="Arial" w:hAnsi="Arial"/>
          <w:sz w:val="16"/>
          <w:szCs w:val="16"/>
          <w:color w:val="auto"/>
        </w:rPr>
      </w:pPr>
    </w:p>
    <w:p>
      <w:pPr>
        <w:ind w:left="295" w:right="140"/>
        <w:spacing w:after="0" w:line="248" w:lineRule="auto"/>
        <w:rPr>
          <w:rFonts w:ascii="Arial" w:cs="Arial" w:eastAsia="Arial" w:hAnsi="Arial"/>
          <w:sz w:val="16"/>
          <w:szCs w:val="16"/>
          <w:color w:val="auto"/>
        </w:rPr>
      </w:pPr>
      <w:r>
        <w:rPr>
          <w:rFonts w:ascii="Arial" w:cs="Arial" w:eastAsia="Arial" w:hAnsi="Arial"/>
          <w:sz w:val="16"/>
          <w:szCs w:val="16"/>
          <w:color w:val="auto"/>
        </w:rPr>
        <w:t>Credit risk management is mainly based on the rating and scoring internal models of each company of the Group. In Credicorp, quantitative and qualitative analysis are made for each client, regarding their financial position, credit behavior in the financial system and the market in which they operate or are located. This analysis is carried out continuously to characterize the risk profile of each operation and client with a loan position in the Group.</w:t>
      </w:r>
    </w:p>
    <w:p>
      <w:pPr>
        <w:spacing w:after="0" w:line="144" w:lineRule="exact"/>
        <w:rPr>
          <w:rFonts w:ascii="Arial" w:cs="Arial" w:eastAsia="Arial" w:hAnsi="Arial"/>
          <w:sz w:val="16"/>
          <w:szCs w:val="16"/>
          <w:color w:val="auto"/>
        </w:rPr>
      </w:pPr>
    </w:p>
    <w:p>
      <w:pPr>
        <w:ind w:left="295" w:right="140"/>
        <w:spacing w:after="0" w:line="274" w:lineRule="auto"/>
        <w:rPr>
          <w:rFonts w:ascii="Arial" w:cs="Arial" w:eastAsia="Arial" w:hAnsi="Arial"/>
          <w:sz w:val="16"/>
          <w:szCs w:val="16"/>
          <w:color w:val="auto"/>
        </w:rPr>
      </w:pPr>
      <w:r>
        <w:rPr>
          <w:rFonts w:ascii="Arial" w:cs="Arial" w:eastAsia="Arial" w:hAnsi="Arial"/>
          <w:sz w:val="16"/>
          <w:szCs w:val="16"/>
          <w:color w:val="auto"/>
        </w:rPr>
        <w:t>Within the Group, loans are internally classified as past due based on three criteria: the number of days past due based on the contractually agreed due date, the subsidiary and the type of loan. The detail is shown below:</w:t>
      </w:r>
    </w:p>
    <w:p>
      <w:pPr>
        <w:spacing w:after="0" w:line="122"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   Banco de Crédito del Perú, Mibanco Perú and Solución Empresa Administradora Hipotecaria internally classify a loan as past due:</w:t>
      </w:r>
    </w:p>
    <w:p>
      <w:pPr>
        <w:spacing w:after="0" w:line="177" w:lineRule="exact"/>
        <w:rPr>
          <w:rFonts w:ascii="Arial" w:cs="Arial" w:eastAsia="Arial" w:hAnsi="Arial"/>
          <w:sz w:val="16"/>
          <w:szCs w:val="16"/>
          <w:color w:val="auto"/>
        </w:rPr>
      </w:pPr>
    </w:p>
    <w:p>
      <w:pPr>
        <w:ind w:left="875" w:hanging="296"/>
        <w:spacing w:after="0"/>
        <w:tabs>
          <w:tab w:leader="none" w:pos="875" w:val="left"/>
        </w:tabs>
        <w:numPr>
          <w:ilvl w:val="2"/>
          <w:numId w:val="169"/>
        </w:numPr>
        <w:rPr>
          <w:rFonts w:ascii="Arial" w:cs="Arial" w:eastAsia="Arial" w:hAnsi="Arial"/>
          <w:sz w:val="16"/>
          <w:szCs w:val="16"/>
          <w:color w:val="auto"/>
        </w:rPr>
      </w:pPr>
      <w:r>
        <w:rPr>
          <w:rFonts w:ascii="Arial" w:cs="Arial" w:eastAsia="Arial" w:hAnsi="Arial"/>
          <w:sz w:val="16"/>
          <w:szCs w:val="16"/>
          <w:color w:val="auto"/>
        </w:rPr>
        <w:t>For corporate, large and medium companies, when it has more than 15 days in arrears.</w:t>
      </w:r>
    </w:p>
    <w:p>
      <w:pPr>
        <w:spacing w:after="0" w:line="12" w:lineRule="exact"/>
        <w:rPr>
          <w:rFonts w:ascii="Arial" w:cs="Arial" w:eastAsia="Arial" w:hAnsi="Arial"/>
          <w:sz w:val="16"/>
          <w:szCs w:val="16"/>
          <w:color w:val="auto"/>
        </w:rPr>
      </w:pPr>
    </w:p>
    <w:p>
      <w:pPr>
        <w:ind w:left="875" w:hanging="296"/>
        <w:spacing w:after="0" w:line="236" w:lineRule="auto"/>
        <w:tabs>
          <w:tab w:leader="none" w:pos="875" w:val="left"/>
        </w:tabs>
        <w:numPr>
          <w:ilvl w:val="2"/>
          <w:numId w:val="169"/>
        </w:numPr>
        <w:rPr>
          <w:rFonts w:ascii="Arial" w:cs="Arial" w:eastAsia="Arial" w:hAnsi="Arial"/>
          <w:sz w:val="16"/>
          <w:szCs w:val="16"/>
          <w:color w:val="auto"/>
        </w:rPr>
      </w:pPr>
      <w:r>
        <w:rPr>
          <w:rFonts w:ascii="Arial" w:cs="Arial" w:eastAsia="Arial" w:hAnsi="Arial"/>
          <w:sz w:val="16"/>
          <w:szCs w:val="16"/>
          <w:color w:val="auto"/>
        </w:rPr>
        <w:t>For small and microbusiness when it has more than 30 days in arrears.</w:t>
      </w:r>
    </w:p>
    <w:p>
      <w:pPr>
        <w:ind w:left="875" w:hanging="296"/>
        <w:spacing w:after="0" w:line="236" w:lineRule="auto"/>
        <w:tabs>
          <w:tab w:leader="none" w:pos="875" w:val="left"/>
        </w:tabs>
        <w:numPr>
          <w:ilvl w:val="2"/>
          <w:numId w:val="169"/>
        </w:numPr>
        <w:rPr>
          <w:rFonts w:ascii="Arial" w:cs="Arial" w:eastAsia="Arial" w:hAnsi="Arial"/>
          <w:sz w:val="16"/>
          <w:szCs w:val="16"/>
          <w:color w:val="auto"/>
        </w:rPr>
      </w:pPr>
      <w:r>
        <w:rPr>
          <w:rFonts w:ascii="Arial" w:cs="Arial" w:eastAsia="Arial" w:hAnsi="Arial"/>
          <w:sz w:val="16"/>
          <w:szCs w:val="16"/>
          <w:color w:val="auto"/>
        </w:rPr>
        <w:t>For overdrafts when it has more than 30 days in arrears.</w:t>
      </w:r>
    </w:p>
    <w:p>
      <w:pPr>
        <w:ind w:left="875" w:right="120" w:hanging="296"/>
        <w:spacing w:after="0" w:line="253" w:lineRule="auto"/>
        <w:tabs>
          <w:tab w:leader="none" w:pos="875" w:val="left"/>
        </w:tabs>
        <w:numPr>
          <w:ilvl w:val="2"/>
          <w:numId w:val="169"/>
        </w:numPr>
        <w:rPr>
          <w:rFonts w:ascii="Arial" w:cs="Arial" w:eastAsia="Arial" w:hAnsi="Arial"/>
          <w:sz w:val="16"/>
          <w:szCs w:val="16"/>
          <w:color w:val="auto"/>
        </w:rPr>
      </w:pPr>
      <w:r>
        <w:rPr>
          <w:rFonts w:ascii="Arial" w:cs="Arial" w:eastAsia="Arial" w:hAnsi="Arial"/>
          <w:sz w:val="16"/>
          <w:szCs w:val="16"/>
          <w:color w:val="auto"/>
        </w:rPr>
        <w:t>For consumer, mortgage and leasing operations, installments are internally classified as past due when they are between 30 and 90 days in arrears; after 90 days, the pending loan balance is considered past due.</w:t>
      </w:r>
    </w:p>
    <w:p>
      <w:pPr>
        <w:spacing w:after="0" w:line="139" w:lineRule="exact"/>
        <w:rPr>
          <w:sz w:val="20"/>
          <w:szCs w:val="20"/>
          <w:color w:val="auto"/>
        </w:rPr>
      </w:pPr>
    </w:p>
    <w:p>
      <w:pPr>
        <w:ind w:left="575" w:hanging="285"/>
        <w:spacing w:after="0"/>
        <w:tabs>
          <w:tab w:leader="none" w:pos="57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Mibanco Colombia internally classifies a loan as past due:</w:t>
      </w:r>
    </w:p>
    <w:p>
      <w:pPr>
        <w:spacing w:after="0" w:line="177" w:lineRule="exact"/>
        <w:rPr>
          <w:rFonts w:ascii="Arial" w:cs="Arial" w:eastAsia="Arial" w:hAnsi="Arial"/>
          <w:sz w:val="16"/>
          <w:szCs w:val="16"/>
          <w:color w:val="auto"/>
        </w:rPr>
      </w:pPr>
    </w:p>
    <w:p>
      <w:pPr>
        <w:ind w:left="875" w:hanging="296"/>
        <w:spacing w:after="0"/>
        <w:tabs>
          <w:tab w:leader="none" w:pos="87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For commercial loans when it has more than 90 days in arrears.</w:t>
      </w:r>
    </w:p>
    <w:p>
      <w:pPr>
        <w:spacing w:after="0" w:line="12" w:lineRule="exact"/>
        <w:rPr>
          <w:rFonts w:ascii="Arial" w:cs="Arial" w:eastAsia="Arial" w:hAnsi="Arial"/>
          <w:sz w:val="16"/>
          <w:szCs w:val="16"/>
          <w:color w:val="auto"/>
        </w:rPr>
      </w:pPr>
    </w:p>
    <w:p>
      <w:pPr>
        <w:ind w:left="875" w:hanging="296"/>
        <w:spacing w:after="0" w:line="236" w:lineRule="auto"/>
        <w:tabs>
          <w:tab w:leader="none" w:pos="87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For microbusiness loans when it has more than 60 days in arrears.</w:t>
      </w:r>
    </w:p>
    <w:p>
      <w:pPr>
        <w:ind w:left="875" w:hanging="296"/>
        <w:spacing w:after="0" w:line="236" w:lineRule="auto"/>
        <w:tabs>
          <w:tab w:leader="none" w:pos="87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For consumer loans when it has more than 60 days in arrears.</w:t>
      </w:r>
    </w:p>
    <w:p>
      <w:pPr>
        <w:ind w:left="875" w:hanging="296"/>
        <w:spacing w:after="0"/>
        <w:tabs>
          <w:tab w:leader="none" w:pos="87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For mortgage loans when it has more than 30 days in arrears.</w:t>
      </w:r>
    </w:p>
    <w:p>
      <w:pPr>
        <w:spacing w:after="0" w:line="161" w:lineRule="exact"/>
        <w:rPr>
          <w:rFonts w:ascii="Arial" w:cs="Arial" w:eastAsia="Arial" w:hAnsi="Arial"/>
          <w:sz w:val="16"/>
          <w:szCs w:val="16"/>
          <w:color w:val="auto"/>
        </w:rPr>
      </w:pPr>
    </w:p>
    <w:p>
      <w:pPr>
        <w:ind w:left="575" w:hanging="285"/>
        <w:spacing w:after="0"/>
        <w:tabs>
          <w:tab w:leader="none" w:pos="57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ASB Bank Corp. internally classifies a loan as past due when it has 1 or more days in arrears.</w:t>
      </w:r>
    </w:p>
    <w:p>
      <w:pPr>
        <w:spacing w:after="0" w:line="177" w:lineRule="exact"/>
        <w:rPr>
          <w:rFonts w:ascii="Arial" w:cs="Arial" w:eastAsia="Arial" w:hAnsi="Arial"/>
          <w:sz w:val="16"/>
          <w:szCs w:val="16"/>
          <w:color w:val="auto"/>
        </w:rPr>
      </w:pPr>
    </w:p>
    <w:p>
      <w:pPr>
        <w:ind w:left="295" w:right="2220" w:hanging="5"/>
        <w:spacing w:after="0" w:line="472" w:lineRule="auto"/>
        <w:tabs>
          <w:tab w:leader="none" w:pos="58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Banco de Crédito de Bolivia internally classifies a loan as past due when it has 30 or more days in arrears. Estimate of the expected credit loss -</w:t>
      </w:r>
    </w:p>
    <w:p>
      <w:pPr>
        <w:ind w:left="295" w:right="40"/>
        <w:spacing w:after="0" w:line="255" w:lineRule="auto"/>
        <w:rPr>
          <w:sz w:val="20"/>
          <w:szCs w:val="20"/>
          <w:color w:val="auto"/>
        </w:rPr>
      </w:pPr>
      <w:r>
        <w:rPr>
          <w:rFonts w:ascii="Arial" w:cs="Arial" w:eastAsia="Arial" w:hAnsi="Arial"/>
          <w:sz w:val="16"/>
          <w:szCs w:val="16"/>
          <w:color w:val="auto"/>
        </w:rPr>
        <w:t>The measurement of the expected credit loss is based on the product of the following risk parameters: (i) probability of default (PD), (ii) loss given default (LGD), and (iii) exposure at default (EAD); discounted at the reporting date, using the effective interest rate. The definition of the parameters is presented below:</w:t>
      </w:r>
    </w:p>
    <w:p>
      <w:pPr>
        <w:spacing w:after="0" w:line="137" w:lineRule="exact"/>
        <w:rPr>
          <w:sz w:val="20"/>
          <w:szCs w:val="20"/>
          <w:color w:val="auto"/>
        </w:rPr>
      </w:pPr>
    </w:p>
    <w:p>
      <w:pPr>
        <w:ind w:left="575" w:right="320" w:hanging="285"/>
        <w:spacing w:after="0" w:line="274" w:lineRule="auto"/>
        <w:tabs>
          <w:tab w:leader="none" w:pos="57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Probability of default (PD): is a credit rating measure that is given internally to a client with the objective of estimating its probability of default within a specific time horizon.</w:t>
      </w:r>
    </w:p>
    <w:p>
      <w:pPr>
        <w:spacing w:after="0" w:line="279" w:lineRule="exact"/>
        <w:rPr>
          <w:rFonts w:ascii="Arial" w:cs="Arial" w:eastAsia="Arial" w:hAnsi="Arial"/>
          <w:sz w:val="16"/>
          <w:szCs w:val="16"/>
          <w:color w:val="auto"/>
        </w:rPr>
      </w:pPr>
    </w:p>
    <w:p>
      <w:pPr>
        <w:ind w:left="4615" w:hanging="88"/>
        <w:spacing w:after="0"/>
        <w:tabs>
          <w:tab w:leader="none" w:pos="461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39370</wp:posOffset>
            </wp:positionV>
            <wp:extent cx="714692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55"/>
          </w:cols>
          <w:pgMar w:left="1185" w:top="304" w:right="359" w:bottom="1440" w:gutter="0" w:footer="0" w:header="0"/>
        </w:sectPr>
      </w:pPr>
    </w:p>
    <w:bookmarkStart w:id="141" w:name="page142"/>
    <w:bookmarkEnd w:id="141"/>
    <w:p>
      <w:pPr>
        <w:ind w:left="320" w:right="480"/>
        <w:spacing w:after="0" w:line="255" w:lineRule="auto"/>
        <w:rPr>
          <w:sz w:val="20"/>
          <w:szCs w:val="20"/>
          <w:color w:val="auto"/>
        </w:rPr>
      </w:pPr>
      <w:r>
        <w:rPr>
          <w:rFonts w:ascii="Arial" w:cs="Arial" w:eastAsia="Arial" w:hAnsi="Arial"/>
          <w:sz w:val="16"/>
          <w:szCs w:val="16"/>
          <w:color w:val="auto"/>
        </w:rPr>
        <w:t>The process of obtaining the PD is carried out considering three main components: (i) the risk observed at the portfolio level, (ii) the macroeconomic perspectives of the main countries where Credicorp operates and (iii) the individual risk of each loan, which it is measured through rating and scoring tools.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Group considers that a financial instrument is in default if it meets the following conditions, according to the type of asset:</w:t>
      </w:r>
    </w:p>
    <w:p>
      <w:pPr>
        <w:spacing w:after="0" w:line="178" w:lineRule="exact"/>
        <w:rPr>
          <w:sz w:val="20"/>
          <w:szCs w:val="20"/>
          <w:color w:val="auto"/>
        </w:rPr>
      </w:pPr>
    </w:p>
    <w:p>
      <w:pPr>
        <w:ind w:left="620" w:right="60" w:hanging="296"/>
        <w:spacing w:after="0" w:line="274" w:lineRule="auto"/>
        <w:tabs>
          <w:tab w:leader="none" w:pos="6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Consumer products, credit card and SME: if the client, at some certain point, presents arrears equal to or greater than 60 days and/or has operations that are refinanced, restructured, in pre-judicial, judicial proceedings or written off.</w:t>
      </w:r>
    </w:p>
    <w:p>
      <w:pPr>
        <w:spacing w:after="0" w:line="122" w:lineRule="exact"/>
        <w:rPr>
          <w:rFonts w:ascii="Arial" w:cs="Arial" w:eastAsia="Arial" w:hAnsi="Arial"/>
          <w:sz w:val="16"/>
          <w:szCs w:val="16"/>
          <w:color w:val="auto"/>
        </w:rPr>
      </w:pPr>
    </w:p>
    <w:p>
      <w:pPr>
        <w:ind w:left="620" w:right="160" w:hanging="296"/>
        <w:spacing w:after="0" w:line="274" w:lineRule="auto"/>
        <w:tabs>
          <w:tab w:leader="none" w:pos="6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Mortgage products: if the client, at some certain point, presents arrears equal to or greater than 120 days and/or has operations that are refinanced, restructured, in pre-judicial, judicial proceedings or written off.</w:t>
      </w:r>
    </w:p>
    <w:p>
      <w:pPr>
        <w:spacing w:after="0" w:line="122" w:lineRule="exact"/>
        <w:rPr>
          <w:rFonts w:ascii="Arial" w:cs="Arial" w:eastAsia="Arial" w:hAnsi="Arial"/>
          <w:sz w:val="16"/>
          <w:szCs w:val="16"/>
          <w:color w:val="auto"/>
        </w:rPr>
      </w:pPr>
    </w:p>
    <w:p>
      <w:pPr>
        <w:ind w:left="620" w:right="20" w:hanging="296"/>
        <w:spacing w:after="0" w:line="243" w:lineRule="auto"/>
        <w:tabs>
          <w:tab w:leader="none" w:pos="6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Commercial banking products: if the client, at some certain point, is in the Collections portfolio, or has a risk classification of Deficient, Doubtful or Loss, or has operations that are refinanced, in pre-judicial, judicial proceedings or written off. Also, a client can be considered as default if it shows signs of significant qualitative impairment. It should be noted that, for commercial clients with the highest loan position that are classified in default, the Risk Management performs an individual review to determine the expected credit loss in each case, which considers the knowledge of the specific situation of the client, the coverage of real guarantees, and the financial information available of the company.</w:t>
      </w:r>
    </w:p>
    <w:p>
      <w:pPr>
        <w:spacing w:after="0" w:line="148" w:lineRule="exact"/>
        <w:rPr>
          <w:rFonts w:ascii="Arial" w:cs="Arial" w:eastAsia="Arial" w:hAnsi="Arial"/>
          <w:sz w:val="16"/>
          <w:szCs w:val="16"/>
          <w:color w:val="auto"/>
        </w:rPr>
      </w:pPr>
    </w:p>
    <w:p>
      <w:pPr>
        <w:ind w:left="620" w:right="60" w:hanging="296"/>
        <w:spacing w:after="0" w:line="248" w:lineRule="auto"/>
        <w:tabs>
          <w:tab w:leader="none" w:pos="6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Investments: if the instrument has a default rating according to external rating agencies such as Fitch, Standard &amp; Poors or Moody’s, or if it has an indicator of arrears equal to or greater than 90 days. In addition, an issuer can be considered as default if it shows signs of significant qualitative impairment or if it is in default according to the Commercial banking definition. When an issuer is classified as default, all its instruments are also classified as default, that is, in stage 3.</w:t>
      </w:r>
    </w:p>
    <w:p>
      <w:pPr>
        <w:spacing w:after="0" w:line="144" w:lineRule="exact"/>
        <w:rPr>
          <w:rFonts w:ascii="Arial" w:cs="Arial" w:eastAsia="Arial" w:hAnsi="Arial"/>
          <w:sz w:val="16"/>
          <w:szCs w:val="16"/>
          <w:color w:val="auto"/>
        </w:rPr>
      </w:pPr>
    </w:p>
    <w:p>
      <w:pPr>
        <w:ind w:left="320" w:right="100" w:hanging="285"/>
        <w:spacing w:after="0" w:line="274" w:lineRule="auto"/>
        <w:tabs>
          <w:tab w:leader="none" w:pos="3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Loss given default (LGD): this is a measurement which estimates the severity of the loss that would be incurred at the time of the default. It has two approaches in the estimate of the severity of the loss, according to the stage of the client:</w:t>
      </w:r>
    </w:p>
    <w:p>
      <w:pPr>
        <w:spacing w:after="0" w:line="122" w:lineRule="exact"/>
        <w:rPr>
          <w:rFonts w:ascii="Arial" w:cs="Arial" w:eastAsia="Arial" w:hAnsi="Arial"/>
          <w:sz w:val="16"/>
          <w:szCs w:val="16"/>
          <w:color w:val="auto"/>
        </w:rPr>
      </w:pPr>
    </w:p>
    <w:p>
      <w:pPr>
        <w:ind w:left="620" w:hanging="296"/>
        <w:spacing w:after="0" w:line="274" w:lineRule="auto"/>
        <w:tabs>
          <w:tab w:leader="none" w:pos="6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LGD workout: is the real loss of clients who reached the default stage. To calculate this parameter, the recoveries and costs of each of the operations are included (includes open and closed recovery processes).</w:t>
      </w:r>
    </w:p>
    <w:p>
      <w:pPr>
        <w:spacing w:after="0" w:line="122" w:lineRule="exact"/>
        <w:rPr>
          <w:rFonts w:ascii="Arial" w:cs="Arial" w:eastAsia="Arial" w:hAnsi="Arial"/>
          <w:sz w:val="16"/>
          <w:szCs w:val="16"/>
          <w:color w:val="auto"/>
        </w:rPr>
      </w:pPr>
    </w:p>
    <w:p>
      <w:pPr>
        <w:ind w:left="620" w:right="420" w:hanging="296"/>
        <w:spacing w:after="0" w:line="274" w:lineRule="auto"/>
        <w:tabs>
          <w:tab w:leader="none" w:pos="6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LGD ELBE (expected loss best estimate): this is the loss of the contracts in a default situation based on the time in default of the operation (the longer the time in default, the higher the level of loss of the operation).</w:t>
      </w:r>
    </w:p>
    <w:p>
      <w:pPr>
        <w:spacing w:after="0" w:line="122" w:lineRule="exact"/>
        <w:rPr>
          <w:rFonts w:ascii="Arial" w:cs="Arial" w:eastAsia="Arial" w:hAnsi="Arial"/>
          <w:sz w:val="16"/>
          <w:szCs w:val="16"/>
          <w:color w:val="auto"/>
        </w:rPr>
      </w:pPr>
    </w:p>
    <w:p>
      <w:pPr>
        <w:ind w:left="320" w:right="60" w:hanging="285"/>
        <w:spacing w:after="0" w:line="274" w:lineRule="auto"/>
        <w:tabs>
          <w:tab w:leader="none" w:pos="3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Exposure at Default (EAD): this is a measurement which estimates the exposure at the time of the client’s default, considering changes in future exposure, for example, in the case of prepayments and/or greater utilization of unused credit lines.</w:t>
      </w:r>
    </w:p>
    <w:p>
      <w:pPr>
        <w:spacing w:after="0" w:line="123" w:lineRule="exact"/>
        <w:rPr>
          <w:sz w:val="20"/>
          <w:szCs w:val="20"/>
          <w:color w:val="auto"/>
        </w:rPr>
      </w:pPr>
    </w:p>
    <w:p>
      <w:pPr>
        <w:ind w:left="40" w:right="60"/>
        <w:spacing w:after="0" w:line="274" w:lineRule="auto"/>
        <w:rPr>
          <w:sz w:val="20"/>
          <w:szCs w:val="20"/>
          <w:color w:val="auto"/>
        </w:rPr>
      </w:pPr>
      <w:r>
        <w:rPr>
          <w:rFonts w:ascii="Arial" w:cs="Arial" w:eastAsia="Arial" w:hAnsi="Arial"/>
          <w:sz w:val="16"/>
          <w:szCs w:val="16"/>
          <w:color w:val="auto"/>
        </w:rPr>
        <w:t>The estimate of the risk parameters considers information regarding the actual conditions, as well as the projections of future macroeconomic events and conditions in three scenarios (base, optimistic and pessimistic), which are weighted to obtain the expected credit loss.</w:t>
      </w:r>
    </w:p>
    <w:p>
      <w:pPr>
        <w:spacing w:after="0" w:line="123" w:lineRule="exact"/>
        <w:rPr>
          <w:sz w:val="20"/>
          <w:szCs w:val="20"/>
          <w:color w:val="auto"/>
        </w:rPr>
      </w:pPr>
    </w:p>
    <w:p>
      <w:pPr>
        <w:jc w:val="both"/>
        <w:ind w:left="40" w:right="720"/>
        <w:spacing w:after="0" w:line="255" w:lineRule="auto"/>
        <w:rPr>
          <w:sz w:val="20"/>
          <w:szCs w:val="20"/>
          <w:color w:val="auto"/>
        </w:rPr>
      </w:pPr>
      <w:r>
        <w:rPr>
          <w:rFonts w:ascii="Arial" w:cs="Arial" w:eastAsia="Arial" w:hAnsi="Arial"/>
          <w:sz w:val="16"/>
          <w:szCs w:val="16"/>
          <w:color w:val="auto"/>
        </w:rPr>
        <w:t>The fundamental difference between the expected credit loss of a loan classified in Stage 1 or Stage 2 lies in the time horizon of the probability of default (PD). Stage 1 estimates use a PD with a maximum horizon of 12 months, whereas Stage 2 estimates use a PD measured over the remaining lifetime of the instrument. Stage 3 estimates are performed based on an ELBE LGD.</w:t>
      </w:r>
    </w:p>
    <w:p>
      <w:pPr>
        <w:spacing w:after="0" w:line="294"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39370</wp:posOffset>
            </wp:positionV>
            <wp:extent cx="714692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40"/>
          </w:cols>
          <w:pgMar w:left="1440" w:top="304" w:right="319" w:bottom="1440" w:gutter="0" w:footer="0" w:header="0"/>
        </w:sectPr>
      </w:pPr>
    </w:p>
    <w:bookmarkStart w:id="142" w:name="page143"/>
    <w:bookmarkEnd w:id="142"/>
    <w:p>
      <w:pPr>
        <w:ind w:left="40" w:right="160"/>
        <w:spacing w:after="0" w:line="274" w:lineRule="auto"/>
        <w:rPr>
          <w:sz w:val="20"/>
          <w:szCs w:val="20"/>
          <w:color w:val="auto"/>
        </w:rPr>
      </w:pPr>
      <w:r>
        <w:rPr>
          <w:rFonts w:ascii="Arial" w:cs="Arial" w:eastAsia="Arial" w:hAnsi="Arial"/>
          <w:sz w:val="16"/>
          <w:szCs w:val="16"/>
          <w:color w:val="auto"/>
        </w:rPr>
        <w:t>For those portfolios that are not material and/or do not have specific credit scoring models, the option was to extrapolate the expected credit loss ratio of portfolios with comparable characteristics.</w:t>
      </w:r>
    </w:p>
    <w:p>
      <w:pPr>
        <w:spacing w:after="0" w:line="123" w:lineRule="exact"/>
        <w:rPr>
          <w:sz w:val="20"/>
          <w:szCs w:val="20"/>
          <w:color w:val="auto"/>
        </w:rPr>
      </w:pPr>
    </w:p>
    <w:p>
      <w:pPr>
        <w:ind w:left="40" w:right="40"/>
        <w:spacing w:after="0" w:line="255" w:lineRule="auto"/>
        <w:rPr>
          <w:sz w:val="20"/>
          <w:szCs w:val="20"/>
          <w:color w:val="auto"/>
        </w:rPr>
      </w:pPr>
      <w:r>
        <w:rPr>
          <w:rFonts w:ascii="Arial" w:cs="Arial" w:eastAsia="Arial" w:hAnsi="Arial"/>
          <w:sz w:val="16"/>
          <w:szCs w:val="16"/>
          <w:color w:val="auto"/>
        </w:rPr>
        <w:t>In line with the internal model governance framework, the main parameters used in the measurement of credit risk (including PD and LGD) were continuously monitored throughout 2025. The models are calibrated when performance monitoring reveals material deviations from their expected behavior, thereby ensuring an adequate and consistent estimation of credit risk.</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Prospective information -</w:t>
      </w:r>
    </w:p>
    <w:p>
      <w:pPr>
        <w:spacing w:after="0" w:line="178" w:lineRule="exact"/>
        <w:rPr>
          <w:sz w:val="20"/>
          <w:szCs w:val="20"/>
          <w:color w:val="auto"/>
        </w:rPr>
      </w:pPr>
    </w:p>
    <w:p>
      <w:pPr>
        <w:ind w:left="40" w:right="240"/>
        <w:spacing w:after="0" w:line="274" w:lineRule="auto"/>
        <w:rPr>
          <w:sz w:val="20"/>
          <w:szCs w:val="20"/>
          <w:color w:val="auto"/>
        </w:rPr>
      </w:pPr>
      <w:r>
        <w:rPr>
          <w:rFonts w:ascii="Arial" w:cs="Arial" w:eastAsia="Arial" w:hAnsi="Arial"/>
          <w:sz w:val="16"/>
          <w:szCs w:val="16"/>
          <w:color w:val="auto"/>
        </w:rPr>
        <w:t>The measurement of the expected credit loss for each stage and the evaluation of significant increase in credit risk consider information on previous events and current conditions, as well as reasonable projections based on future events and macroeconomic conditions.</w:t>
      </w:r>
    </w:p>
    <w:p>
      <w:pPr>
        <w:spacing w:after="0" w:line="123" w:lineRule="exact"/>
        <w:rPr>
          <w:sz w:val="20"/>
          <w:szCs w:val="20"/>
          <w:color w:val="auto"/>
        </w:rPr>
      </w:pPr>
    </w:p>
    <w:p>
      <w:pPr>
        <w:ind w:left="40"/>
        <w:spacing w:after="0" w:line="245" w:lineRule="auto"/>
        <w:rPr>
          <w:sz w:val="20"/>
          <w:szCs w:val="20"/>
          <w:color w:val="auto"/>
        </w:rPr>
      </w:pPr>
      <w:r>
        <w:rPr>
          <w:rFonts w:ascii="Arial" w:cs="Arial" w:eastAsia="Arial" w:hAnsi="Arial"/>
          <w:sz w:val="16"/>
          <w:szCs w:val="16"/>
          <w:color w:val="auto"/>
        </w:rPr>
        <w:t>For the estimate of the risk parameters (PD, LGD and EAD), used in the calculation of the expected credit loss in stages 1 and 2, the significance of the macroeconomic variables (or their variations) that have the greatest influence on each portfolio was tested which provide a better prospective and systemic vision to the estimate, based on econometric techniques. Each macroeconomic scenario used in the estimate of the expected credit loss considers projections of relevant macroeconomic variables, such as the gross domestic product (GDP), terms of trade, inflation rate, among others, for a period of 3 years and a long-term projection.</w:t>
      </w:r>
    </w:p>
    <w:p>
      <w:pPr>
        <w:spacing w:after="0" w:line="147" w:lineRule="exact"/>
        <w:rPr>
          <w:sz w:val="20"/>
          <w:szCs w:val="20"/>
          <w:color w:val="auto"/>
        </w:rPr>
      </w:pPr>
    </w:p>
    <w:p>
      <w:pPr>
        <w:ind w:left="40" w:right="40"/>
        <w:spacing w:after="0" w:line="248" w:lineRule="auto"/>
        <w:rPr>
          <w:sz w:val="20"/>
          <w:szCs w:val="20"/>
          <w:color w:val="auto"/>
        </w:rPr>
      </w:pPr>
      <w:r>
        <w:rPr>
          <w:rFonts w:ascii="Arial" w:cs="Arial" w:eastAsia="Arial" w:hAnsi="Arial"/>
          <w:sz w:val="16"/>
          <w:szCs w:val="16"/>
          <w:color w:val="auto"/>
        </w:rPr>
        <w:t>Expected credit loss represents a weighted estimate that considers three forward-looking macroeconomic scenarios (base, optimistic and pessimistic). These scenarios, as well as the probability of occurrence of each one, are projections provided by the internal Economic Studies team and are approved by Senior Management; these projections are made for the main countries where Credicorp operates. The design of the scenarios is reviewed quarterly. All scenarios and their respective probabilities apply to portfolios subject to expected credit loss.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from one stage to another -</w:t>
      </w:r>
    </w:p>
    <w:p>
      <w:pPr>
        <w:spacing w:after="0" w:line="178" w:lineRule="exact"/>
        <w:rPr>
          <w:sz w:val="20"/>
          <w:szCs w:val="20"/>
          <w:color w:val="auto"/>
        </w:rPr>
      </w:pPr>
    </w:p>
    <w:p>
      <w:pPr>
        <w:ind w:left="40" w:right="140"/>
        <w:spacing w:after="0" w:line="274"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at the reporting date compared to the origin date. This classification is updated monthly. As the IFRS 9 states, this classification depends on the following criteria:</w:t>
      </w:r>
    </w:p>
    <w:p>
      <w:pPr>
        <w:spacing w:after="0" w:line="123" w:lineRule="exact"/>
        <w:rPr>
          <w:sz w:val="20"/>
          <w:szCs w:val="20"/>
          <w:color w:val="auto"/>
        </w:rPr>
      </w:pPr>
    </w:p>
    <w:p>
      <w:pPr>
        <w:ind w:left="320" w:hanging="285"/>
        <w:spacing w:after="0"/>
        <w:tabs>
          <w:tab w:leader="none" w:pos="3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 account is classified in stage 2 if it has more than 30 days in arrears.</w:t>
      </w:r>
    </w:p>
    <w:p>
      <w:pPr>
        <w:spacing w:after="0" w:line="12" w:lineRule="exact"/>
        <w:rPr>
          <w:rFonts w:ascii="Arial" w:cs="Arial" w:eastAsia="Arial" w:hAnsi="Arial"/>
          <w:sz w:val="16"/>
          <w:szCs w:val="16"/>
          <w:color w:val="auto"/>
        </w:rPr>
      </w:pPr>
    </w:p>
    <w:p>
      <w:pPr>
        <w:ind w:left="320" w:right="60" w:hanging="285"/>
        <w:spacing w:after="0" w:line="253" w:lineRule="auto"/>
        <w:tabs>
          <w:tab w:leader="none" w:pos="3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Additionally, significant credit risk increase thresholds were established based on absolute and relative thresholds that depend on the risk level in which the instrument was originated. The thresholds differ for each of the portfolios considered.</w:t>
      </w:r>
    </w:p>
    <w:p>
      <w:pPr>
        <w:spacing w:after="0" w:line="139" w:lineRule="exact"/>
        <w:rPr>
          <w:sz w:val="20"/>
          <w:szCs w:val="20"/>
          <w:color w:val="auto"/>
        </w:rPr>
      </w:pPr>
    </w:p>
    <w:p>
      <w:pPr>
        <w:ind w:left="40"/>
        <w:spacing w:after="0" w:line="274" w:lineRule="auto"/>
        <w:rPr>
          <w:sz w:val="20"/>
          <w:szCs w:val="20"/>
          <w:color w:val="auto"/>
        </w:rPr>
      </w:pPr>
      <w:r>
        <w:rPr>
          <w:rFonts w:ascii="Arial" w:cs="Arial" w:eastAsia="Arial" w:hAnsi="Arial"/>
          <w:sz w:val="16"/>
          <w:szCs w:val="16"/>
          <w:color w:val="auto"/>
        </w:rPr>
        <w:t>Additionally, all those accounts classified as default at the reporting date, according to the definition used by the Group, are considered as stage 3.</w:t>
      </w:r>
    </w:p>
    <w:p>
      <w:pPr>
        <w:spacing w:after="0" w:line="123" w:lineRule="exact"/>
        <w:rPr>
          <w:sz w:val="20"/>
          <w:szCs w:val="20"/>
          <w:color w:val="auto"/>
        </w:rPr>
      </w:pPr>
    </w:p>
    <w:p>
      <w:pPr>
        <w:ind w:left="40" w:right="140"/>
        <w:spacing w:after="0" w:line="274" w:lineRule="auto"/>
        <w:rPr>
          <w:sz w:val="20"/>
          <w:szCs w:val="20"/>
          <w:color w:val="auto"/>
        </w:rPr>
      </w:pPr>
      <w:r>
        <w:rPr>
          <w:rFonts w:ascii="Arial" w:cs="Arial" w:eastAsia="Arial" w:hAnsi="Arial"/>
          <w:sz w:val="16"/>
          <w:szCs w:val="16"/>
          <w:color w:val="auto"/>
        </w:rPr>
        <w:t>Evaluations of significant increase in credit risk from initial recognition and credit impairment are carried out independently on each reporting date.</w:t>
      </w:r>
    </w:p>
    <w:p>
      <w:pPr>
        <w:spacing w:after="0" w:line="123" w:lineRule="exact"/>
        <w:rPr>
          <w:sz w:val="20"/>
          <w:szCs w:val="20"/>
          <w:color w:val="auto"/>
        </w:rPr>
      </w:pPr>
    </w:p>
    <w:p>
      <w:pPr>
        <w:ind w:left="40" w:right="40"/>
        <w:spacing w:after="0" w:line="248" w:lineRule="auto"/>
        <w:rPr>
          <w:sz w:val="20"/>
          <w:szCs w:val="20"/>
          <w:color w:val="auto"/>
        </w:rPr>
      </w:pPr>
      <w:r>
        <w:rPr>
          <w:rFonts w:ascii="Arial" w:cs="Arial" w:eastAsia="Arial" w:hAnsi="Arial"/>
          <w:sz w:val="16"/>
          <w:szCs w:val="16"/>
          <w:color w:val="auto"/>
        </w:rPr>
        <w:t>Wholesale Banking assets can be moved in both directions from one stage to another; in this sense, a financial asset that migrated to stage 2 will return to stage 1 if its credit risk did not increase significantly from its initial recognition until a subsequent reporting period. Likewise, an asset that is in stage 3 will return to stage 2 if the asset is no longer considered to be impaired (according to our definition of default) for a certain number of subsequent reporting periods.</w:t>
      </w: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39370</wp:posOffset>
            </wp:positionV>
            <wp:extent cx="714692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20"/>
          </w:cols>
          <w:pgMar w:left="1440" w:top="304" w:right="339" w:bottom="1440" w:gutter="0" w:footer="0" w:header="0"/>
        </w:sectPr>
      </w:pPr>
    </w:p>
    <w:bookmarkStart w:id="143" w:name="page144"/>
    <w:bookmarkEnd w:id="143"/>
    <w:p>
      <w:pPr>
        <w:ind w:left="40"/>
        <w:spacing w:after="0" w:line="248" w:lineRule="auto"/>
        <w:rPr>
          <w:sz w:val="20"/>
          <w:szCs w:val="20"/>
          <w:color w:val="auto"/>
        </w:rPr>
      </w:pPr>
      <w:r>
        <w:rPr>
          <w:rFonts w:ascii="Arial" w:cs="Arial" w:eastAsia="Arial" w:hAnsi="Arial"/>
          <w:sz w:val="16"/>
          <w:szCs w:val="16"/>
          <w:color w:val="auto"/>
        </w:rPr>
        <w:t>On the other hand, Retail Banking assets that migrated to stage 2 will return to stage 1 if their credit risk has not increased significantly since their initial recognition during a certain number of subsequent reporting periods (cure period). In the case of assets allocated in stage 3, these will not return to stage 2 except for refinanced loans, which will return to stage 2 if good payment behavior is demonstrated during a certain number of subsequent reporting periods.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life -</w:t>
      </w:r>
    </w:p>
    <w:p>
      <w:pPr>
        <w:spacing w:after="0" w:line="178" w:lineRule="exact"/>
        <w:rPr>
          <w:sz w:val="20"/>
          <w:szCs w:val="20"/>
          <w:color w:val="auto"/>
        </w:rPr>
      </w:pPr>
    </w:p>
    <w:p>
      <w:pPr>
        <w:ind w:left="40"/>
        <w:spacing w:after="0" w:line="255" w:lineRule="auto"/>
        <w:rPr>
          <w:sz w:val="20"/>
          <w:szCs w:val="20"/>
          <w:color w:val="auto"/>
        </w:rPr>
      </w:pPr>
      <w:r>
        <w:rPr>
          <w:rFonts w:ascii="Arial" w:cs="Arial" w:eastAsia="Arial" w:hAnsi="Arial"/>
          <w:sz w:val="16"/>
          <w:szCs w:val="16"/>
          <w:color w:val="auto"/>
        </w:rPr>
        <w:t>For the instruments in stage 2 or 3, the allowance for loan losses will cover the expected credit loss during the expected time of the remaining lifetime of the instrument. For most instruments, the expected life is limited to the remaining contractual life, adjusted by expected prepayments. In the case of revolving products, a statistical analysis was carried out to determine what would be the expected life period.</w:t>
      </w:r>
    </w:p>
    <w:p>
      <w:pPr>
        <w:spacing w:after="0" w:line="294"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39370</wp:posOffset>
            </wp:positionV>
            <wp:extent cx="714692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080"/>
          </w:cols>
          <w:pgMar w:left="1440" w:top="304" w:right="379" w:bottom="1440" w:gutter="0" w:footer="0" w:header="0"/>
        </w:sectPr>
      </w:pPr>
    </w:p>
    <w:bookmarkStart w:id="144" w:name="page145"/>
    <w:bookmarkEnd w:id="144"/>
    <w:p>
      <w:pPr>
        <w:jc w:val="both"/>
        <w:spacing w:after="0" w:line="248" w:lineRule="auto"/>
        <w:rPr>
          <w:sz w:val="20"/>
          <w:szCs w:val="20"/>
          <w:color w:val="auto"/>
        </w:rPr>
      </w:pPr>
      <w:r>
        <w:rPr>
          <w:rFonts w:ascii="Arial" w:cs="Arial" w:eastAsia="Arial" w:hAnsi="Arial"/>
          <w:sz w:val="16"/>
          <w:szCs w:val="16"/>
          <w:color w:val="auto"/>
        </w:rPr>
        <w:t>The following is a summary of the direct loans (without interest) classified into three important groups and their respective allowance for loan losses for each type of loan. It is important to note that impaired loans are loans in default that are in stage 3. Additionally, it should be noted that, in accordance with IFRS 7, the total balance of the loan is considered overdue when the debtor has failed to make a payment at its contractual maturity.</w:t>
      </w:r>
    </w:p>
    <w:p>
      <w:pPr>
        <w:spacing w:after="0" w:line="144" w:lineRule="exact"/>
        <w:rPr>
          <w:sz w:val="20"/>
          <w:szCs w:val="20"/>
          <w:color w:val="auto"/>
        </w:rPr>
      </w:pPr>
    </w:p>
    <w:p>
      <w:pPr>
        <w:ind w:left="300" w:right="100" w:hanging="295"/>
        <w:spacing w:after="0" w:line="246" w:lineRule="auto"/>
        <w:tabs>
          <w:tab w:leader="none" w:pos="3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Loans neither past due nor impaired, which comprise those direct loans which currently do not have characteristics of delinquency and which are not in default.</w:t>
      </w:r>
    </w:p>
    <w:p>
      <w:pPr>
        <w:ind w:left="300" w:right="80" w:hanging="295"/>
        <w:spacing w:after="0" w:line="236" w:lineRule="auto"/>
        <w:tabs>
          <w:tab w:leader="none" w:pos="3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Past due but not impaired loans, which comprise all of the direct loans of customers who are not in default but have failed to make a payment at its contractual maturity, according to IFRS 7.</w:t>
      </w:r>
    </w:p>
    <w:p>
      <w:pPr>
        <w:ind w:left="300" w:hanging="295"/>
        <w:spacing w:after="0"/>
        <w:tabs>
          <w:tab w:leader="none" w:pos="3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Impaired loans, those direct loans considered to be in stage 3 or default, as detailed in Note 30.1(c).</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53"/>
        </w:trPr>
        <w:tc>
          <w:tcPr>
            <w:tcW w:w="2840" w:type="dxa"/>
            <w:vAlign w:val="bottom"/>
            <w:vMerge w:val="restart"/>
          </w:tcPr>
          <w:p>
            <w:pPr>
              <w:spacing w:after="0"/>
              <w:rPr>
                <w:sz w:val="20"/>
                <w:szCs w:val="20"/>
                <w:color w:val="auto"/>
              </w:rPr>
            </w:pPr>
            <w:r>
              <w:rPr>
                <w:rFonts w:ascii="Arial" w:cs="Arial" w:eastAsia="Arial" w:hAnsi="Arial"/>
                <w:sz w:val="13"/>
                <w:szCs w:val="13"/>
                <w:b w:val="1"/>
                <w:bCs w:val="1"/>
                <w:color w:val="auto"/>
              </w:rPr>
              <w:t>Commercial loans</w:t>
            </w: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3"/>
                <w:szCs w:val="13"/>
                <w:b w:val="1"/>
                <w:bCs w:val="1"/>
                <w:color w:val="auto"/>
              </w:rPr>
              <w:t>Stage 1</w:t>
            </w:r>
          </w:p>
        </w:tc>
        <w:tc>
          <w:tcPr>
            <w:tcW w:w="8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3"/>
                <w:szCs w:val="13"/>
                <w:b w:val="1"/>
                <w:bCs w:val="1"/>
                <w:color w:val="auto"/>
              </w:rPr>
              <w:t>Stage 2</w:t>
            </w:r>
          </w:p>
        </w:tc>
        <w:tc>
          <w:tcPr>
            <w:tcW w:w="1000" w:type="dxa"/>
            <w:vAlign w:val="bottom"/>
            <w:tcBorders>
              <w:top w:val="single" w:sz="8" w:color="auto"/>
            </w:tcBorders>
            <w:gridSpan w:val="3"/>
          </w:tcPr>
          <w:p>
            <w:pPr>
              <w:ind w:left="60"/>
              <w:spacing w:after="0" w:line="137" w:lineRule="exact"/>
              <w:rPr>
                <w:sz w:val="20"/>
                <w:szCs w:val="20"/>
                <w:color w:val="auto"/>
              </w:rPr>
            </w:pPr>
            <w:r>
              <w:rPr>
                <w:rFonts w:ascii="Arial" w:cs="Arial" w:eastAsia="Arial" w:hAnsi="Arial"/>
                <w:sz w:val="13"/>
                <w:szCs w:val="13"/>
                <w:b w:val="1"/>
                <w:bCs w:val="1"/>
                <w:color w:val="auto"/>
              </w:rPr>
              <w:t>Stage 3</w:t>
            </w:r>
          </w:p>
        </w:tc>
        <w:tc>
          <w:tcPr>
            <w:tcW w:w="720" w:type="dxa"/>
            <w:vAlign w:val="bottom"/>
            <w:tcBorders>
              <w:top w:val="single" w:sz="8" w:color="auto"/>
            </w:tcBorders>
            <w:gridSpan w:val="2"/>
          </w:tcPr>
          <w:p>
            <w:pPr>
              <w:ind w:left="40"/>
              <w:spacing w:after="0" w:line="137"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360"/>
              <w:spacing w:after="0" w:line="137" w:lineRule="exact"/>
              <w:rPr>
                <w:sz w:val="20"/>
                <w:szCs w:val="20"/>
                <w:color w:val="auto"/>
              </w:rPr>
            </w:pPr>
            <w:r>
              <w:rPr>
                <w:rFonts w:ascii="Arial" w:cs="Arial" w:eastAsia="Arial" w:hAnsi="Arial"/>
                <w:sz w:val="13"/>
                <w:szCs w:val="13"/>
                <w:b w:val="1"/>
                <w:bCs w:val="1"/>
                <w:color w:val="auto"/>
                <w:w w:val="95"/>
              </w:rPr>
              <w:t>Stage 1</w:t>
            </w:r>
          </w:p>
        </w:tc>
        <w:tc>
          <w:tcPr>
            <w:tcW w:w="760" w:type="dxa"/>
            <w:vAlign w:val="bottom"/>
            <w:tcBorders>
              <w:top w:val="single" w:sz="8" w:color="auto"/>
            </w:tcBorders>
            <w:gridSpan w:val="3"/>
          </w:tcPr>
          <w:p>
            <w:pPr>
              <w:ind w:left="40"/>
              <w:spacing w:after="0" w:line="137" w:lineRule="exact"/>
              <w:rPr>
                <w:sz w:val="20"/>
                <w:szCs w:val="20"/>
                <w:color w:val="auto"/>
              </w:rPr>
            </w:pPr>
            <w:r>
              <w:rPr>
                <w:rFonts w:ascii="Arial" w:cs="Arial" w:eastAsia="Arial" w:hAnsi="Arial"/>
                <w:sz w:val="13"/>
                <w:szCs w:val="13"/>
                <w:b w:val="1"/>
                <w:bCs w:val="1"/>
                <w:color w:val="auto"/>
              </w:rPr>
              <w:t>Stage 2</w:t>
            </w:r>
          </w:p>
        </w:tc>
        <w:tc>
          <w:tcPr>
            <w:tcW w:w="820" w:type="dxa"/>
            <w:vAlign w:val="bottom"/>
            <w:tcBorders>
              <w:top w:val="single" w:sz="8" w:color="auto"/>
            </w:tcBorders>
            <w:gridSpan w:val="3"/>
          </w:tcPr>
          <w:p>
            <w:pPr>
              <w:ind w:left="60"/>
              <w:spacing w:after="0" w:line="137" w:lineRule="exact"/>
              <w:rPr>
                <w:sz w:val="20"/>
                <w:szCs w:val="20"/>
                <w:color w:val="auto"/>
              </w:rPr>
            </w:pPr>
            <w:r>
              <w:rPr>
                <w:rFonts w:ascii="Arial" w:cs="Arial" w:eastAsia="Arial" w:hAnsi="Arial"/>
                <w:sz w:val="13"/>
                <w:szCs w:val="13"/>
                <w:b w:val="1"/>
                <w:bCs w:val="1"/>
                <w:color w:val="auto"/>
              </w:rPr>
              <w:t>Stage 3</w:t>
            </w:r>
          </w:p>
        </w:tc>
        <w:tc>
          <w:tcPr>
            <w:tcW w:w="88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Neither past due nor impaired</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66,660,719</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4,215,063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70,875,782</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67,303,201</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3,509,158</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70,812,359</w:t>
            </w:r>
          </w:p>
        </w:tc>
        <w:tc>
          <w:tcPr>
            <w:tcW w:w="0" w:type="dxa"/>
            <w:vAlign w:val="bottom"/>
          </w:tcPr>
          <w:p>
            <w:pPr>
              <w:spacing w:after="0"/>
              <w:rPr>
                <w:sz w:val="1"/>
                <w:szCs w:val="1"/>
                <w:color w:val="auto"/>
              </w:rPr>
            </w:pP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Past due but not impaired</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414,188</w:t>
            </w: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335,073</w:t>
            </w:r>
          </w:p>
        </w:tc>
        <w:tc>
          <w:tcPr>
            <w:tcW w:w="60" w:type="dxa"/>
            <w:vAlign w:val="bottom"/>
          </w:tcPr>
          <w:p>
            <w:pPr>
              <w:spacing w:after="0"/>
              <w:rPr>
                <w:sz w:val="12"/>
                <w:szCs w:val="12"/>
                <w:color w:val="auto"/>
              </w:rPr>
            </w:pPr>
          </w:p>
        </w:tc>
        <w:tc>
          <w:tcPr>
            <w:tcW w:w="9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749,261</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612,574</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468,459</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1,081,033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Impaired</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4,519,803</w:t>
            </w:r>
          </w:p>
        </w:tc>
        <w:tc>
          <w:tcPr>
            <w:tcW w:w="6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4,519,803</w:t>
            </w:r>
          </w:p>
        </w:tc>
        <w:tc>
          <w:tcPr>
            <w:tcW w:w="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5,028,223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5,028,223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line="12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67,074,907</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4,550,136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4,519,803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76,144,846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67,915,775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3,977,617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5,028,223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76,921,615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Less: Allowance for loan losses</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436,438</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277,425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2,045,256</w:t>
            </w:r>
          </w:p>
        </w:tc>
        <w:tc>
          <w:tcPr>
            <w:tcW w:w="6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2,759,119</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493,130</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291,963</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2,159,115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2,944,208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line="137" w:lineRule="exact"/>
              <w:rPr>
                <w:sz w:val="20"/>
                <w:szCs w:val="20"/>
                <w:color w:val="auto"/>
              </w:rPr>
            </w:pPr>
            <w:r>
              <w:rPr>
                <w:rFonts w:ascii="Arial" w:cs="Arial" w:eastAsia="Arial" w:hAnsi="Arial"/>
                <w:sz w:val="13"/>
                <w:szCs w:val="13"/>
                <w:b w:val="1"/>
                <w:bCs w:val="1"/>
                <w:color w:val="auto"/>
              </w:rPr>
              <w:t>Total, net</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66,638,469</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4,272,711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2,474,547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73,385,727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67,422,645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3,685,654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2,869,108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73,977,407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153"/>
        </w:trPr>
        <w:tc>
          <w:tcPr>
            <w:tcW w:w="2840" w:type="dxa"/>
            <w:vAlign w:val="bottom"/>
          </w:tcPr>
          <w:p>
            <w:pPr>
              <w:spacing w:after="0"/>
              <w:rPr>
                <w:sz w:val="20"/>
                <w:szCs w:val="20"/>
                <w:color w:val="auto"/>
              </w:rPr>
            </w:pPr>
            <w:r>
              <w:rPr>
                <w:rFonts w:ascii="Arial" w:cs="Arial" w:eastAsia="Arial" w:hAnsi="Arial"/>
                <w:sz w:val="13"/>
                <w:szCs w:val="13"/>
                <w:b w:val="1"/>
                <w:bCs w:val="1"/>
                <w:color w:val="auto"/>
              </w:rPr>
              <w:t>Residential mortgage loans</w:t>
            </w:r>
          </w:p>
        </w:tc>
        <w:tc>
          <w:tcPr>
            <w:tcW w:w="1000" w:type="dxa"/>
            <w:vAlign w:val="bottom"/>
            <w:gridSpan w:val="3"/>
          </w:tcPr>
          <w:p>
            <w:pPr>
              <w:ind w:left="120"/>
              <w:spacing w:after="0"/>
              <w:rPr>
                <w:sz w:val="20"/>
                <w:szCs w:val="20"/>
                <w:color w:val="auto"/>
              </w:rPr>
            </w:pPr>
            <w:r>
              <w:rPr>
                <w:rFonts w:ascii="Arial" w:cs="Arial" w:eastAsia="Arial" w:hAnsi="Arial"/>
                <w:sz w:val="13"/>
                <w:szCs w:val="13"/>
                <w:b w:val="1"/>
                <w:bCs w:val="1"/>
                <w:color w:val="auto"/>
              </w:rPr>
              <w:t>Stage 1</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Stage 2</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3</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1</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Stage 2</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3</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Total</w:t>
            </w:r>
          </w:p>
        </w:tc>
      </w:tr>
      <w:tr>
        <w:trPr>
          <w:trHeight w:val="129"/>
        </w:trPr>
        <w:tc>
          <w:tcPr>
            <w:tcW w:w="2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ind w:right="296"/>
              <w:spacing w:after="0" w:line="129" w:lineRule="exact"/>
              <w:rPr>
                <w:sz w:val="20"/>
                <w:szCs w:val="20"/>
                <w:color w:val="auto"/>
              </w:rPr>
            </w:pPr>
            <w:r>
              <w:rPr>
                <w:rFonts w:ascii="Arial" w:cs="Arial" w:eastAsia="Arial" w:hAnsi="Arial"/>
                <w:sz w:val="13"/>
                <w:szCs w:val="13"/>
                <w:b w:val="1"/>
                <w:bCs w:val="1"/>
                <w:color w:val="auto"/>
                <w:w w:val="93"/>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Neither past due nor impaired</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21,569,665</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1,844,208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23,413,873</w:t>
            </w:r>
          </w:p>
        </w:tc>
        <w:tc>
          <w:tcPr>
            <w:tcW w:w="8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18,451,482</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3,819,271</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22,270,753</w:t>
            </w: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Past due but not impaired</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569,988</w:t>
            </w: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586,274</w:t>
            </w:r>
          </w:p>
        </w:tc>
        <w:tc>
          <w:tcPr>
            <w:tcW w:w="60" w:type="dxa"/>
            <w:vAlign w:val="bottom"/>
          </w:tcPr>
          <w:p>
            <w:pPr>
              <w:spacing w:after="0"/>
              <w:rPr>
                <w:sz w:val="12"/>
                <w:szCs w:val="12"/>
                <w:color w:val="auto"/>
              </w:rPr>
            </w:pPr>
          </w:p>
        </w:tc>
        <w:tc>
          <w:tcPr>
            <w:tcW w:w="9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1,156,262</w:t>
            </w:r>
          </w:p>
        </w:tc>
        <w:tc>
          <w:tcPr>
            <w:tcW w:w="8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505,016</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672,405</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1,177,421</w:t>
            </w:r>
          </w:p>
        </w:tc>
        <w:tc>
          <w:tcPr>
            <w:tcW w:w="20" w:type="dxa"/>
            <w:vAlign w:val="bottom"/>
          </w:tcPr>
          <w:p>
            <w:pPr>
              <w:spacing w:after="0"/>
              <w:rPr>
                <w:sz w:val="12"/>
                <w:szCs w:val="12"/>
                <w:color w:val="auto"/>
              </w:rPr>
            </w:pP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Impaired</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1,617,451</w:t>
            </w:r>
          </w:p>
        </w:tc>
        <w:tc>
          <w:tcPr>
            <w:tcW w:w="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1,617,451</w:t>
            </w:r>
          </w:p>
        </w:tc>
        <w:tc>
          <w:tcPr>
            <w:tcW w:w="6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1,643,883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1,643,883</w:t>
            </w:r>
          </w:p>
        </w:tc>
        <w:tc>
          <w:tcPr>
            <w:tcW w:w="20" w:type="dxa"/>
            <w:vAlign w:val="bottom"/>
          </w:tcPr>
          <w:p>
            <w:pPr>
              <w:spacing w:after="0"/>
              <w:rPr>
                <w:sz w:val="13"/>
                <w:szCs w:val="13"/>
                <w:color w:val="auto"/>
              </w:rPr>
            </w:pPr>
          </w:p>
        </w:tc>
      </w:tr>
      <w:tr>
        <w:trPr>
          <w:trHeight w:val="129"/>
        </w:trPr>
        <w:tc>
          <w:tcPr>
            <w:tcW w:w="2840" w:type="dxa"/>
            <w:vAlign w:val="bottom"/>
          </w:tcPr>
          <w:p>
            <w:pPr>
              <w:spacing w:after="0" w:line="12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22,139,653</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2,430,482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1,617,451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26,187,586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18,956,498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4,491,676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1,643,883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25,092,057</w:t>
            </w:r>
          </w:p>
        </w:tc>
        <w:tc>
          <w:tcPr>
            <w:tcW w:w="20" w:type="dxa"/>
            <w:vAlign w:val="bottom"/>
          </w:tcPr>
          <w:p>
            <w:pPr>
              <w:spacing w:after="0"/>
              <w:rPr>
                <w:sz w:val="11"/>
                <w:szCs w:val="11"/>
                <w:color w:val="auto"/>
              </w:rPr>
            </w:pP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Less: Allowance for loan losses</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49,855</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116,289</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800,442</w:t>
            </w:r>
          </w:p>
        </w:tc>
        <w:tc>
          <w:tcPr>
            <w:tcW w:w="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966,586</w:t>
            </w: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66,260</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168,188</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819,671</w:t>
            </w:r>
          </w:p>
        </w:tc>
        <w:tc>
          <w:tcPr>
            <w:tcW w:w="900" w:type="dxa"/>
            <w:vAlign w:val="bottom"/>
            <w:gridSpan w:val="3"/>
          </w:tcPr>
          <w:p>
            <w:pPr>
              <w:jc w:val="right"/>
              <w:ind w:right="20"/>
              <w:spacing w:after="0"/>
              <w:rPr>
                <w:sz w:val="20"/>
                <w:szCs w:val="20"/>
                <w:color w:val="auto"/>
              </w:rPr>
            </w:pPr>
            <w:r>
              <w:rPr>
                <w:rFonts w:ascii="Arial" w:cs="Arial" w:eastAsia="Arial" w:hAnsi="Arial"/>
                <w:sz w:val="13"/>
                <w:szCs w:val="13"/>
                <w:color w:val="auto"/>
              </w:rPr>
              <w:t>1,054,119</w:t>
            </w:r>
          </w:p>
        </w:tc>
      </w:tr>
      <w:tr>
        <w:trPr>
          <w:trHeight w:val="141"/>
        </w:trPr>
        <w:tc>
          <w:tcPr>
            <w:tcW w:w="2840" w:type="dxa"/>
            <w:vAlign w:val="bottom"/>
          </w:tcPr>
          <w:p>
            <w:pPr>
              <w:spacing w:after="0" w:line="137" w:lineRule="exact"/>
              <w:rPr>
                <w:sz w:val="20"/>
                <w:szCs w:val="20"/>
                <w:color w:val="auto"/>
              </w:rPr>
            </w:pPr>
            <w:r>
              <w:rPr>
                <w:rFonts w:ascii="Arial" w:cs="Arial" w:eastAsia="Arial" w:hAnsi="Arial"/>
                <w:sz w:val="13"/>
                <w:szCs w:val="13"/>
                <w:b w:val="1"/>
                <w:bCs w:val="1"/>
                <w:color w:val="auto"/>
              </w:rPr>
              <w:t>Total, net</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22,089,798</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2,314,193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817,009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25,221,000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18,890,238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4,323,488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824,212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24,037,938</w:t>
            </w:r>
          </w:p>
        </w:tc>
      </w:tr>
    </w:tbl>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153"/>
        </w:trPr>
        <w:tc>
          <w:tcPr>
            <w:tcW w:w="2840" w:type="dxa"/>
            <w:vAlign w:val="bottom"/>
          </w:tcPr>
          <w:p>
            <w:pPr>
              <w:spacing w:after="0"/>
              <w:rPr>
                <w:sz w:val="20"/>
                <w:szCs w:val="20"/>
                <w:color w:val="auto"/>
              </w:rPr>
            </w:pPr>
            <w:r>
              <w:rPr>
                <w:rFonts w:ascii="Arial" w:cs="Arial" w:eastAsia="Arial" w:hAnsi="Arial"/>
                <w:sz w:val="13"/>
                <w:szCs w:val="13"/>
                <w:b w:val="1"/>
                <w:bCs w:val="1"/>
                <w:color w:val="auto"/>
              </w:rPr>
              <w:t>Small and Micro business loans</w:t>
            </w:r>
          </w:p>
        </w:tc>
        <w:tc>
          <w:tcPr>
            <w:tcW w:w="1000" w:type="dxa"/>
            <w:vAlign w:val="bottom"/>
            <w:gridSpan w:val="3"/>
          </w:tcPr>
          <w:p>
            <w:pPr>
              <w:ind w:left="120"/>
              <w:spacing w:after="0"/>
              <w:rPr>
                <w:sz w:val="20"/>
                <w:szCs w:val="20"/>
                <w:color w:val="auto"/>
              </w:rPr>
            </w:pPr>
            <w:r>
              <w:rPr>
                <w:rFonts w:ascii="Arial" w:cs="Arial" w:eastAsia="Arial" w:hAnsi="Arial"/>
                <w:sz w:val="13"/>
                <w:szCs w:val="13"/>
                <w:b w:val="1"/>
                <w:bCs w:val="1"/>
                <w:color w:val="auto"/>
              </w:rPr>
              <w:t>Stage 1</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Stage 2</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3</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1</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Stage 2</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3</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Total</w:t>
            </w:r>
          </w:p>
        </w:tc>
      </w:tr>
      <w:tr>
        <w:trPr>
          <w:trHeight w:val="129"/>
        </w:trPr>
        <w:tc>
          <w:tcPr>
            <w:tcW w:w="2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ind w:right="296"/>
              <w:spacing w:after="0" w:line="129" w:lineRule="exact"/>
              <w:rPr>
                <w:sz w:val="20"/>
                <w:szCs w:val="20"/>
                <w:color w:val="auto"/>
              </w:rPr>
            </w:pPr>
            <w:r>
              <w:rPr>
                <w:rFonts w:ascii="Arial" w:cs="Arial" w:eastAsia="Arial" w:hAnsi="Arial"/>
                <w:sz w:val="13"/>
                <w:szCs w:val="13"/>
                <w:b w:val="1"/>
                <w:bCs w:val="1"/>
                <w:color w:val="auto"/>
                <w:w w:val="93"/>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Neither past due nor impaired</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18,382,809</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3,627,093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22,009,902</w:t>
            </w:r>
          </w:p>
        </w:tc>
        <w:tc>
          <w:tcPr>
            <w:tcW w:w="8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16,589,516</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3,670,678</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20,260,194</w:t>
            </w: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Past due but not impaired</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194,879</w:t>
            </w: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467,420</w:t>
            </w:r>
          </w:p>
        </w:tc>
        <w:tc>
          <w:tcPr>
            <w:tcW w:w="60" w:type="dxa"/>
            <w:vAlign w:val="bottom"/>
          </w:tcPr>
          <w:p>
            <w:pPr>
              <w:spacing w:after="0"/>
              <w:rPr>
                <w:sz w:val="12"/>
                <w:szCs w:val="12"/>
                <w:color w:val="auto"/>
              </w:rPr>
            </w:pPr>
          </w:p>
        </w:tc>
        <w:tc>
          <w:tcPr>
            <w:tcW w:w="9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662,299</w:t>
            </w:r>
          </w:p>
        </w:tc>
        <w:tc>
          <w:tcPr>
            <w:tcW w:w="8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257,476</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573,634</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831,110</w:t>
            </w: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Impaired</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1,357,696</w:t>
            </w:r>
          </w:p>
        </w:tc>
        <w:tc>
          <w:tcPr>
            <w:tcW w:w="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1,357,696</w:t>
            </w:r>
          </w:p>
        </w:tc>
        <w:tc>
          <w:tcPr>
            <w:tcW w:w="6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1,686,829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1,686,829</w:t>
            </w:r>
          </w:p>
        </w:tc>
        <w:tc>
          <w:tcPr>
            <w:tcW w:w="20" w:type="dxa"/>
            <w:vAlign w:val="bottom"/>
          </w:tcPr>
          <w:p>
            <w:pPr>
              <w:spacing w:after="0"/>
              <w:rPr>
                <w:sz w:val="13"/>
                <w:szCs w:val="13"/>
                <w:color w:val="auto"/>
              </w:rPr>
            </w:pPr>
          </w:p>
        </w:tc>
      </w:tr>
      <w:tr>
        <w:trPr>
          <w:trHeight w:val="129"/>
        </w:trPr>
        <w:tc>
          <w:tcPr>
            <w:tcW w:w="2840" w:type="dxa"/>
            <w:vAlign w:val="bottom"/>
          </w:tcPr>
          <w:p>
            <w:pPr>
              <w:spacing w:after="0" w:line="12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18,577,688</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4,094,513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1,357,696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24,029,897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16,846,992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4,244,312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1,686,829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22,778,133</w:t>
            </w:r>
          </w:p>
        </w:tc>
        <w:tc>
          <w:tcPr>
            <w:tcW w:w="20" w:type="dxa"/>
            <w:vAlign w:val="bottom"/>
          </w:tcPr>
          <w:p>
            <w:pPr>
              <w:spacing w:after="0"/>
              <w:rPr>
                <w:sz w:val="11"/>
                <w:szCs w:val="11"/>
                <w:color w:val="auto"/>
              </w:rPr>
            </w:pP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Less: Allowance for loan losses</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472,604</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412,193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949,739</w:t>
            </w:r>
          </w:p>
        </w:tc>
        <w:tc>
          <w:tcPr>
            <w:tcW w:w="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1,834,536</w:t>
            </w: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384,145</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396,678</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1,167,311</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1,948,134</w:t>
            </w:r>
          </w:p>
        </w:tc>
        <w:tc>
          <w:tcPr>
            <w:tcW w:w="20" w:type="dxa"/>
            <w:vAlign w:val="bottom"/>
          </w:tcPr>
          <w:p>
            <w:pPr>
              <w:spacing w:after="0"/>
              <w:rPr>
                <w:sz w:val="13"/>
                <w:szCs w:val="13"/>
                <w:color w:val="auto"/>
              </w:rPr>
            </w:pPr>
          </w:p>
        </w:tc>
      </w:tr>
      <w:tr>
        <w:trPr>
          <w:trHeight w:val="141"/>
        </w:trPr>
        <w:tc>
          <w:tcPr>
            <w:tcW w:w="2840" w:type="dxa"/>
            <w:vAlign w:val="bottom"/>
          </w:tcPr>
          <w:p>
            <w:pPr>
              <w:spacing w:after="0" w:line="137" w:lineRule="exact"/>
              <w:rPr>
                <w:sz w:val="20"/>
                <w:szCs w:val="20"/>
                <w:color w:val="auto"/>
              </w:rPr>
            </w:pPr>
            <w:r>
              <w:rPr>
                <w:rFonts w:ascii="Arial" w:cs="Arial" w:eastAsia="Arial" w:hAnsi="Arial"/>
                <w:sz w:val="13"/>
                <w:szCs w:val="13"/>
                <w:b w:val="1"/>
                <w:bCs w:val="1"/>
                <w:color w:val="auto"/>
              </w:rPr>
              <w:t>Total, net</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18,105,084</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3,682,320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407,957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22,195,361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16,462,847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3,847,634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519,518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20,829,999</w:t>
            </w:r>
          </w:p>
        </w:tc>
        <w:tc>
          <w:tcPr>
            <w:tcW w:w="20" w:type="dxa"/>
            <w:vAlign w:val="bottom"/>
            <w:tcBorders>
              <w:bottom w:val="single" w:sz="8" w:color="auto"/>
            </w:tcBorders>
          </w:tcPr>
          <w:p>
            <w:pPr>
              <w:spacing w:after="0"/>
              <w:rPr>
                <w:sz w:val="12"/>
                <w:szCs w:val="12"/>
                <w:color w:val="auto"/>
              </w:rPr>
            </w:pPr>
          </w:p>
        </w:tc>
      </w:tr>
    </w:tbl>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153"/>
        </w:trPr>
        <w:tc>
          <w:tcPr>
            <w:tcW w:w="2840" w:type="dxa"/>
            <w:vAlign w:val="bottom"/>
          </w:tcPr>
          <w:p>
            <w:pPr>
              <w:spacing w:after="0"/>
              <w:rPr>
                <w:sz w:val="20"/>
                <w:szCs w:val="20"/>
                <w:color w:val="auto"/>
              </w:rPr>
            </w:pPr>
            <w:r>
              <w:rPr>
                <w:rFonts w:ascii="Arial" w:cs="Arial" w:eastAsia="Arial" w:hAnsi="Arial"/>
                <w:sz w:val="13"/>
                <w:szCs w:val="13"/>
                <w:b w:val="1"/>
                <w:bCs w:val="1"/>
                <w:color w:val="auto"/>
              </w:rPr>
              <w:t>Consumer loans</w:t>
            </w:r>
          </w:p>
        </w:tc>
        <w:tc>
          <w:tcPr>
            <w:tcW w:w="1000" w:type="dxa"/>
            <w:vAlign w:val="bottom"/>
            <w:gridSpan w:val="3"/>
          </w:tcPr>
          <w:p>
            <w:pPr>
              <w:ind w:left="120"/>
              <w:spacing w:after="0"/>
              <w:rPr>
                <w:sz w:val="20"/>
                <w:szCs w:val="20"/>
                <w:color w:val="auto"/>
              </w:rPr>
            </w:pPr>
            <w:r>
              <w:rPr>
                <w:rFonts w:ascii="Arial" w:cs="Arial" w:eastAsia="Arial" w:hAnsi="Arial"/>
                <w:sz w:val="13"/>
                <w:szCs w:val="13"/>
                <w:b w:val="1"/>
                <w:bCs w:val="1"/>
                <w:color w:val="auto"/>
              </w:rPr>
              <w:t>Stage 1</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Stage 2</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3</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1</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Stage 2</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3</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Total</w:t>
            </w:r>
          </w:p>
        </w:tc>
      </w:tr>
      <w:tr>
        <w:trPr>
          <w:trHeight w:val="129"/>
        </w:trPr>
        <w:tc>
          <w:tcPr>
            <w:tcW w:w="2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ind w:right="296"/>
              <w:spacing w:after="0" w:line="129" w:lineRule="exact"/>
              <w:rPr>
                <w:sz w:val="20"/>
                <w:szCs w:val="20"/>
                <w:color w:val="auto"/>
              </w:rPr>
            </w:pPr>
            <w:r>
              <w:rPr>
                <w:rFonts w:ascii="Arial" w:cs="Arial" w:eastAsia="Arial" w:hAnsi="Arial"/>
                <w:sz w:val="13"/>
                <w:szCs w:val="13"/>
                <w:b w:val="1"/>
                <w:bCs w:val="1"/>
                <w:color w:val="auto"/>
                <w:w w:val="93"/>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Neither past due nor impaired</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17,253,968</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3,122,322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20,376,290</w:t>
            </w:r>
          </w:p>
        </w:tc>
        <w:tc>
          <w:tcPr>
            <w:tcW w:w="8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14,188,847</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3,335,516</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17,524,363</w:t>
            </w: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Past due but not impaired</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158,736</w:t>
            </w: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344,579</w:t>
            </w:r>
          </w:p>
        </w:tc>
        <w:tc>
          <w:tcPr>
            <w:tcW w:w="60" w:type="dxa"/>
            <w:vAlign w:val="bottom"/>
          </w:tcPr>
          <w:p>
            <w:pPr>
              <w:spacing w:after="0"/>
              <w:rPr>
                <w:sz w:val="12"/>
                <w:szCs w:val="12"/>
                <w:color w:val="auto"/>
              </w:rPr>
            </w:pPr>
          </w:p>
        </w:tc>
        <w:tc>
          <w:tcPr>
            <w:tcW w:w="9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503,315</w:t>
            </w:r>
          </w:p>
        </w:tc>
        <w:tc>
          <w:tcPr>
            <w:tcW w:w="8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160,755</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383,227</w:t>
            </w:r>
          </w:p>
        </w:tc>
        <w:tc>
          <w:tcPr>
            <w:tcW w:w="6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543,982</w:t>
            </w: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Impaired</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1,387,164</w:t>
            </w:r>
          </w:p>
        </w:tc>
        <w:tc>
          <w:tcPr>
            <w:tcW w:w="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1,387,164</w:t>
            </w:r>
          </w:p>
        </w:tc>
        <w:tc>
          <w:tcPr>
            <w:tcW w:w="6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1,459,095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1,459,095</w:t>
            </w:r>
          </w:p>
        </w:tc>
        <w:tc>
          <w:tcPr>
            <w:tcW w:w="20" w:type="dxa"/>
            <w:vAlign w:val="bottom"/>
          </w:tcPr>
          <w:p>
            <w:pPr>
              <w:spacing w:after="0"/>
              <w:rPr>
                <w:sz w:val="13"/>
                <w:szCs w:val="13"/>
                <w:color w:val="auto"/>
              </w:rPr>
            </w:pPr>
          </w:p>
        </w:tc>
      </w:tr>
      <w:tr>
        <w:trPr>
          <w:trHeight w:val="129"/>
        </w:trPr>
        <w:tc>
          <w:tcPr>
            <w:tcW w:w="2840" w:type="dxa"/>
            <w:vAlign w:val="bottom"/>
          </w:tcPr>
          <w:p>
            <w:pPr>
              <w:spacing w:after="0" w:line="12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17,412,704</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3,466,901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1,387,164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22,266,769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14,349,602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3,718,743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1,459,095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19,527,440</w:t>
            </w:r>
          </w:p>
        </w:tc>
        <w:tc>
          <w:tcPr>
            <w:tcW w:w="20" w:type="dxa"/>
            <w:vAlign w:val="bottom"/>
          </w:tcPr>
          <w:p>
            <w:pPr>
              <w:spacing w:after="0"/>
              <w:rPr>
                <w:sz w:val="11"/>
                <w:szCs w:val="11"/>
                <w:color w:val="auto"/>
              </w:rPr>
            </w:pP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Less: Allowance for loan losses</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459,980</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499,439</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1,150,290</w:t>
            </w:r>
          </w:p>
        </w:tc>
        <w:tc>
          <w:tcPr>
            <w:tcW w:w="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2,109,709</w:t>
            </w: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331,011</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514,255</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1,203,250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2,048,516</w:t>
            </w:r>
          </w:p>
        </w:tc>
        <w:tc>
          <w:tcPr>
            <w:tcW w:w="20" w:type="dxa"/>
            <w:vAlign w:val="bottom"/>
          </w:tcPr>
          <w:p>
            <w:pPr>
              <w:spacing w:after="0"/>
              <w:rPr>
                <w:sz w:val="13"/>
                <w:szCs w:val="13"/>
                <w:color w:val="auto"/>
              </w:rPr>
            </w:pPr>
          </w:p>
        </w:tc>
      </w:tr>
      <w:tr>
        <w:trPr>
          <w:trHeight w:val="141"/>
        </w:trPr>
        <w:tc>
          <w:tcPr>
            <w:tcW w:w="2840" w:type="dxa"/>
            <w:vAlign w:val="bottom"/>
          </w:tcPr>
          <w:p>
            <w:pPr>
              <w:spacing w:after="0" w:line="137" w:lineRule="exact"/>
              <w:rPr>
                <w:sz w:val="20"/>
                <w:szCs w:val="20"/>
                <w:color w:val="auto"/>
              </w:rPr>
            </w:pPr>
            <w:r>
              <w:rPr>
                <w:rFonts w:ascii="Arial" w:cs="Arial" w:eastAsia="Arial" w:hAnsi="Arial"/>
                <w:sz w:val="13"/>
                <w:szCs w:val="13"/>
                <w:b w:val="1"/>
                <w:bCs w:val="1"/>
                <w:color w:val="auto"/>
              </w:rPr>
              <w:t>Total, net</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16,952,724</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2,967,462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236,874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20,157,060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14,018,591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3,204,488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255,845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17,478,924</w:t>
            </w:r>
          </w:p>
        </w:tc>
        <w:tc>
          <w:tcPr>
            <w:tcW w:w="20" w:type="dxa"/>
            <w:vAlign w:val="bottom"/>
            <w:tcBorders>
              <w:bottom w:val="single" w:sz="8" w:color="auto"/>
            </w:tcBorders>
          </w:tcPr>
          <w:p>
            <w:pPr>
              <w:spacing w:after="0"/>
              <w:rPr>
                <w:sz w:val="12"/>
                <w:szCs w:val="12"/>
                <w:color w:val="auto"/>
              </w:rPr>
            </w:pPr>
          </w:p>
        </w:tc>
      </w:tr>
    </w:tbl>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153"/>
        </w:trPr>
        <w:tc>
          <w:tcPr>
            <w:tcW w:w="2840" w:type="dxa"/>
            <w:vAlign w:val="bottom"/>
          </w:tcPr>
          <w:p>
            <w:pPr>
              <w:spacing w:after="0"/>
              <w:rPr>
                <w:sz w:val="20"/>
                <w:szCs w:val="20"/>
                <w:color w:val="auto"/>
              </w:rPr>
            </w:pPr>
            <w:r>
              <w:rPr>
                <w:rFonts w:ascii="Arial" w:cs="Arial" w:eastAsia="Arial" w:hAnsi="Arial"/>
                <w:sz w:val="13"/>
                <w:szCs w:val="13"/>
                <w:b w:val="1"/>
                <w:bCs w:val="1"/>
                <w:color w:val="auto"/>
              </w:rPr>
              <w:t>Consolidated of loans</w:t>
            </w:r>
          </w:p>
        </w:tc>
        <w:tc>
          <w:tcPr>
            <w:tcW w:w="1000" w:type="dxa"/>
            <w:vAlign w:val="bottom"/>
            <w:gridSpan w:val="3"/>
          </w:tcPr>
          <w:p>
            <w:pPr>
              <w:ind w:left="120"/>
              <w:spacing w:after="0"/>
              <w:rPr>
                <w:sz w:val="20"/>
                <w:szCs w:val="20"/>
                <w:color w:val="auto"/>
              </w:rPr>
            </w:pPr>
            <w:r>
              <w:rPr>
                <w:rFonts w:ascii="Arial" w:cs="Arial" w:eastAsia="Arial" w:hAnsi="Arial"/>
                <w:sz w:val="13"/>
                <w:szCs w:val="13"/>
                <w:b w:val="1"/>
                <w:bCs w:val="1"/>
                <w:color w:val="auto"/>
              </w:rPr>
              <w:t>Stage 1</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Stage 2</w:t>
            </w:r>
          </w:p>
        </w:tc>
        <w:tc>
          <w:tcPr>
            <w:tcW w:w="102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Stage 3</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1</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Stage 2</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Stage 3</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Total</w:t>
            </w:r>
          </w:p>
        </w:tc>
      </w:tr>
      <w:tr>
        <w:trPr>
          <w:trHeight w:val="129"/>
        </w:trPr>
        <w:tc>
          <w:tcPr>
            <w:tcW w:w="2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ind w:right="296"/>
              <w:spacing w:after="0" w:line="129" w:lineRule="exact"/>
              <w:rPr>
                <w:sz w:val="20"/>
                <w:szCs w:val="20"/>
                <w:color w:val="auto"/>
              </w:rPr>
            </w:pPr>
            <w:r>
              <w:rPr>
                <w:rFonts w:ascii="Arial" w:cs="Arial" w:eastAsia="Arial" w:hAnsi="Arial"/>
                <w:sz w:val="13"/>
                <w:szCs w:val="13"/>
                <w:b w:val="1"/>
                <w:bCs w:val="1"/>
                <w:color w:val="auto"/>
                <w:w w:val="93"/>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top w:val="single" w:sz="8" w:color="auto"/>
            </w:tcBorders>
          </w:tcPr>
          <w:p>
            <w:pPr>
              <w:jc w:val="right"/>
              <w:ind w:right="376"/>
              <w:spacing w:after="0" w:line="129" w:lineRule="exact"/>
              <w:rPr>
                <w:sz w:val="20"/>
                <w:szCs w:val="20"/>
                <w:color w:val="auto"/>
              </w:rPr>
            </w:pPr>
            <w:r>
              <w:rPr>
                <w:rFonts w:ascii="Arial" w:cs="Arial" w:eastAsia="Arial" w:hAnsi="Arial"/>
                <w:sz w:val="13"/>
                <w:szCs w:val="13"/>
                <w:b w:val="1"/>
                <w:bCs w:val="1"/>
                <w:color w:val="auto"/>
                <w:w w:val="93"/>
              </w:rPr>
              <w:t>S/(000)</w:t>
            </w: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1"/>
                <w:szCs w:val="11"/>
                <w:color w:val="auto"/>
              </w:rPr>
            </w:pPr>
          </w:p>
        </w:tc>
      </w:tr>
      <w:tr>
        <w:trPr>
          <w:trHeight w:val="145"/>
        </w:trPr>
        <w:tc>
          <w:tcPr>
            <w:tcW w:w="2840" w:type="dxa"/>
            <w:vAlign w:val="bottom"/>
          </w:tcPr>
          <w:p>
            <w:pPr>
              <w:spacing w:after="0" w:line="145" w:lineRule="exact"/>
              <w:rPr>
                <w:sz w:val="20"/>
                <w:szCs w:val="20"/>
                <w:color w:val="auto"/>
              </w:rPr>
            </w:pPr>
            <w:r>
              <w:rPr>
                <w:rFonts w:ascii="Arial" w:cs="Arial" w:eastAsia="Arial" w:hAnsi="Arial"/>
                <w:sz w:val="13"/>
                <w:szCs w:val="13"/>
                <w:color w:val="auto"/>
              </w:rPr>
              <w:t>Total gross direct credits, Note 7(a)</w:t>
            </w:r>
          </w:p>
        </w:tc>
        <w:tc>
          <w:tcPr>
            <w:tcW w:w="10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125,204,952</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14,542,032</w:t>
            </w:r>
          </w:p>
        </w:tc>
        <w:tc>
          <w:tcPr>
            <w:tcW w:w="102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8,882,114</w:t>
            </w:r>
          </w:p>
        </w:tc>
        <w:tc>
          <w:tcPr>
            <w:tcW w:w="7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6"/>
              </w:rPr>
              <w:t>148,629,098</w:t>
            </w:r>
          </w:p>
        </w:tc>
        <w:tc>
          <w:tcPr>
            <w:tcW w:w="8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118,068,867</w:t>
            </w:r>
          </w:p>
        </w:tc>
        <w:tc>
          <w:tcPr>
            <w:tcW w:w="7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16,432,348</w:t>
            </w:r>
          </w:p>
        </w:tc>
        <w:tc>
          <w:tcPr>
            <w:tcW w:w="8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9,818,030</w:t>
            </w:r>
          </w:p>
        </w:tc>
        <w:tc>
          <w:tcPr>
            <w:tcW w:w="9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144,319,245</w:t>
            </w:r>
          </w:p>
        </w:tc>
      </w:tr>
      <w:tr>
        <w:trPr>
          <w:trHeight w:val="153"/>
        </w:trPr>
        <w:tc>
          <w:tcPr>
            <w:tcW w:w="2840" w:type="dxa"/>
            <w:vAlign w:val="bottom"/>
          </w:tcPr>
          <w:p>
            <w:pPr>
              <w:spacing w:after="0"/>
              <w:rPr>
                <w:sz w:val="20"/>
                <w:szCs w:val="20"/>
                <w:color w:val="auto"/>
              </w:rPr>
            </w:pPr>
            <w:r>
              <w:rPr>
                <w:rFonts w:ascii="Arial" w:cs="Arial" w:eastAsia="Arial" w:hAnsi="Arial"/>
                <w:sz w:val="13"/>
                <w:szCs w:val="13"/>
                <w:color w:val="auto"/>
              </w:rPr>
              <w:t>Total allowance for loan losses, Note 7(a)</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1,418,877</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1,305,346</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4,945,727</w:t>
            </w:r>
          </w:p>
        </w:tc>
        <w:tc>
          <w:tcPr>
            <w:tcW w:w="1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7,669,950</w:t>
            </w: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1,274,546</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1,371,084</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5,349,347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7,994,977</w:t>
            </w:r>
          </w:p>
        </w:tc>
        <w:tc>
          <w:tcPr>
            <w:tcW w:w="20" w:type="dxa"/>
            <w:vAlign w:val="bottom"/>
          </w:tcPr>
          <w:p>
            <w:pPr>
              <w:spacing w:after="0"/>
              <w:rPr>
                <w:sz w:val="13"/>
                <w:szCs w:val="13"/>
                <w:color w:val="auto"/>
              </w:rPr>
            </w:pPr>
          </w:p>
        </w:tc>
      </w:tr>
      <w:tr>
        <w:trPr>
          <w:trHeight w:val="141"/>
        </w:trPr>
        <w:tc>
          <w:tcPr>
            <w:tcW w:w="2840" w:type="dxa"/>
            <w:vAlign w:val="bottom"/>
          </w:tcPr>
          <w:p>
            <w:pPr>
              <w:spacing w:after="0" w:line="137" w:lineRule="exact"/>
              <w:rPr>
                <w:sz w:val="20"/>
                <w:szCs w:val="20"/>
                <w:color w:val="auto"/>
              </w:rPr>
            </w:pPr>
            <w:r>
              <w:rPr>
                <w:rFonts w:ascii="Arial" w:cs="Arial" w:eastAsia="Arial" w:hAnsi="Arial"/>
                <w:sz w:val="13"/>
                <w:szCs w:val="13"/>
                <w:b w:val="1"/>
                <w:bCs w:val="1"/>
                <w:color w:val="auto"/>
              </w:rPr>
              <w:t>Total net direct loans</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123,786,075</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13,236,686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3,936,387</w:t>
            </w:r>
          </w:p>
        </w:tc>
        <w:tc>
          <w:tcPr>
            <w:tcW w:w="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140,959,148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116,794,321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15,061,264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4,468,683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136,324,268</w:t>
            </w:r>
          </w:p>
        </w:tc>
        <w:tc>
          <w:tcPr>
            <w:tcW w:w="20" w:type="dxa"/>
            <w:vAlign w:val="bottom"/>
            <w:tcBorders>
              <w:bottom w:val="single" w:sz="8" w:color="auto"/>
            </w:tcBorders>
          </w:tcPr>
          <w:p>
            <w:pPr>
              <w:spacing w:after="0"/>
              <w:rPr>
                <w:sz w:val="12"/>
                <w:szCs w:val="12"/>
                <w:color w:val="auto"/>
              </w:rPr>
            </w:pPr>
          </w:p>
        </w:tc>
      </w:tr>
    </w:tbl>
    <w:p>
      <w:pPr>
        <w:spacing w:after="0" w:line="32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400"/>
          </w:cols>
          <w:pgMar w:left="1180" w:top="304" w:right="319" w:bottom="1440" w:gutter="0" w:footer="0" w:header="0"/>
        </w:sectPr>
      </w:pPr>
    </w:p>
    <w:bookmarkStart w:id="145" w:name="page146"/>
    <w:bookmarkEnd w:id="145"/>
    <w:p>
      <w:pPr>
        <w:ind w:right="100"/>
        <w:spacing w:after="0" w:line="274" w:lineRule="auto"/>
        <w:rPr>
          <w:sz w:val="20"/>
          <w:szCs w:val="20"/>
          <w:color w:val="auto"/>
        </w:rPr>
      </w:pPr>
      <w:r>
        <w:rPr>
          <w:rFonts w:ascii="Arial" w:cs="Arial" w:eastAsia="Arial" w:hAnsi="Arial"/>
          <w:sz w:val="16"/>
          <w:szCs w:val="16"/>
          <w:color w:val="auto"/>
        </w:rPr>
        <w:t>At Credicorp, we separate renegotiated loans into two groups, focusing on operations that have suffered a significant increase in credit risk since their disbursement, which has generated modifications to the original loan agreement. Both groups are defined below:</w:t>
      </w:r>
    </w:p>
    <w:p>
      <w:pPr>
        <w:spacing w:after="0" w:line="123" w:lineRule="exact"/>
        <w:rPr>
          <w:sz w:val="20"/>
          <w:szCs w:val="20"/>
          <w:color w:val="auto"/>
        </w:rPr>
      </w:pPr>
    </w:p>
    <w:p>
      <w:pPr>
        <w:ind w:left="300" w:right="220" w:hanging="295"/>
        <w:spacing w:after="0" w:line="246" w:lineRule="auto"/>
        <w:tabs>
          <w:tab w:leader="none" w:pos="3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Refinanced loans: are those loans that have undergone modifications in the initial loan agreement (term and interest rate), according to the accounting definition.</w:t>
      </w:r>
    </w:p>
    <w:p>
      <w:pPr>
        <w:ind w:left="300" w:right="20" w:hanging="295"/>
        <w:spacing w:after="0" w:line="241" w:lineRule="auto"/>
        <w:tabs>
          <w:tab w:leader="none" w:pos="3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Renegotiated loans: are those loans for which, due to the pandemic during 2020 and 2021 and/or the Peruvian context of intense rain and social unrest during 2023, the SBS and other local regulators of the countries where Credicorp operates have established that certain benefits be granted, and that Credicorp has also voluntarily granted to its clients (grace periods, debt consolidation, etc.), which were not in the initial credit agreements.</w:t>
      </w:r>
    </w:p>
    <w:p>
      <w:pPr>
        <w:spacing w:after="0" w:line="150"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Below is the amount of gross portfolio balance and allowance for loan losses for Credicorp’s renegotiated loans. The presentation is made for each of the two groups defined above and by opening the balances by stage. It should be noted that for the construction of the tables, the information of the three subsidiaries that concentrate more than 95.0 percent of the balance of renegotiated loans (BCP, Mibanco and BCB) has been considered.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and 2024, renegotiated loans, refinanced loans and their expected loss are composed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Allowance for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Allowance for</w:t>
            </w:r>
          </w:p>
        </w:tc>
        <w:tc>
          <w:tcPr>
            <w:tcW w:w="20" w:type="dxa"/>
            <w:vAlign w:val="bottom"/>
          </w:tcPr>
          <w:p>
            <w:pPr>
              <w:spacing w:after="0"/>
              <w:rPr>
                <w:sz w:val="13"/>
                <w:szCs w:val="13"/>
                <w:color w:val="auto"/>
              </w:rPr>
            </w:pPr>
          </w:p>
        </w:tc>
      </w:tr>
      <w:tr>
        <w:trPr>
          <w:trHeight w:val="198"/>
        </w:trPr>
        <w:tc>
          <w:tcPr>
            <w:tcW w:w="720" w:type="dxa"/>
            <w:vAlign w:val="bottom"/>
          </w:tcPr>
          <w:p>
            <w:pPr>
              <w:spacing w:after="0"/>
              <w:rPr>
                <w:sz w:val="17"/>
                <w:szCs w:val="17"/>
                <w:color w:val="auto"/>
              </w:rPr>
            </w:pPr>
          </w:p>
        </w:tc>
        <w:tc>
          <w:tcPr>
            <w:tcW w:w="1860" w:type="dxa"/>
            <w:vAlign w:val="bottom"/>
            <w:gridSpan w:val="3"/>
          </w:tcPr>
          <w:p>
            <w:pPr>
              <w:ind w:left="160"/>
              <w:spacing w:after="0"/>
              <w:rPr>
                <w:sz w:val="20"/>
                <w:szCs w:val="20"/>
                <w:color w:val="auto"/>
              </w:rPr>
            </w:pPr>
            <w:r>
              <w:rPr>
                <w:rFonts w:ascii="Arial" w:cs="Arial" w:eastAsia="Arial" w:hAnsi="Arial"/>
                <w:sz w:val="16"/>
                <w:szCs w:val="16"/>
                <w:b w:val="1"/>
                <w:bCs w:val="1"/>
                <w:color w:val="auto"/>
              </w:rPr>
              <w:t>Refinanced loans</w:t>
            </w: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loan losses</w:t>
            </w:r>
          </w:p>
        </w:tc>
        <w:tc>
          <w:tcPr>
            <w:tcW w:w="2740" w:type="dxa"/>
            <w:vAlign w:val="bottom"/>
            <w:gridSpan w:val="5"/>
          </w:tcPr>
          <w:p>
            <w:pPr>
              <w:spacing w:after="0"/>
              <w:rPr>
                <w:sz w:val="20"/>
                <w:szCs w:val="20"/>
                <w:color w:val="auto"/>
              </w:rPr>
            </w:pPr>
            <w:r>
              <w:rPr>
                <w:rFonts w:ascii="Arial" w:cs="Arial" w:eastAsia="Arial" w:hAnsi="Arial"/>
                <w:sz w:val="16"/>
                <w:szCs w:val="16"/>
                <w:b w:val="1"/>
                <w:bCs w:val="1"/>
                <w:color w:val="auto"/>
              </w:rPr>
              <w:t>Refinanced loans loan losses</w:t>
            </w:r>
          </w:p>
        </w:tc>
      </w:tr>
      <w:tr>
        <w:trPr>
          <w:trHeight w:val="214"/>
        </w:trPr>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720" w:type="dxa"/>
            <w:vAlign w:val="bottom"/>
          </w:tcPr>
          <w:p>
            <w:pPr>
              <w:spacing w:after="0"/>
              <w:rPr>
                <w:sz w:val="20"/>
                <w:szCs w:val="20"/>
                <w:color w:val="auto"/>
              </w:rPr>
            </w:pPr>
            <w:r>
              <w:rPr>
                <w:rFonts w:ascii="Arial" w:cs="Arial" w:eastAsia="Arial" w:hAnsi="Arial"/>
                <w:sz w:val="16"/>
                <w:szCs w:val="16"/>
                <w:color w:val="auto"/>
              </w:rPr>
              <w:t>Stage 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108,144</w:t>
            </w:r>
          </w:p>
        </w:tc>
        <w:tc>
          <w:tcPr>
            <w:tcW w:w="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7,708</w:t>
            </w: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89,847</w:t>
            </w:r>
          </w:p>
        </w:tc>
        <w:tc>
          <w:tcPr>
            <w:tcW w:w="1340" w:type="dxa"/>
            <w:vAlign w:val="bottom"/>
          </w:tcPr>
          <w:p>
            <w:pPr>
              <w:jc w:val="right"/>
              <w:spacing w:after="0"/>
              <w:rPr>
                <w:sz w:val="20"/>
                <w:szCs w:val="20"/>
                <w:color w:val="auto"/>
              </w:rPr>
            </w:pPr>
            <w:r>
              <w:rPr>
                <w:rFonts w:ascii="Arial" w:cs="Arial" w:eastAsia="Arial" w:hAnsi="Arial"/>
                <w:sz w:val="16"/>
                <w:szCs w:val="16"/>
                <w:color w:val="auto"/>
              </w:rPr>
              <w:t>5,961</w:t>
            </w:r>
          </w:p>
        </w:tc>
        <w:tc>
          <w:tcPr>
            <w:tcW w:w="20" w:type="dxa"/>
            <w:vAlign w:val="bottom"/>
          </w:tcPr>
          <w:p>
            <w:pPr>
              <w:spacing w:after="0"/>
              <w:rPr>
                <w:sz w:val="24"/>
                <w:szCs w:val="24"/>
                <w:color w:val="auto"/>
              </w:rPr>
            </w:pPr>
          </w:p>
        </w:tc>
      </w:tr>
      <w:tr>
        <w:trPr>
          <w:trHeight w:val="181"/>
        </w:trPr>
        <w:tc>
          <w:tcPr>
            <w:tcW w:w="720" w:type="dxa"/>
            <w:vAlign w:val="bottom"/>
          </w:tcPr>
          <w:p>
            <w:pPr>
              <w:spacing w:after="0" w:line="181" w:lineRule="exact"/>
              <w:rPr>
                <w:sz w:val="20"/>
                <w:szCs w:val="20"/>
                <w:color w:val="auto"/>
              </w:rPr>
            </w:pPr>
            <w:r>
              <w:rPr>
                <w:rFonts w:ascii="Arial" w:cs="Arial" w:eastAsia="Arial" w:hAnsi="Arial"/>
                <w:sz w:val="16"/>
                <w:szCs w:val="16"/>
                <w:color w:val="auto"/>
              </w:rPr>
              <w:t>Stage 2</w:t>
            </w:r>
          </w:p>
        </w:tc>
        <w:tc>
          <w:tcPr>
            <w:tcW w:w="18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82,595</w:t>
            </w:r>
          </w:p>
        </w:tc>
        <w:tc>
          <w:tcPr>
            <w:tcW w:w="14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10,046</w:t>
            </w:r>
          </w:p>
        </w:tc>
        <w:tc>
          <w:tcPr>
            <w:tcW w:w="13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60,494</w:t>
            </w:r>
          </w:p>
        </w:tc>
        <w:tc>
          <w:tcPr>
            <w:tcW w:w="1340" w:type="dxa"/>
            <w:vAlign w:val="bottom"/>
          </w:tcPr>
          <w:p>
            <w:pPr>
              <w:jc w:val="right"/>
              <w:spacing w:after="0" w:line="181" w:lineRule="exact"/>
              <w:rPr>
                <w:sz w:val="20"/>
                <w:szCs w:val="20"/>
                <w:color w:val="auto"/>
              </w:rPr>
            </w:pPr>
            <w:r>
              <w:rPr>
                <w:rFonts w:ascii="Arial" w:cs="Arial" w:eastAsia="Arial" w:hAnsi="Arial"/>
                <w:sz w:val="16"/>
                <w:szCs w:val="16"/>
                <w:color w:val="auto"/>
              </w:rPr>
              <w:t>9,968</w:t>
            </w:r>
          </w:p>
        </w:tc>
        <w:tc>
          <w:tcPr>
            <w:tcW w:w="20" w:type="dxa"/>
            <w:vAlign w:val="bottom"/>
          </w:tcPr>
          <w:p>
            <w:pPr>
              <w:spacing w:after="0"/>
              <w:rPr>
                <w:sz w:val="15"/>
                <w:szCs w:val="15"/>
                <w:color w:val="auto"/>
              </w:rPr>
            </w:pPr>
          </w:p>
        </w:tc>
      </w:tr>
      <w:tr>
        <w:trPr>
          <w:trHeight w:val="198"/>
        </w:trPr>
        <w:tc>
          <w:tcPr>
            <w:tcW w:w="720" w:type="dxa"/>
            <w:vAlign w:val="bottom"/>
          </w:tcPr>
          <w:p>
            <w:pPr>
              <w:spacing w:after="0"/>
              <w:rPr>
                <w:sz w:val="20"/>
                <w:szCs w:val="20"/>
                <w:color w:val="auto"/>
              </w:rPr>
            </w:pPr>
            <w:r>
              <w:rPr>
                <w:rFonts w:ascii="Arial" w:cs="Arial" w:eastAsia="Arial" w:hAnsi="Arial"/>
                <w:sz w:val="16"/>
                <w:szCs w:val="16"/>
                <w:color w:val="auto"/>
              </w:rPr>
              <w:t>Stage 3</w:t>
            </w:r>
          </w:p>
        </w:tc>
        <w:tc>
          <w:tcPr>
            <w:tcW w:w="1860" w:type="dxa"/>
            <w:vAlign w:val="bottom"/>
            <w:gridSpan w:val="3"/>
          </w:tcPr>
          <w:p>
            <w:pPr>
              <w:jc w:val="right"/>
              <w:ind w:right="60"/>
              <w:spacing w:after="0"/>
              <w:rPr>
                <w:sz w:val="20"/>
                <w:szCs w:val="20"/>
                <w:color w:val="auto"/>
              </w:rPr>
            </w:pPr>
            <w:r>
              <w:rPr>
                <w:rFonts w:ascii="Arial" w:cs="Arial" w:eastAsia="Arial" w:hAnsi="Arial"/>
                <w:sz w:val="16"/>
                <w:szCs w:val="16"/>
                <w:color w:val="auto"/>
              </w:rPr>
              <w:t>1,737,423</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865,367</w:t>
            </w: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2,059,690</w:t>
            </w:r>
          </w:p>
        </w:tc>
        <w:tc>
          <w:tcPr>
            <w:tcW w:w="1340" w:type="dxa"/>
            <w:vAlign w:val="bottom"/>
          </w:tcPr>
          <w:p>
            <w:pPr>
              <w:jc w:val="right"/>
              <w:spacing w:after="0"/>
              <w:rPr>
                <w:sz w:val="20"/>
                <w:szCs w:val="20"/>
                <w:color w:val="auto"/>
              </w:rPr>
            </w:pPr>
            <w:r>
              <w:rPr>
                <w:rFonts w:ascii="Arial" w:cs="Arial" w:eastAsia="Arial" w:hAnsi="Arial"/>
                <w:sz w:val="16"/>
                <w:szCs w:val="16"/>
                <w:color w:val="auto"/>
              </w:rPr>
              <w:t>971,741</w:t>
            </w:r>
          </w:p>
        </w:tc>
        <w:tc>
          <w:tcPr>
            <w:tcW w:w="20" w:type="dxa"/>
            <w:vAlign w:val="bottom"/>
          </w:tcPr>
          <w:p>
            <w:pPr>
              <w:spacing w:after="0"/>
              <w:rPr>
                <w:sz w:val="17"/>
                <w:szCs w:val="17"/>
                <w:color w:val="auto"/>
              </w:rPr>
            </w:pPr>
          </w:p>
        </w:tc>
      </w:tr>
      <w:tr>
        <w:trPr>
          <w:trHeight w:val="177"/>
        </w:trPr>
        <w:tc>
          <w:tcPr>
            <w:tcW w:w="72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5"/>
                <w:szCs w:val="15"/>
                <w:color w:val="auto"/>
              </w:rPr>
            </w:pPr>
          </w:p>
        </w:tc>
        <w:tc>
          <w:tcPr>
            <w:tcW w:w="16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1,928,162</w:t>
            </w:r>
          </w:p>
        </w:tc>
        <w:tc>
          <w:tcPr>
            <w:tcW w:w="6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883,121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2,210,031</w:t>
            </w:r>
          </w:p>
        </w:tc>
        <w:tc>
          <w:tcPr>
            <w:tcW w:w="6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987,670</w:t>
            </w:r>
          </w:p>
        </w:tc>
        <w:tc>
          <w:tcPr>
            <w:tcW w:w="20" w:type="dxa"/>
            <w:vAlign w:val="bottom"/>
            <w:tcBorders>
              <w:top w:val="single" w:sz="8" w:color="auto"/>
            </w:tcBorders>
          </w:tcPr>
          <w:p>
            <w:pPr>
              <w:spacing w:after="0"/>
              <w:rPr>
                <w:sz w:val="15"/>
                <w:szCs w:val="15"/>
                <w:color w:val="auto"/>
              </w:rPr>
            </w:pPr>
          </w:p>
        </w:tc>
      </w:tr>
      <w:tr>
        <w:trPr>
          <w:trHeight w:val="350"/>
        </w:trPr>
        <w:tc>
          <w:tcPr>
            <w:tcW w:w="72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Allowance for</w:t>
            </w:r>
          </w:p>
        </w:tc>
        <w:tc>
          <w:tcPr>
            <w:tcW w:w="80" w:type="dxa"/>
            <w:vAlign w:val="bottom"/>
          </w:tcPr>
          <w:p>
            <w:pPr>
              <w:spacing w:after="0"/>
              <w:rPr>
                <w:sz w:val="13"/>
                <w:szCs w:val="13"/>
                <w:color w:val="auto"/>
              </w:rPr>
            </w:pPr>
          </w:p>
        </w:tc>
        <w:tc>
          <w:tcPr>
            <w:tcW w:w="138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6"/>
                <w:szCs w:val="16"/>
                <w:b w:val="1"/>
                <w:bCs w:val="1"/>
                <w:color w:val="auto"/>
              </w:rPr>
              <w:t>Renegotiated</w:t>
            </w:r>
          </w:p>
        </w:tc>
        <w:tc>
          <w:tcPr>
            <w:tcW w:w="13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Allowance for</w:t>
            </w:r>
          </w:p>
        </w:tc>
        <w:tc>
          <w:tcPr>
            <w:tcW w:w="20" w:type="dxa"/>
            <w:vAlign w:val="bottom"/>
          </w:tcPr>
          <w:p>
            <w:pPr>
              <w:spacing w:after="0"/>
              <w:rPr>
                <w:sz w:val="13"/>
                <w:szCs w:val="13"/>
                <w:color w:val="auto"/>
              </w:rPr>
            </w:pPr>
          </w:p>
        </w:tc>
      </w:tr>
      <w:tr>
        <w:trPr>
          <w:trHeight w:val="198"/>
        </w:trPr>
        <w:tc>
          <w:tcPr>
            <w:tcW w:w="720" w:type="dxa"/>
            <w:vAlign w:val="bottom"/>
          </w:tcPr>
          <w:p>
            <w:pPr>
              <w:spacing w:after="0"/>
              <w:rPr>
                <w:sz w:val="17"/>
                <w:szCs w:val="17"/>
                <w:color w:val="auto"/>
              </w:rPr>
            </w:pPr>
          </w:p>
        </w:tc>
        <w:tc>
          <w:tcPr>
            <w:tcW w:w="1860" w:type="dxa"/>
            <w:vAlign w:val="bottom"/>
            <w:gridSpan w:val="3"/>
          </w:tcPr>
          <w:p>
            <w:pPr>
              <w:ind w:left="160"/>
              <w:spacing w:after="0"/>
              <w:rPr>
                <w:sz w:val="20"/>
                <w:szCs w:val="20"/>
                <w:color w:val="auto"/>
              </w:rPr>
            </w:pPr>
            <w:r>
              <w:rPr>
                <w:rFonts w:ascii="Arial" w:cs="Arial" w:eastAsia="Arial" w:hAnsi="Arial"/>
                <w:sz w:val="16"/>
                <w:szCs w:val="16"/>
                <w:b w:val="1"/>
                <w:bCs w:val="1"/>
                <w:color w:val="auto"/>
              </w:rPr>
              <w:t>Renegotiated loans</w:t>
            </w: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loan losses</w:t>
            </w:r>
          </w:p>
        </w:tc>
        <w:tc>
          <w:tcPr>
            <w:tcW w:w="1380" w:type="dxa"/>
            <w:vAlign w:val="bottom"/>
            <w:gridSpan w:val="3"/>
          </w:tcPr>
          <w:p>
            <w:pPr>
              <w:spacing w:after="0"/>
              <w:rPr>
                <w:sz w:val="20"/>
                <w:szCs w:val="20"/>
                <w:color w:val="auto"/>
              </w:rPr>
            </w:pPr>
            <w:r>
              <w:rPr>
                <w:rFonts w:ascii="Arial" w:cs="Arial" w:eastAsia="Arial" w:hAnsi="Arial"/>
                <w:sz w:val="16"/>
                <w:szCs w:val="16"/>
                <w:b w:val="1"/>
                <w:bCs w:val="1"/>
                <w:color w:val="auto"/>
              </w:rPr>
              <w:t>loans</w:t>
            </w: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loan losses</w:t>
            </w:r>
          </w:p>
        </w:tc>
      </w:tr>
      <w:tr>
        <w:trPr>
          <w:trHeight w:val="214"/>
        </w:trPr>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720" w:type="dxa"/>
            <w:vAlign w:val="bottom"/>
          </w:tcPr>
          <w:p>
            <w:pPr>
              <w:spacing w:after="0"/>
              <w:rPr>
                <w:sz w:val="20"/>
                <w:szCs w:val="20"/>
                <w:color w:val="auto"/>
              </w:rPr>
            </w:pPr>
            <w:r>
              <w:rPr>
                <w:rFonts w:ascii="Arial" w:cs="Arial" w:eastAsia="Arial" w:hAnsi="Arial"/>
                <w:sz w:val="16"/>
                <w:szCs w:val="16"/>
                <w:color w:val="auto"/>
              </w:rPr>
              <w:t>Stage 1</w:t>
            </w:r>
          </w:p>
        </w:tc>
        <w:tc>
          <w:tcPr>
            <w:tcW w:w="1860" w:type="dxa"/>
            <w:vAlign w:val="bottom"/>
            <w:gridSpan w:val="3"/>
          </w:tcPr>
          <w:p>
            <w:pPr>
              <w:jc w:val="right"/>
              <w:ind w:right="60"/>
              <w:spacing w:after="0"/>
              <w:rPr>
                <w:sz w:val="20"/>
                <w:szCs w:val="20"/>
                <w:color w:val="auto"/>
              </w:rPr>
            </w:pPr>
            <w:r>
              <w:rPr>
                <w:rFonts w:ascii="Arial" w:cs="Arial" w:eastAsia="Arial" w:hAnsi="Arial"/>
                <w:sz w:val="16"/>
                <w:szCs w:val="16"/>
                <w:color w:val="auto"/>
              </w:rPr>
              <w:t>1,869,447</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8,836</w:t>
            </w: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3,090,297</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23,513</w:t>
            </w:r>
          </w:p>
        </w:tc>
      </w:tr>
      <w:tr>
        <w:trPr>
          <w:trHeight w:val="181"/>
        </w:trPr>
        <w:tc>
          <w:tcPr>
            <w:tcW w:w="720" w:type="dxa"/>
            <w:vAlign w:val="bottom"/>
          </w:tcPr>
          <w:p>
            <w:pPr>
              <w:spacing w:after="0" w:line="181" w:lineRule="exact"/>
              <w:rPr>
                <w:sz w:val="20"/>
                <w:szCs w:val="20"/>
                <w:color w:val="auto"/>
              </w:rPr>
            </w:pPr>
            <w:r>
              <w:rPr>
                <w:rFonts w:ascii="Arial" w:cs="Arial" w:eastAsia="Arial" w:hAnsi="Arial"/>
                <w:sz w:val="16"/>
                <w:szCs w:val="16"/>
                <w:color w:val="auto"/>
              </w:rPr>
              <w:t>Stage 2</w:t>
            </w:r>
          </w:p>
        </w:tc>
        <w:tc>
          <w:tcPr>
            <w:tcW w:w="18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284,866</w:t>
            </w:r>
          </w:p>
        </w:tc>
        <w:tc>
          <w:tcPr>
            <w:tcW w:w="60" w:type="dxa"/>
            <w:vAlign w:val="bottom"/>
          </w:tcPr>
          <w:p>
            <w:pPr>
              <w:spacing w:after="0"/>
              <w:rPr>
                <w:sz w:val="15"/>
                <w:szCs w:val="15"/>
                <w:color w:val="auto"/>
              </w:rPr>
            </w:pPr>
          </w:p>
        </w:tc>
        <w:tc>
          <w:tcPr>
            <w:tcW w:w="14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25,041</w:t>
            </w:r>
          </w:p>
        </w:tc>
        <w:tc>
          <w:tcPr>
            <w:tcW w:w="13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579,176</w:t>
            </w:r>
          </w:p>
        </w:tc>
        <w:tc>
          <w:tcPr>
            <w:tcW w:w="13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55,208</w:t>
            </w:r>
          </w:p>
        </w:tc>
      </w:tr>
      <w:tr>
        <w:trPr>
          <w:trHeight w:val="198"/>
        </w:trPr>
        <w:tc>
          <w:tcPr>
            <w:tcW w:w="720" w:type="dxa"/>
            <w:vAlign w:val="bottom"/>
          </w:tcPr>
          <w:p>
            <w:pPr>
              <w:spacing w:after="0"/>
              <w:rPr>
                <w:sz w:val="20"/>
                <w:szCs w:val="20"/>
                <w:color w:val="auto"/>
              </w:rPr>
            </w:pPr>
            <w:r>
              <w:rPr>
                <w:rFonts w:ascii="Arial" w:cs="Arial" w:eastAsia="Arial" w:hAnsi="Arial"/>
                <w:sz w:val="16"/>
                <w:szCs w:val="16"/>
                <w:color w:val="auto"/>
              </w:rPr>
              <w:t>Stage 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531,370</w:t>
            </w:r>
          </w:p>
        </w:tc>
        <w:tc>
          <w:tcPr>
            <w:tcW w:w="6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308,266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711,770</w:t>
            </w:r>
          </w:p>
        </w:tc>
        <w:tc>
          <w:tcPr>
            <w:tcW w:w="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417,017</w:t>
            </w:r>
          </w:p>
        </w:tc>
        <w:tc>
          <w:tcPr>
            <w:tcW w:w="20" w:type="dxa"/>
            <w:vAlign w:val="bottom"/>
          </w:tcPr>
          <w:p>
            <w:pPr>
              <w:spacing w:after="0"/>
              <w:rPr>
                <w:sz w:val="17"/>
                <w:szCs w:val="17"/>
                <w:color w:val="auto"/>
              </w:rPr>
            </w:pPr>
          </w:p>
        </w:tc>
      </w:tr>
      <w:tr>
        <w:trPr>
          <w:trHeight w:val="177"/>
        </w:trPr>
        <w:tc>
          <w:tcPr>
            <w:tcW w:w="72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5"/>
                <w:szCs w:val="15"/>
                <w:color w:val="auto"/>
              </w:rPr>
            </w:pPr>
          </w:p>
        </w:tc>
        <w:tc>
          <w:tcPr>
            <w:tcW w:w="16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2,685,683</w:t>
            </w:r>
          </w:p>
        </w:tc>
        <w:tc>
          <w:tcPr>
            <w:tcW w:w="6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342,143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4,381,243</w:t>
            </w:r>
          </w:p>
        </w:tc>
        <w:tc>
          <w:tcPr>
            <w:tcW w:w="6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495,738</w:t>
            </w:r>
          </w:p>
        </w:tc>
        <w:tc>
          <w:tcPr>
            <w:tcW w:w="20" w:type="dxa"/>
            <w:vAlign w:val="bottom"/>
            <w:tcBorders>
              <w:top w:val="single" w:sz="8" w:color="auto"/>
              <w:bottom w:val="single" w:sz="8" w:color="auto"/>
            </w:tcBorders>
          </w:tcPr>
          <w:p>
            <w:pPr>
              <w:spacing w:after="0"/>
              <w:rPr>
                <w:sz w:val="15"/>
                <w:szCs w:val="15"/>
                <w:color w:val="auto"/>
              </w:rPr>
            </w:pPr>
          </w:p>
        </w:tc>
      </w:tr>
    </w:tbl>
    <w:p>
      <w:pPr>
        <w:spacing w:after="0" w:line="164"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The detail of the gross amount of impaired direct loans by type of loan, together with the fair value of the related collateral and the amounts of its allowance for loan losses,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80" w:type="dxa"/>
            <w:vAlign w:val="bottom"/>
          </w:tcPr>
          <w:p>
            <w:pPr>
              <w:spacing w:after="0"/>
              <w:rPr>
                <w:sz w:val="10"/>
                <w:szCs w:val="10"/>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2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tcPr>
          <w:p>
            <w:pPr>
              <w:ind w:left="40"/>
              <w:spacing w:after="0" w:line="88" w:lineRule="exact"/>
              <w:rPr>
                <w:sz w:val="20"/>
                <w:szCs w:val="20"/>
                <w:color w:val="auto"/>
              </w:rPr>
            </w:pPr>
            <w:r>
              <w:rPr>
                <w:rFonts w:ascii="Arial" w:cs="Arial" w:eastAsia="Arial" w:hAnsi="Arial"/>
                <w:sz w:val="10"/>
                <w:szCs w:val="10"/>
                <w:b w:val="1"/>
                <w:bCs w:val="1"/>
                <w:color w:val="auto"/>
              </w:rPr>
              <w:t>Residential</w:t>
            </w: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3"/>
          </w:tcPr>
          <w:p>
            <w:pPr>
              <w:ind w:left="60"/>
              <w:spacing w:after="0" w:line="88" w:lineRule="exact"/>
              <w:rPr>
                <w:sz w:val="20"/>
                <w:szCs w:val="20"/>
                <w:color w:val="auto"/>
              </w:rPr>
            </w:pPr>
            <w:r>
              <w:rPr>
                <w:rFonts w:ascii="Arial" w:cs="Arial" w:eastAsia="Arial" w:hAnsi="Arial"/>
                <w:sz w:val="10"/>
                <w:szCs w:val="10"/>
                <w:b w:val="1"/>
                <w:bCs w:val="1"/>
                <w:color w:val="auto"/>
              </w:rPr>
              <w:t>Residential</w:t>
            </w: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9"/>
        </w:trPr>
        <w:tc>
          <w:tcPr>
            <w:tcW w:w="2180" w:type="dxa"/>
            <w:vAlign w:val="bottom"/>
          </w:tcPr>
          <w:p>
            <w:pPr>
              <w:spacing w:after="0"/>
              <w:rPr>
                <w:sz w:val="9"/>
                <w:szCs w:val="9"/>
                <w:color w:val="auto"/>
              </w:rPr>
            </w:pPr>
          </w:p>
        </w:tc>
        <w:tc>
          <w:tcPr>
            <w:tcW w:w="90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Commercial</w:t>
            </w:r>
          </w:p>
        </w:tc>
        <w:tc>
          <w:tcPr>
            <w:tcW w:w="740" w:type="dxa"/>
            <w:vAlign w:val="bottom"/>
            <w:gridSpan w:val="3"/>
          </w:tcPr>
          <w:p>
            <w:pPr>
              <w:ind w:left="40"/>
              <w:spacing w:after="0" w:line="109" w:lineRule="exact"/>
              <w:rPr>
                <w:sz w:val="20"/>
                <w:szCs w:val="20"/>
                <w:color w:val="auto"/>
              </w:rPr>
            </w:pPr>
            <w:r>
              <w:rPr>
                <w:rFonts w:ascii="Arial" w:cs="Arial" w:eastAsia="Arial" w:hAnsi="Arial"/>
                <w:sz w:val="10"/>
                <w:szCs w:val="10"/>
                <w:b w:val="1"/>
                <w:bCs w:val="1"/>
                <w:color w:val="auto"/>
              </w:rPr>
              <w:t>mortgage</w:t>
            </w:r>
          </w:p>
        </w:tc>
        <w:tc>
          <w:tcPr>
            <w:tcW w:w="1100" w:type="dxa"/>
            <w:vAlign w:val="bottom"/>
            <w:gridSpan w:val="3"/>
          </w:tcPr>
          <w:p>
            <w:pPr>
              <w:ind w:left="40"/>
              <w:spacing w:after="0" w:line="109" w:lineRule="exact"/>
              <w:rPr>
                <w:sz w:val="20"/>
                <w:szCs w:val="20"/>
                <w:color w:val="auto"/>
              </w:rPr>
            </w:pPr>
            <w:r>
              <w:rPr>
                <w:rFonts w:ascii="Arial" w:cs="Arial" w:eastAsia="Arial" w:hAnsi="Arial"/>
                <w:sz w:val="10"/>
                <w:szCs w:val="10"/>
                <w:b w:val="1"/>
                <w:bCs w:val="1"/>
                <w:color w:val="auto"/>
              </w:rPr>
              <w:t>Microbusiness</w:t>
            </w:r>
          </w:p>
        </w:tc>
        <w:tc>
          <w:tcPr>
            <w:tcW w:w="7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Consumer</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Commercial</w:t>
            </w: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mortgage</w:t>
            </w:r>
          </w:p>
        </w:tc>
        <w:tc>
          <w:tcPr>
            <w:tcW w:w="92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Microbusiness</w:t>
            </w:r>
          </w:p>
        </w:tc>
        <w:tc>
          <w:tcPr>
            <w:tcW w:w="82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Consumer</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218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loans</w:t>
            </w:r>
          </w:p>
        </w:tc>
        <w:tc>
          <w:tcPr>
            <w:tcW w:w="740" w:type="dxa"/>
            <w:vAlign w:val="bottom"/>
            <w:gridSpan w:val="3"/>
          </w:tcPr>
          <w:p>
            <w:pPr>
              <w:ind w:left="40"/>
              <w:spacing w:after="0"/>
              <w:rPr>
                <w:sz w:val="20"/>
                <w:szCs w:val="20"/>
                <w:color w:val="auto"/>
              </w:rPr>
            </w:pPr>
            <w:r>
              <w:rPr>
                <w:rFonts w:ascii="Arial" w:cs="Arial" w:eastAsia="Arial" w:hAnsi="Arial"/>
                <w:sz w:val="10"/>
                <w:szCs w:val="10"/>
                <w:b w:val="1"/>
                <w:bCs w:val="1"/>
                <w:color w:val="auto"/>
              </w:rPr>
              <w:t>loans</w:t>
            </w:r>
          </w:p>
        </w:tc>
        <w:tc>
          <w:tcPr>
            <w:tcW w:w="1100" w:type="dxa"/>
            <w:vAlign w:val="bottom"/>
            <w:gridSpan w:val="3"/>
          </w:tcPr>
          <w:p>
            <w:pPr>
              <w:ind w:left="40"/>
              <w:spacing w:after="0"/>
              <w:rPr>
                <w:sz w:val="20"/>
                <w:szCs w:val="20"/>
                <w:color w:val="auto"/>
              </w:rPr>
            </w:pPr>
            <w:r>
              <w:rPr>
                <w:rFonts w:ascii="Arial" w:cs="Arial" w:eastAsia="Arial" w:hAnsi="Arial"/>
                <w:sz w:val="10"/>
                <w:szCs w:val="10"/>
                <w:b w:val="1"/>
                <w:bCs w:val="1"/>
                <w:color w:val="auto"/>
              </w:rPr>
              <w:t>loans</w:t>
            </w: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loans</w:t>
            </w:r>
          </w:p>
        </w:tc>
        <w:tc>
          <w:tcPr>
            <w:tcW w:w="780" w:type="dxa"/>
            <w:vAlign w:val="bottom"/>
            <w:gridSpan w:val="3"/>
          </w:tcPr>
          <w:p>
            <w:pPr>
              <w:ind w:left="60"/>
              <w:spacing w:after="0"/>
              <w:rPr>
                <w:sz w:val="20"/>
                <w:szCs w:val="20"/>
                <w:color w:val="auto"/>
              </w:rPr>
            </w:pPr>
            <w:r>
              <w:rPr>
                <w:rFonts w:ascii="Arial" w:cs="Arial" w:eastAsia="Arial" w:hAnsi="Arial"/>
                <w:sz w:val="10"/>
                <w:szCs w:val="10"/>
                <w:b w:val="1"/>
                <w:bCs w:val="1"/>
                <w:color w:val="auto"/>
              </w:rPr>
              <w:t>Total</w:t>
            </w: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loans</w:t>
            </w:r>
          </w:p>
        </w:tc>
        <w:tc>
          <w:tcPr>
            <w:tcW w:w="760" w:type="dxa"/>
            <w:vAlign w:val="bottom"/>
            <w:gridSpan w:val="3"/>
          </w:tcPr>
          <w:p>
            <w:pPr>
              <w:ind w:left="60"/>
              <w:spacing w:after="0"/>
              <w:rPr>
                <w:sz w:val="20"/>
                <w:szCs w:val="20"/>
                <w:color w:val="auto"/>
              </w:rPr>
            </w:pPr>
            <w:r>
              <w:rPr>
                <w:rFonts w:ascii="Arial" w:cs="Arial" w:eastAsia="Arial" w:hAnsi="Arial"/>
                <w:sz w:val="10"/>
                <w:szCs w:val="10"/>
                <w:b w:val="1"/>
                <w:bCs w:val="1"/>
                <w:color w:val="auto"/>
              </w:rPr>
              <w:t>loans</w:t>
            </w:r>
          </w:p>
        </w:tc>
        <w:tc>
          <w:tcPr>
            <w:tcW w:w="920" w:type="dxa"/>
            <w:vAlign w:val="bottom"/>
            <w:gridSpan w:val="2"/>
          </w:tcPr>
          <w:p>
            <w:pPr>
              <w:spacing w:after="0"/>
              <w:rPr>
                <w:sz w:val="20"/>
                <w:szCs w:val="20"/>
                <w:color w:val="auto"/>
              </w:rPr>
            </w:pPr>
            <w:r>
              <w:rPr>
                <w:rFonts w:ascii="Arial" w:cs="Arial" w:eastAsia="Arial" w:hAnsi="Arial"/>
                <w:sz w:val="10"/>
                <w:szCs w:val="10"/>
                <w:b w:val="1"/>
                <w:bCs w:val="1"/>
                <w:color w:val="auto"/>
              </w:rPr>
              <w:t>loans</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loans</w:t>
            </w: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Total</w:t>
            </w:r>
          </w:p>
        </w:tc>
      </w:tr>
      <w:tr>
        <w:trPr>
          <w:trHeight w:val="90"/>
        </w:trPr>
        <w:tc>
          <w:tcPr>
            <w:tcW w:w="2180" w:type="dxa"/>
            <w:vAlign w:val="bottom"/>
          </w:tcPr>
          <w:p>
            <w:pPr>
              <w:spacing w:after="0"/>
              <w:rPr>
                <w:sz w:val="7"/>
                <w:szCs w:val="7"/>
                <w:color w:val="auto"/>
              </w:rPr>
            </w:pPr>
          </w:p>
        </w:tc>
        <w:tc>
          <w:tcPr>
            <w:tcW w:w="84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7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8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7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6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20" w:type="dxa"/>
            <w:vAlign w:val="bottom"/>
          </w:tcPr>
          <w:p>
            <w:pPr>
              <w:spacing w:after="0"/>
              <w:rPr>
                <w:sz w:val="7"/>
                <w:szCs w:val="7"/>
                <w:color w:val="auto"/>
              </w:rPr>
            </w:pPr>
          </w:p>
        </w:tc>
      </w:tr>
      <w:tr>
        <w:trPr>
          <w:trHeight w:val="109"/>
        </w:trPr>
        <w:tc>
          <w:tcPr>
            <w:tcW w:w="2180" w:type="dxa"/>
            <w:vAlign w:val="bottom"/>
          </w:tcPr>
          <w:p>
            <w:pPr>
              <w:spacing w:after="0" w:line="109" w:lineRule="exact"/>
              <w:rPr>
                <w:sz w:val="20"/>
                <w:szCs w:val="20"/>
                <w:color w:val="auto"/>
              </w:rPr>
            </w:pPr>
            <w:r>
              <w:rPr>
                <w:rFonts w:ascii="Arial" w:cs="Arial" w:eastAsia="Arial" w:hAnsi="Arial"/>
                <w:sz w:val="10"/>
                <w:szCs w:val="10"/>
                <w:color w:val="auto"/>
              </w:rPr>
              <w:t>Impaired loans</w:t>
            </w:r>
          </w:p>
        </w:tc>
        <w:tc>
          <w:tcPr>
            <w:tcW w:w="90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4,519,803</w:t>
            </w:r>
          </w:p>
        </w:tc>
        <w:tc>
          <w:tcPr>
            <w:tcW w:w="740" w:type="dxa"/>
            <w:vAlign w:val="bottom"/>
            <w:gridSpan w:val="3"/>
          </w:tcPr>
          <w:p>
            <w:pPr>
              <w:jc w:val="right"/>
              <w:ind w:right="60"/>
              <w:spacing w:after="0" w:line="109" w:lineRule="exact"/>
              <w:rPr>
                <w:sz w:val="20"/>
                <w:szCs w:val="20"/>
                <w:color w:val="auto"/>
              </w:rPr>
            </w:pPr>
            <w:r>
              <w:rPr>
                <w:rFonts w:ascii="Arial" w:cs="Arial" w:eastAsia="Arial" w:hAnsi="Arial"/>
                <w:sz w:val="10"/>
                <w:szCs w:val="10"/>
                <w:color w:val="auto"/>
              </w:rPr>
              <w:t>1,617,451</w:t>
            </w:r>
          </w:p>
        </w:tc>
        <w:tc>
          <w:tcPr>
            <w:tcW w:w="9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1,357,696</w:t>
            </w:r>
          </w:p>
        </w:tc>
        <w:tc>
          <w:tcPr>
            <w:tcW w:w="120" w:type="dxa"/>
            <w:vAlign w:val="bottom"/>
          </w:tcPr>
          <w:p>
            <w:pPr>
              <w:spacing w:after="0"/>
              <w:rPr>
                <w:sz w:val="9"/>
                <w:szCs w:val="9"/>
                <w:color w:val="auto"/>
              </w:rPr>
            </w:pPr>
          </w:p>
        </w:tc>
        <w:tc>
          <w:tcPr>
            <w:tcW w:w="78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1,387,164</w:t>
            </w:r>
          </w:p>
        </w:tc>
        <w:tc>
          <w:tcPr>
            <w:tcW w:w="78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8,882,114</w:t>
            </w:r>
          </w:p>
        </w:tc>
        <w:tc>
          <w:tcPr>
            <w:tcW w:w="7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5,028,223</w:t>
            </w: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1,643,883</w:t>
            </w:r>
          </w:p>
        </w:tc>
        <w:tc>
          <w:tcPr>
            <w:tcW w:w="9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1,686,829</w:t>
            </w:r>
          </w:p>
        </w:tc>
        <w:tc>
          <w:tcPr>
            <w:tcW w:w="8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1,459,095</w:t>
            </w:r>
          </w:p>
        </w:tc>
        <w:tc>
          <w:tcPr>
            <w:tcW w:w="6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9,818,030</w:t>
            </w:r>
          </w:p>
        </w:tc>
      </w:tr>
      <w:tr>
        <w:trPr>
          <w:trHeight w:val="109"/>
        </w:trPr>
        <w:tc>
          <w:tcPr>
            <w:tcW w:w="2180" w:type="dxa"/>
            <w:vAlign w:val="bottom"/>
          </w:tcPr>
          <w:p>
            <w:pPr>
              <w:spacing w:after="0" w:line="109" w:lineRule="exact"/>
              <w:rPr>
                <w:sz w:val="20"/>
                <w:szCs w:val="20"/>
                <w:color w:val="auto"/>
              </w:rPr>
            </w:pPr>
            <w:r>
              <w:rPr>
                <w:rFonts w:ascii="Arial" w:cs="Arial" w:eastAsia="Arial" w:hAnsi="Arial"/>
                <w:sz w:val="10"/>
                <w:szCs w:val="10"/>
                <w:color w:val="auto"/>
              </w:rPr>
              <w:t>Fair value of collateral</w:t>
            </w:r>
          </w:p>
        </w:tc>
        <w:tc>
          <w:tcPr>
            <w:tcW w:w="90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3,602,914</w:t>
            </w:r>
          </w:p>
        </w:tc>
        <w:tc>
          <w:tcPr>
            <w:tcW w:w="740" w:type="dxa"/>
            <w:vAlign w:val="bottom"/>
            <w:gridSpan w:val="3"/>
          </w:tcPr>
          <w:p>
            <w:pPr>
              <w:jc w:val="right"/>
              <w:ind w:right="60"/>
              <w:spacing w:after="0" w:line="109" w:lineRule="exact"/>
              <w:rPr>
                <w:sz w:val="20"/>
                <w:szCs w:val="20"/>
                <w:color w:val="auto"/>
              </w:rPr>
            </w:pPr>
            <w:r>
              <w:rPr>
                <w:rFonts w:ascii="Arial" w:cs="Arial" w:eastAsia="Arial" w:hAnsi="Arial"/>
                <w:sz w:val="10"/>
                <w:szCs w:val="10"/>
                <w:color w:val="auto"/>
              </w:rPr>
              <w:t>1,377,151</w:t>
            </w:r>
          </w:p>
        </w:tc>
        <w:tc>
          <w:tcPr>
            <w:tcW w:w="9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249,294</w:t>
            </w:r>
          </w:p>
        </w:tc>
        <w:tc>
          <w:tcPr>
            <w:tcW w:w="120" w:type="dxa"/>
            <w:vAlign w:val="bottom"/>
          </w:tcPr>
          <w:p>
            <w:pPr>
              <w:spacing w:after="0"/>
              <w:rPr>
                <w:sz w:val="9"/>
                <w:szCs w:val="9"/>
                <w:color w:val="auto"/>
              </w:rPr>
            </w:pPr>
          </w:p>
        </w:tc>
        <w:tc>
          <w:tcPr>
            <w:tcW w:w="78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450,104</w:t>
            </w:r>
          </w:p>
        </w:tc>
        <w:tc>
          <w:tcPr>
            <w:tcW w:w="78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5,679,463</w:t>
            </w:r>
          </w:p>
        </w:tc>
        <w:tc>
          <w:tcPr>
            <w:tcW w:w="7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3,979,625</w:t>
            </w:r>
          </w:p>
        </w:tc>
        <w:tc>
          <w:tcPr>
            <w:tcW w:w="76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1,401,503</w:t>
            </w:r>
          </w:p>
        </w:tc>
        <w:tc>
          <w:tcPr>
            <w:tcW w:w="9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388,752</w:t>
            </w:r>
          </w:p>
        </w:tc>
        <w:tc>
          <w:tcPr>
            <w:tcW w:w="8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439,736</w:t>
            </w:r>
          </w:p>
        </w:tc>
        <w:tc>
          <w:tcPr>
            <w:tcW w:w="6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6,209,616</w:t>
            </w:r>
          </w:p>
        </w:tc>
      </w:tr>
      <w:tr>
        <w:trPr>
          <w:trHeight w:val="125"/>
        </w:trPr>
        <w:tc>
          <w:tcPr>
            <w:tcW w:w="2180" w:type="dxa"/>
            <w:vAlign w:val="bottom"/>
          </w:tcPr>
          <w:p>
            <w:pPr>
              <w:spacing w:after="0"/>
              <w:rPr>
                <w:sz w:val="20"/>
                <w:szCs w:val="20"/>
                <w:color w:val="auto"/>
              </w:rPr>
            </w:pPr>
            <w:r>
              <w:rPr>
                <w:rFonts w:ascii="Arial" w:cs="Arial" w:eastAsia="Arial" w:hAnsi="Arial"/>
                <w:sz w:val="10"/>
                <w:szCs w:val="10"/>
                <w:color w:val="auto"/>
              </w:rPr>
              <w:t>Allowance for loan losses</w:t>
            </w: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2,045,256</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800,442</w:t>
            </w: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949,739</w:t>
            </w:r>
          </w:p>
        </w:tc>
        <w:tc>
          <w:tcPr>
            <w:tcW w:w="12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0"/>
                <w:szCs w:val="10"/>
                <w:color w:val="auto"/>
              </w:rPr>
              <w:t>1,150,290</w:t>
            </w:r>
          </w:p>
        </w:tc>
        <w:tc>
          <w:tcPr>
            <w:tcW w:w="780" w:type="dxa"/>
            <w:vAlign w:val="bottom"/>
            <w:gridSpan w:val="3"/>
          </w:tcPr>
          <w:p>
            <w:pPr>
              <w:jc w:val="right"/>
              <w:ind w:right="100"/>
              <w:spacing w:after="0"/>
              <w:rPr>
                <w:sz w:val="20"/>
                <w:szCs w:val="20"/>
                <w:color w:val="auto"/>
              </w:rPr>
            </w:pPr>
            <w:r>
              <w:rPr>
                <w:rFonts w:ascii="Arial" w:cs="Arial" w:eastAsia="Arial" w:hAnsi="Arial"/>
                <w:sz w:val="10"/>
                <w:szCs w:val="10"/>
                <w:color w:val="auto"/>
              </w:rPr>
              <w:t>4,945,727</w:t>
            </w:r>
          </w:p>
        </w:tc>
        <w:tc>
          <w:tcPr>
            <w:tcW w:w="760" w:type="dxa"/>
            <w:vAlign w:val="bottom"/>
            <w:gridSpan w:val="2"/>
          </w:tcPr>
          <w:p>
            <w:pPr>
              <w:jc w:val="right"/>
              <w:ind w:right="40"/>
              <w:spacing w:after="0"/>
              <w:rPr>
                <w:sz w:val="20"/>
                <w:szCs w:val="20"/>
                <w:color w:val="auto"/>
              </w:rPr>
            </w:pPr>
            <w:r>
              <w:rPr>
                <w:rFonts w:ascii="Arial" w:cs="Arial" w:eastAsia="Arial" w:hAnsi="Arial"/>
                <w:sz w:val="10"/>
                <w:szCs w:val="10"/>
                <w:color w:val="auto"/>
              </w:rPr>
              <w:t>2,159,115</w:t>
            </w:r>
          </w:p>
        </w:tc>
        <w:tc>
          <w:tcPr>
            <w:tcW w:w="760" w:type="dxa"/>
            <w:vAlign w:val="bottom"/>
            <w:gridSpan w:val="3"/>
          </w:tcPr>
          <w:p>
            <w:pPr>
              <w:jc w:val="right"/>
              <w:ind w:right="100"/>
              <w:spacing w:after="0"/>
              <w:rPr>
                <w:sz w:val="20"/>
                <w:szCs w:val="20"/>
                <w:color w:val="auto"/>
              </w:rPr>
            </w:pPr>
            <w:r>
              <w:rPr>
                <w:rFonts w:ascii="Arial" w:cs="Arial" w:eastAsia="Arial" w:hAnsi="Arial"/>
                <w:sz w:val="10"/>
                <w:szCs w:val="10"/>
                <w:color w:val="auto"/>
              </w:rPr>
              <w:t>819,671</w:t>
            </w:r>
          </w:p>
        </w:tc>
        <w:tc>
          <w:tcPr>
            <w:tcW w:w="920" w:type="dxa"/>
            <w:vAlign w:val="bottom"/>
            <w:gridSpan w:val="2"/>
          </w:tcPr>
          <w:p>
            <w:pPr>
              <w:jc w:val="right"/>
              <w:ind w:right="100"/>
              <w:spacing w:after="0"/>
              <w:rPr>
                <w:sz w:val="20"/>
                <w:szCs w:val="20"/>
                <w:color w:val="auto"/>
              </w:rPr>
            </w:pPr>
            <w:r>
              <w:rPr>
                <w:rFonts w:ascii="Arial" w:cs="Arial" w:eastAsia="Arial" w:hAnsi="Arial"/>
                <w:sz w:val="10"/>
                <w:szCs w:val="10"/>
                <w:color w:val="auto"/>
              </w:rPr>
              <w:t>1,167,311</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1,203,250</w:t>
            </w:r>
          </w:p>
        </w:tc>
        <w:tc>
          <w:tcPr>
            <w:tcW w:w="640" w:type="dxa"/>
            <w:vAlign w:val="bottom"/>
            <w:gridSpan w:val="2"/>
          </w:tcPr>
          <w:p>
            <w:pPr>
              <w:jc w:val="right"/>
              <w:ind w:right="20"/>
              <w:spacing w:after="0"/>
              <w:rPr>
                <w:sz w:val="20"/>
                <w:szCs w:val="20"/>
                <w:color w:val="auto"/>
              </w:rPr>
            </w:pPr>
            <w:r>
              <w:rPr>
                <w:rFonts w:ascii="Arial" w:cs="Arial" w:eastAsia="Arial" w:hAnsi="Arial"/>
                <w:sz w:val="10"/>
                <w:szCs w:val="10"/>
                <w:color w:val="auto"/>
              </w:rPr>
              <w:t>5,349,347</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breakdown of direct loans classified by maturity is shown below, according to the following criteria:</w:t>
      </w:r>
    </w:p>
    <w:p>
      <w:pPr>
        <w:spacing w:after="0" w:line="178" w:lineRule="exact"/>
        <w:rPr>
          <w:sz w:val="20"/>
          <w:szCs w:val="20"/>
          <w:color w:val="auto"/>
        </w:rPr>
      </w:pPr>
    </w:p>
    <w:p>
      <w:pPr>
        <w:ind w:left="300" w:right="20" w:hanging="295"/>
        <w:spacing w:after="0" w:line="246" w:lineRule="auto"/>
        <w:tabs>
          <w:tab w:leader="none" w:pos="3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Current loans, which comprise those direct loans which do not currently have characteristics of delinquency, nor are they in default or stage 3, according to the rules of IFRS 9.</w:t>
      </w:r>
    </w:p>
    <w:p>
      <w:pPr>
        <w:ind w:left="300" w:right="80" w:hanging="295"/>
        <w:spacing w:after="0" w:line="236" w:lineRule="auto"/>
        <w:tabs>
          <w:tab w:leader="none" w:pos="3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Current but impaired loans, which comprise those direct loans which do not currently have characteristics of delinquency, but are in default or stage 3, according to IFRS 9.</w:t>
      </w:r>
    </w:p>
    <w:p>
      <w:pPr>
        <w:ind w:left="300" w:hanging="295"/>
        <w:spacing w:after="0" w:line="236" w:lineRule="auto"/>
        <w:tabs>
          <w:tab w:leader="none" w:pos="3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Loans with payment delay of one day or more but that are not past due according to our internal guidelines, which comprise those direct loans of customers who have failed to make a payment at its contractual maturity, that is, with at least one day past due, however, the days of delinquency are insufficient to be considered as past due under the Group’s internal criteria.</w:t>
      </w:r>
    </w:p>
    <w:p>
      <w:pPr>
        <w:ind w:left="300" w:hanging="295"/>
        <w:spacing w:after="0"/>
        <w:tabs>
          <w:tab w:leader="none" w:pos="3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Past due loans under internal criteria.</w:t>
      </w:r>
    </w:p>
    <w:p>
      <w:pPr>
        <w:spacing w:after="0" w:line="318" w:lineRule="exact"/>
        <w:rPr>
          <w:rFonts w:ascii="Arial" w:cs="Arial" w:eastAsia="Arial" w:hAnsi="Arial"/>
          <w:sz w:val="16"/>
          <w:szCs w:val="16"/>
          <w:color w:val="auto"/>
        </w:rPr>
      </w:pPr>
    </w:p>
    <w:p>
      <w:pPr>
        <w:ind w:left="4620" w:hanging="88"/>
        <w:spacing w:after="0"/>
        <w:tabs>
          <w:tab w:leader="none" w:pos="46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80"/>
          </w:cols>
          <w:pgMar w:left="1180" w:top="304" w:right="339" w:bottom="1440" w:gutter="0" w:footer="0" w:header="0"/>
        </w:sectPr>
      </w:pPr>
    </w:p>
    <w:bookmarkStart w:id="146" w:name="page147"/>
    <w:bookmarkEnd w:id="146"/>
    <w:p>
      <w:pPr>
        <w:ind w:right="680"/>
        <w:spacing w:after="0" w:line="273" w:lineRule="auto"/>
        <w:rPr>
          <w:sz w:val="20"/>
          <w:szCs w:val="20"/>
          <w:color w:val="auto"/>
        </w:rPr>
      </w:pPr>
      <w:r>
        <w:rPr>
          <w:rFonts w:ascii="Arial" w:cs="Arial" w:eastAsia="Arial" w:hAnsi="Arial"/>
          <w:sz w:val="16"/>
          <w:szCs w:val="16"/>
          <w:color w:val="auto"/>
        </w:rPr>
        <w:t>The total of the following reflects all overdue loans according to IFRS 7: (i) loans with payment delays of one day or more but that are not considered overdue under internal criteria and (ii) overdue loans under internal criteria.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420" w:type="dxa"/>
            <w:vAlign w:val="bottom"/>
          </w:tcPr>
          <w:p>
            <w:pPr>
              <w:spacing w:after="0"/>
              <w:rPr>
                <w:sz w:val="10"/>
                <w:szCs w:val="10"/>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2024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Loans with delays</w:t>
            </w: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Loans with delays</w:t>
            </w:r>
          </w:p>
        </w:tc>
        <w:tc>
          <w:tcPr>
            <w:tcW w:w="5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9"/>
        </w:trPr>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 payments of one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 payments of one</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Current but</w:t>
            </w:r>
          </w:p>
        </w:tc>
        <w:tc>
          <w:tcPr>
            <w:tcW w:w="9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day or more but not</w:t>
            </w:r>
          </w:p>
        </w:tc>
        <w:tc>
          <w:tcPr>
            <w:tcW w:w="68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Internal</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Total past</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Current but</w:t>
            </w:r>
          </w:p>
        </w:tc>
        <w:tc>
          <w:tcPr>
            <w:tcW w:w="10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day or more but not</w:t>
            </w:r>
          </w:p>
        </w:tc>
        <w:tc>
          <w:tcPr>
            <w:tcW w:w="60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Internal</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spacing w:after="0" w:line="109" w:lineRule="exact"/>
              <w:rPr>
                <w:sz w:val="20"/>
                <w:szCs w:val="20"/>
                <w:color w:val="auto"/>
              </w:rPr>
            </w:pPr>
            <w:r>
              <w:rPr>
                <w:rFonts w:ascii="Arial" w:cs="Arial" w:eastAsia="Arial" w:hAnsi="Arial"/>
                <w:sz w:val="10"/>
                <w:szCs w:val="10"/>
                <w:b w:val="1"/>
                <w:bCs w:val="1"/>
                <w:color w:val="auto"/>
              </w:rPr>
              <w:t>Total past</w:t>
            </w:r>
          </w:p>
        </w:tc>
      </w:tr>
      <w:tr>
        <w:trPr>
          <w:trHeight w:val="109"/>
        </w:trPr>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impaired</w:t>
            </w:r>
          </w:p>
        </w:tc>
        <w:tc>
          <w:tcPr>
            <w:tcW w:w="9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considered internal</w:t>
            </w:r>
          </w:p>
        </w:tc>
        <w:tc>
          <w:tcPr>
            <w:tcW w:w="68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overdue</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due under</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ind w:left="60"/>
              <w:spacing w:after="0" w:line="109" w:lineRule="exact"/>
              <w:rPr>
                <w:sz w:val="20"/>
                <w:szCs w:val="20"/>
                <w:color w:val="auto"/>
              </w:rPr>
            </w:pPr>
            <w:r>
              <w:rPr>
                <w:rFonts w:ascii="Arial" w:cs="Arial" w:eastAsia="Arial" w:hAnsi="Arial"/>
                <w:sz w:val="10"/>
                <w:szCs w:val="10"/>
                <w:b w:val="1"/>
                <w:bCs w:val="1"/>
                <w:color w:val="auto"/>
              </w:rPr>
              <w:t>impaired</w:t>
            </w:r>
          </w:p>
        </w:tc>
        <w:tc>
          <w:tcPr>
            <w:tcW w:w="10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considered internal</w:t>
            </w:r>
          </w:p>
        </w:tc>
        <w:tc>
          <w:tcPr>
            <w:tcW w:w="60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overdue</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spacing w:after="0" w:line="109" w:lineRule="exact"/>
              <w:rPr>
                <w:sz w:val="20"/>
                <w:szCs w:val="20"/>
                <w:color w:val="auto"/>
              </w:rPr>
            </w:pPr>
            <w:r>
              <w:rPr>
                <w:rFonts w:ascii="Arial" w:cs="Arial" w:eastAsia="Arial" w:hAnsi="Arial"/>
                <w:sz w:val="10"/>
                <w:szCs w:val="10"/>
                <w:b w:val="1"/>
                <w:bCs w:val="1"/>
                <w:color w:val="auto"/>
              </w:rPr>
              <w:t>due under</w:t>
            </w:r>
          </w:p>
        </w:tc>
      </w:tr>
      <w:tr>
        <w:trPr>
          <w:trHeight w:val="121"/>
        </w:trPr>
        <w:tc>
          <w:tcPr>
            <w:tcW w:w="1420" w:type="dxa"/>
            <w:vAlign w:val="bottom"/>
          </w:tcPr>
          <w:p>
            <w:pPr>
              <w:spacing w:after="0"/>
              <w:rPr>
                <w:sz w:val="10"/>
                <w:szCs w:val="1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Current loans</w:t>
            </w:r>
          </w:p>
        </w:tc>
        <w:tc>
          <w:tcPr>
            <w:tcW w:w="800" w:type="dxa"/>
            <w:vAlign w:val="bottom"/>
            <w:gridSpan w:val="3"/>
          </w:tcPr>
          <w:p>
            <w:pPr>
              <w:ind w:left="60"/>
              <w:spacing w:after="0"/>
              <w:rPr>
                <w:sz w:val="20"/>
                <w:szCs w:val="20"/>
                <w:color w:val="auto"/>
              </w:rPr>
            </w:pPr>
            <w:r>
              <w:rPr>
                <w:rFonts w:ascii="Arial" w:cs="Arial" w:eastAsia="Arial" w:hAnsi="Arial"/>
                <w:sz w:val="10"/>
                <w:szCs w:val="10"/>
                <w:b w:val="1"/>
                <w:bCs w:val="1"/>
                <w:color w:val="auto"/>
              </w:rPr>
              <w:t>loans</w:t>
            </w:r>
          </w:p>
        </w:tc>
        <w:tc>
          <w:tcPr>
            <w:tcW w:w="980" w:type="dxa"/>
            <w:vAlign w:val="bottom"/>
            <w:gridSpan w:val="2"/>
          </w:tcPr>
          <w:p>
            <w:pPr>
              <w:spacing w:after="0"/>
              <w:rPr>
                <w:sz w:val="20"/>
                <w:szCs w:val="20"/>
                <w:color w:val="auto"/>
              </w:rPr>
            </w:pPr>
            <w:r>
              <w:rPr>
                <w:rFonts w:ascii="Arial" w:cs="Arial" w:eastAsia="Arial" w:hAnsi="Arial"/>
                <w:sz w:val="10"/>
                <w:szCs w:val="10"/>
                <w:b w:val="1"/>
                <w:bCs w:val="1"/>
                <w:color w:val="auto"/>
              </w:rPr>
              <w:t>overdue loans</w:t>
            </w:r>
          </w:p>
        </w:tc>
        <w:tc>
          <w:tcPr>
            <w:tcW w:w="680" w:type="dxa"/>
            <w:vAlign w:val="bottom"/>
            <w:gridSpan w:val="3"/>
          </w:tcPr>
          <w:p>
            <w:pPr>
              <w:ind w:left="60"/>
              <w:spacing w:after="0"/>
              <w:rPr>
                <w:sz w:val="20"/>
                <w:szCs w:val="20"/>
                <w:color w:val="auto"/>
              </w:rPr>
            </w:pPr>
            <w:r>
              <w:rPr>
                <w:rFonts w:ascii="Arial" w:cs="Arial" w:eastAsia="Arial" w:hAnsi="Arial"/>
                <w:sz w:val="10"/>
                <w:szCs w:val="10"/>
                <w:b w:val="1"/>
                <w:bCs w:val="1"/>
                <w:color w:val="auto"/>
              </w:rPr>
              <w:t>loans</w:t>
            </w:r>
          </w:p>
        </w:tc>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Total</w:t>
            </w: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rPr>
              <w:t>IFRS 7</w:t>
            </w:r>
          </w:p>
        </w:tc>
        <w:tc>
          <w:tcPr>
            <w:tcW w:w="720" w:type="dxa"/>
            <w:vAlign w:val="bottom"/>
            <w:gridSpan w:val="3"/>
          </w:tcPr>
          <w:p>
            <w:pPr>
              <w:ind w:left="60"/>
              <w:spacing w:after="0"/>
              <w:rPr>
                <w:sz w:val="20"/>
                <w:szCs w:val="20"/>
                <w:color w:val="auto"/>
              </w:rPr>
            </w:pPr>
            <w:r>
              <w:rPr>
                <w:rFonts w:ascii="Arial" w:cs="Arial" w:eastAsia="Arial" w:hAnsi="Arial"/>
                <w:sz w:val="10"/>
                <w:szCs w:val="10"/>
                <w:b w:val="1"/>
                <w:bCs w:val="1"/>
                <w:color w:val="auto"/>
                <w:w w:val="98"/>
              </w:rPr>
              <w:t>Current loans</w:t>
            </w:r>
          </w:p>
        </w:tc>
        <w:tc>
          <w:tcPr>
            <w:tcW w:w="760" w:type="dxa"/>
            <w:vAlign w:val="bottom"/>
            <w:gridSpan w:val="3"/>
          </w:tcPr>
          <w:p>
            <w:pPr>
              <w:ind w:left="60"/>
              <w:spacing w:after="0"/>
              <w:rPr>
                <w:sz w:val="20"/>
                <w:szCs w:val="20"/>
                <w:color w:val="auto"/>
              </w:rPr>
            </w:pPr>
            <w:r>
              <w:rPr>
                <w:rFonts w:ascii="Arial" w:cs="Arial" w:eastAsia="Arial" w:hAnsi="Arial"/>
                <w:sz w:val="10"/>
                <w:szCs w:val="10"/>
                <w:b w:val="1"/>
                <w:bCs w:val="1"/>
                <w:color w:val="auto"/>
              </w:rPr>
              <w:t>loans</w:t>
            </w: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overdue loans</w:t>
            </w:r>
          </w:p>
        </w:tc>
        <w:tc>
          <w:tcPr>
            <w:tcW w:w="600" w:type="dxa"/>
            <w:vAlign w:val="bottom"/>
            <w:gridSpan w:val="2"/>
          </w:tcPr>
          <w:p>
            <w:pPr>
              <w:spacing w:after="0"/>
              <w:rPr>
                <w:sz w:val="20"/>
                <w:szCs w:val="20"/>
                <w:color w:val="auto"/>
              </w:rPr>
            </w:pPr>
            <w:r>
              <w:rPr>
                <w:rFonts w:ascii="Arial" w:cs="Arial" w:eastAsia="Arial" w:hAnsi="Arial"/>
                <w:sz w:val="10"/>
                <w:szCs w:val="10"/>
                <w:b w:val="1"/>
                <w:bCs w:val="1"/>
                <w:color w:val="auto"/>
              </w:rPr>
              <w:t>loans</w:t>
            </w:r>
          </w:p>
        </w:tc>
        <w:tc>
          <w:tcPr>
            <w:tcW w:w="700" w:type="dxa"/>
            <w:vAlign w:val="bottom"/>
            <w:gridSpan w:val="2"/>
          </w:tcPr>
          <w:p>
            <w:pPr>
              <w:spacing w:after="0"/>
              <w:rPr>
                <w:sz w:val="20"/>
                <w:szCs w:val="20"/>
                <w:color w:val="auto"/>
              </w:rPr>
            </w:pPr>
            <w:r>
              <w:rPr>
                <w:rFonts w:ascii="Arial" w:cs="Arial" w:eastAsia="Arial" w:hAnsi="Arial"/>
                <w:sz w:val="10"/>
                <w:szCs w:val="10"/>
                <w:b w:val="1"/>
                <w:bCs w:val="1"/>
                <w:color w:val="auto"/>
              </w:rPr>
              <w:t>Total</w:t>
            </w:r>
          </w:p>
        </w:tc>
        <w:tc>
          <w:tcPr>
            <w:tcW w:w="540" w:type="dxa"/>
            <w:vAlign w:val="bottom"/>
            <w:gridSpan w:val="3"/>
          </w:tcPr>
          <w:p>
            <w:pPr>
              <w:spacing w:after="0"/>
              <w:rPr>
                <w:sz w:val="20"/>
                <w:szCs w:val="20"/>
                <w:color w:val="auto"/>
              </w:rPr>
            </w:pPr>
            <w:r>
              <w:rPr>
                <w:rFonts w:ascii="Arial" w:cs="Arial" w:eastAsia="Arial" w:hAnsi="Arial"/>
                <w:sz w:val="10"/>
                <w:szCs w:val="10"/>
                <w:b w:val="1"/>
                <w:bCs w:val="1"/>
                <w:color w:val="auto"/>
              </w:rPr>
              <w:t>IFRS 7</w:t>
            </w:r>
          </w:p>
        </w:tc>
      </w:tr>
      <w:tr>
        <w:trPr>
          <w:trHeight w:val="90"/>
        </w:trPr>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94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64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620" w:type="dxa"/>
            <w:vAlign w:val="bottom"/>
            <w:tcBorders>
              <w:top w:val="single" w:sz="8" w:color="auto"/>
            </w:tcBorders>
          </w:tcPr>
          <w:p>
            <w:pPr>
              <w:spacing w:after="0" w:line="90" w:lineRule="exact"/>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7"/>
                <w:szCs w:val="7"/>
                <w:color w:val="auto"/>
              </w:rPr>
            </w:pPr>
          </w:p>
        </w:tc>
        <w:tc>
          <w:tcPr>
            <w:tcW w:w="520" w:type="dxa"/>
            <w:vAlign w:val="bottom"/>
            <w:tcBorders>
              <w:top w:val="single" w:sz="8" w:color="auto"/>
            </w:tcBorders>
            <w:gridSpan w:val="2"/>
          </w:tcPr>
          <w:p>
            <w:pPr>
              <w:spacing w:after="0" w:line="90" w:lineRule="exact"/>
              <w:rPr>
                <w:sz w:val="20"/>
                <w:szCs w:val="20"/>
                <w:color w:val="auto"/>
              </w:rPr>
            </w:pPr>
            <w:r>
              <w:rPr>
                <w:rFonts w:ascii="Arial" w:cs="Arial" w:eastAsia="Arial" w:hAnsi="Arial"/>
                <w:sz w:val="10"/>
                <w:szCs w:val="10"/>
                <w:b w:val="1"/>
                <w:bCs w:val="1"/>
                <w:color w:val="auto"/>
              </w:rPr>
              <w:t>S/(000)</w:t>
            </w:r>
          </w:p>
        </w:tc>
        <w:tc>
          <w:tcPr>
            <w:tcW w:w="20" w:type="dxa"/>
            <w:vAlign w:val="bottom"/>
          </w:tcPr>
          <w:p>
            <w:pPr>
              <w:spacing w:after="0"/>
              <w:rPr>
                <w:sz w:val="7"/>
                <w:szCs w:val="7"/>
                <w:color w:val="auto"/>
              </w:rPr>
            </w:pPr>
          </w:p>
        </w:tc>
      </w:tr>
      <w:tr>
        <w:trPr>
          <w:trHeight w:val="109"/>
        </w:trPr>
        <w:tc>
          <w:tcPr>
            <w:tcW w:w="1420" w:type="dxa"/>
            <w:vAlign w:val="bottom"/>
          </w:tcPr>
          <w:p>
            <w:pPr>
              <w:spacing w:after="0" w:line="109" w:lineRule="exact"/>
              <w:rPr>
                <w:sz w:val="20"/>
                <w:szCs w:val="20"/>
                <w:color w:val="auto"/>
              </w:rPr>
            </w:pPr>
            <w:r>
              <w:rPr>
                <w:rFonts w:ascii="Arial" w:cs="Arial" w:eastAsia="Arial" w:hAnsi="Arial"/>
                <w:sz w:val="10"/>
                <w:szCs w:val="10"/>
                <w:color w:val="auto"/>
              </w:rPr>
              <w:t>Neither past due nor impaired</w:t>
            </w:r>
          </w:p>
        </w:tc>
        <w:tc>
          <w:tcPr>
            <w:tcW w:w="7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136,675,847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136,675,847</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130,867,669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130,867,669</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w:t>
            </w:r>
          </w:p>
        </w:tc>
      </w:tr>
      <w:tr>
        <w:trPr>
          <w:trHeight w:val="109"/>
        </w:trPr>
        <w:tc>
          <w:tcPr>
            <w:tcW w:w="1420" w:type="dxa"/>
            <w:vAlign w:val="bottom"/>
          </w:tcPr>
          <w:p>
            <w:pPr>
              <w:spacing w:after="0" w:line="109" w:lineRule="exact"/>
              <w:rPr>
                <w:sz w:val="20"/>
                <w:szCs w:val="20"/>
                <w:color w:val="auto"/>
              </w:rPr>
            </w:pPr>
            <w:r>
              <w:rPr>
                <w:rFonts w:ascii="Arial" w:cs="Arial" w:eastAsia="Arial" w:hAnsi="Arial"/>
                <w:sz w:val="10"/>
                <w:szCs w:val="10"/>
                <w:color w:val="auto"/>
              </w:rPr>
              <w:t>Past due but not impaired</w:t>
            </w:r>
          </w:p>
        </w:tc>
        <w:tc>
          <w:tcPr>
            <w:tcW w:w="140" w:type="dxa"/>
            <w:vAlign w:val="bottom"/>
          </w:tcPr>
          <w:p>
            <w:pPr>
              <w:spacing w:after="0"/>
              <w:rPr>
                <w:sz w:val="9"/>
                <w:szCs w:val="9"/>
                <w:color w:val="auto"/>
              </w:rPr>
            </w:pPr>
          </w:p>
        </w:tc>
        <w:tc>
          <w:tcPr>
            <w:tcW w:w="68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2,774,121</w:t>
            </w:r>
          </w:p>
        </w:tc>
        <w:tc>
          <w:tcPr>
            <w:tcW w:w="68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297,016</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3,071,137</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3,071,137</w:t>
            </w:r>
          </w:p>
        </w:tc>
        <w:tc>
          <w:tcPr>
            <w:tcW w:w="60" w:type="dxa"/>
            <w:vAlign w:val="bottom"/>
          </w:tcPr>
          <w:p>
            <w:pPr>
              <w:spacing w:after="0"/>
              <w:rPr>
                <w:sz w:val="9"/>
                <w:szCs w:val="9"/>
                <w:color w:val="auto"/>
              </w:rPr>
            </w:pPr>
          </w:p>
        </w:tc>
        <w:tc>
          <w:tcPr>
            <w:tcW w:w="6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3,189,089</w:t>
            </w: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444,457</w:t>
            </w: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3,633,546</w:t>
            </w:r>
          </w:p>
        </w:tc>
        <w:tc>
          <w:tcPr>
            <w:tcW w:w="540" w:type="dxa"/>
            <w:vAlign w:val="bottom"/>
            <w:gridSpan w:val="3"/>
          </w:tcPr>
          <w:p>
            <w:pPr>
              <w:jc w:val="right"/>
              <w:ind w:right="20"/>
              <w:spacing w:after="0" w:line="109" w:lineRule="exact"/>
              <w:rPr>
                <w:sz w:val="20"/>
                <w:szCs w:val="20"/>
                <w:color w:val="auto"/>
              </w:rPr>
            </w:pPr>
            <w:r>
              <w:rPr>
                <w:rFonts w:ascii="Arial" w:cs="Arial" w:eastAsia="Arial" w:hAnsi="Arial"/>
                <w:sz w:val="10"/>
                <w:szCs w:val="10"/>
                <w:color w:val="auto"/>
              </w:rPr>
              <w:t>3,633,546</w:t>
            </w:r>
          </w:p>
        </w:tc>
      </w:tr>
      <w:tr>
        <w:trPr>
          <w:trHeight w:val="119"/>
        </w:trPr>
        <w:tc>
          <w:tcPr>
            <w:tcW w:w="1420" w:type="dxa"/>
            <w:vAlign w:val="bottom"/>
          </w:tcPr>
          <w:p>
            <w:pPr>
              <w:spacing w:after="0"/>
              <w:rPr>
                <w:sz w:val="20"/>
                <w:szCs w:val="20"/>
                <w:color w:val="auto"/>
              </w:rPr>
            </w:pPr>
            <w:r>
              <w:rPr>
                <w:rFonts w:ascii="Arial" w:cs="Arial" w:eastAsia="Arial" w:hAnsi="Arial"/>
                <w:sz w:val="10"/>
                <w:szCs w:val="10"/>
                <w:color w:val="auto"/>
              </w:rPr>
              <w:t>Impaired debt</w:t>
            </w:r>
          </w:p>
        </w:tc>
        <w:tc>
          <w:tcPr>
            <w:tcW w:w="140" w:type="dxa"/>
            <w:vAlign w:val="bottom"/>
          </w:tcPr>
          <w:p>
            <w:pPr>
              <w:spacing w:after="0"/>
              <w:rPr>
                <w:sz w:val="10"/>
                <w:szCs w:val="1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0"/>
                <w:szCs w:val="10"/>
                <w:color w:val="auto"/>
              </w:rPr>
              <w:t>3,531,294</w:t>
            </w:r>
          </w:p>
        </w:tc>
        <w:tc>
          <w:tcPr>
            <w:tcW w:w="980" w:type="dxa"/>
            <w:vAlign w:val="bottom"/>
            <w:gridSpan w:val="2"/>
          </w:tcPr>
          <w:p>
            <w:pPr>
              <w:jc w:val="right"/>
              <w:ind w:right="40"/>
              <w:spacing w:after="0"/>
              <w:rPr>
                <w:sz w:val="20"/>
                <w:szCs w:val="20"/>
                <w:color w:val="auto"/>
              </w:rPr>
            </w:pPr>
            <w:r>
              <w:rPr>
                <w:rFonts w:ascii="Arial" w:cs="Arial" w:eastAsia="Arial" w:hAnsi="Arial"/>
                <w:sz w:val="10"/>
                <w:szCs w:val="10"/>
                <w:color w:val="auto"/>
              </w:rPr>
              <w:t>826,710</w:t>
            </w:r>
          </w:p>
        </w:tc>
        <w:tc>
          <w:tcPr>
            <w:tcW w:w="680" w:type="dxa"/>
            <w:vAlign w:val="bottom"/>
            <w:gridSpan w:val="3"/>
          </w:tcPr>
          <w:p>
            <w:pPr>
              <w:jc w:val="right"/>
              <w:ind w:right="100"/>
              <w:spacing w:after="0"/>
              <w:rPr>
                <w:sz w:val="20"/>
                <w:szCs w:val="20"/>
                <w:color w:val="auto"/>
              </w:rPr>
            </w:pPr>
            <w:r>
              <w:rPr>
                <w:rFonts w:ascii="Arial" w:cs="Arial" w:eastAsia="Arial" w:hAnsi="Arial"/>
                <w:sz w:val="10"/>
                <w:szCs w:val="10"/>
                <w:color w:val="auto"/>
              </w:rPr>
              <w:t>4,524,110</w:t>
            </w: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8,882,114</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5,350,820</w:t>
            </w:r>
          </w:p>
        </w:tc>
        <w:tc>
          <w:tcPr>
            <w:tcW w:w="6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0"/>
                <w:szCs w:val="10"/>
                <w:color w:val="auto"/>
              </w:rPr>
              <w:t>3,802,650</w:t>
            </w:r>
          </w:p>
        </w:tc>
        <w:tc>
          <w:tcPr>
            <w:tcW w:w="1040" w:type="dxa"/>
            <w:vAlign w:val="bottom"/>
            <w:gridSpan w:val="2"/>
          </w:tcPr>
          <w:p>
            <w:pPr>
              <w:jc w:val="right"/>
              <w:ind w:right="100"/>
              <w:spacing w:after="0"/>
              <w:rPr>
                <w:sz w:val="20"/>
                <w:szCs w:val="20"/>
                <w:color w:val="auto"/>
              </w:rPr>
            </w:pPr>
            <w:r>
              <w:rPr>
                <w:rFonts w:ascii="Arial" w:cs="Arial" w:eastAsia="Arial" w:hAnsi="Arial"/>
                <w:sz w:val="10"/>
                <w:szCs w:val="10"/>
                <w:color w:val="auto"/>
              </w:rPr>
              <w:t>1,029,703</w:t>
            </w:r>
          </w:p>
        </w:tc>
        <w:tc>
          <w:tcPr>
            <w:tcW w:w="500" w:type="dxa"/>
            <w:vAlign w:val="bottom"/>
          </w:tcPr>
          <w:p>
            <w:pPr>
              <w:jc w:val="right"/>
              <w:spacing w:after="0"/>
              <w:rPr>
                <w:sz w:val="20"/>
                <w:szCs w:val="20"/>
                <w:color w:val="auto"/>
              </w:rPr>
            </w:pPr>
            <w:r>
              <w:rPr>
                <w:rFonts w:ascii="Arial" w:cs="Arial" w:eastAsia="Arial" w:hAnsi="Arial"/>
                <w:sz w:val="10"/>
                <w:szCs w:val="10"/>
                <w:color w:val="auto"/>
              </w:rPr>
              <w:t>4,985,677</w:t>
            </w:r>
          </w:p>
        </w:tc>
        <w:tc>
          <w:tcPr>
            <w:tcW w:w="10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9,818,030</w:t>
            </w:r>
          </w:p>
        </w:tc>
        <w:tc>
          <w:tcPr>
            <w:tcW w:w="540" w:type="dxa"/>
            <w:vAlign w:val="bottom"/>
            <w:gridSpan w:val="3"/>
          </w:tcPr>
          <w:p>
            <w:pPr>
              <w:jc w:val="right"/>
              <w:ind w:right="20"/>
              <w:spacing w:after="0"/>
              <w:rPr>
                <w:sz w:val="20"/>
                <w:szCs w:val="20"/>
                <w:color w:val="auto"/>
              </w:rPr>
            </w:pPr>
            <w:r>
              <w:rPr>
                <w:rFonts w:ascii="Arial" w:cs="Arial" w:eastAsia="Arial" w:hAnsi="Arial"/>
                <w:sz w:val="10"/>
                <w:szCs w:val="10"/>
                <w:color w:val="auto"/>
              </w:rPr>
              <w:t>6,015,380</w:t>
            </w:r>
          </w:p>
        </w:tc>
      </w:tr>
      <w:tr>
        <w:trPr>
          <w:trHeight w:val="105"/>
        </w:trPr>
        <w:tc>
          <w:tcPr>
            <w:tcW w:w="1420" w:type="dxa"/>
            <w:vAlign w:val="bottom"/>
          </w:tcPr>
          <w:p>
            <w:pPr>
              <w:spacing w:after="0" w:line="101"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136,675,847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3,531,294</w:t>
            </w:r>
          </w:p>
        </w:tc>
        <w:tc>
          <w:tcPr>
            <w:tcW w:w="120" w:type="dxa"/>
            <w:vAlign w:val="bottom"/>
          </w:tcPr>
          <w:p>
            <w:pPr>
              <w:spacing w:after="0"/>
              <w:rPr>
                <w:sz w:val="9"/>
                <w:szCs w:val="9"/>
                <w:color w:val="auto"/>
              </w:rPr>
            </w:pPr>
          </w:p>
        </w:tc>
        <w:tc>
          <w:tcPr>
            <w:tcW w:w="9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3,600,831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4,821,126</w:t>
            </w:r>
          </w:p>
        </w:tc>
        <w:tc>
          <w:tcPr>
            <w:tcW w:w="10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148,629,098</w:t>
            </w:r>
          </w:p>
        </w:tc>
        <w:tc>
          <w:tcPr>
            <w:tcW w:w="10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8,421,957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130,867,669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3,802,650</w:t>
            </w:r>
          </w:p>
        </w:tc>
        <w:tc>
          <w:tcPr>
            <w:tcW w:w="80" w:type="dxa"/>
            <w:vAlign w:val="bottom"/>
          </w:tcPr>
          <w:p>
            <w:pPr>
              <w:spacing w:after="0"/>
              <w:rPr>
                <w:sz w:val="9"/>
                <w:szCs w:val="9"/>
                <w:color w:val="auto"/>
              </w:rPr>
            </w:pPr>
          </w:p>
        </w:tc>
        <w:tc>
          <w:tcPr>
            <w:tcW w:w="9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4,218,792</w:t>
            </w:r>
          </w:p>
        </w:tc>
        <w:tc>
          <w:tcPr>
            <w:tcW w:w="1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5,430,134</w:t>
            </w:r>
          </w:p>
        </w:tc>
        <w:tc>
          <w:tcPr>
            <w:tcW w:w="10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144,319,245</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top w:val="single" w:sz="8" w:color="auto"/>
              <w:bottom w:val="single" w:sz="8" w:color="auto"/>
            </w:tcBorders>
            <w:gridSpan w:val="2"/>
          </w:tcPr>
          <w:p>
            <w:pPr>
              <w:jc w:val="right"/>
              <w:ind w:right="20"/>
              <w:spacing w:after="0" w:line="101" w:lineRule="exact"/>
              <w:rPr>
                <w:sz w:val="20"/>
                <w:szCs w:val="20"/>
                <w:color w:val="auto"/>
              </w:rPr>
            </w:pPr>
            <w:r>
              <w:rPr>
                <w:rFonts w:ascii="Arial" w:cs="Arial" w:eastAsia="Arial" w:hAnsi="Arial"/>
                <w:sz w:val="10"/>
                <w:szCs w:val="10"/>
                <w:color w:val="auto"/>
              </w:rPr>
              <w:t>9,648,926</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classification of direct loans by type of loan and type of maturity is shown below:</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21"/>
        </w:trPr>
        <w:tc>
          <w:tcPr>
            <w:tcW w:w="1740" w:type="dxa"/>
            <w:vAlign w:val="bottom"/>
          </w:tcPr>
          <w:p>
            <w:pPr>
              <w:spacing w:after="0"/>
              <w:rPr>
                <w:sz w:val="10"/>
                <w:szCs w:val="1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2025</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2024</w:t>
            </w: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r>
        <w:trPr>
          <w:trHeight w:val="88"/>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tcPr>
          <w:p>
            <w:pPr>
              <w:ind w:left="60"/>
              <w:spacing w:after="0" w:line="88" w:lineRule="exact"/>
              <w:rPr>
                <w:sz w:val="20"/>
                <w:szCs w:val="20"/>
                <w:color w:val="auto"/>
              </w:rPr>
            </w:pPr>
            <w:r>
              <w:rPr>
                <w:rFonts w:ascii="Arial" w:cs="Arial" w:eastAsia="Arial" w:hAnsi="Arial"/>
                <w:sz w:val="10"/>
                <w:szCs w:val="10"/>
                <w:b w:val="1"/>
                <w:bCs w:val="1"/>
                <w:color w:val="auto"/>
              </w:rPr>
              <w:t>Loans with delays in</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9"/>
        </w:trPr>
        <w:tc>
          <w:tcPr>
            <w:tcW w:w="1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Current</w:t>
            </w:r>
          </w:p>
        </w:tc>
        <w:tc>
          <w:tcPr>
            <w:tcW w:w="12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payments of one day</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Current</w:t>
            </w:r>
          </w:p>
        </w:tc>
        <w:tc>
          <w:tcPr>
            <w:tcW w:w="14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Loans with delays in</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09"/>
        </w:trPr>
        <w:tc>
          <w:tcPr>
            <w:tcW w:w="1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but</w:t>
            </w:r>
          </w:p>
        </w:tc>
        <w:tc>
          <w:tcPr>
            <w:tcW w:w="12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or more but not</w:t>
            </w:r>
          </w:p>
        </w:tc>
        <w:tc>
          <w:tcPr>
            <w:tcW w:w="76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Internal</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but</w:t>
            </w:r>
          </w:p>
        </w:tc>
        <w:tc>
          <w:tcPr>
            <w:tcW w:w="14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payments of one day or</w:t>
            </w:r>
          </w:p>
        </w:tc>
        <w:tc>
          <w:tcPr>
            <w:tcW w:w="76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Internal</w:t>
            </w:r>
          </w:p>
        </w:tc>
        <w:tc>
          <w:tcPr>
            <w:tcW w:w="640" w:type="dxa"/>
            <w:vAlign w:val="bottom"/>
          </w:tcPr>
          <w:p>
            <w:pPr>
              <w:spacing w:after="0"/>
              <w:rPr>
                <w:sz w:val="9"/>
                <w:szCs w:val="9"/>
                <w:color w:val="auto"/>
              </w:rPr>
            </w:pPr>
          </w:p>
        </w:tc>
      </w:tr>
      <w:tr>
        <w:trPr>
          <w:trHeight w:val="109"/>
        </w:trPr>
        <w:tc>
          <w:tcPr>
            <w:tcW w:w="1740" w:type="dxa"/>
            <w:vAlign w:val="bottom"/>
          </w:tcPr>
          <w:p>
            <w:pPr>
              <w:spacing w:after="0"/>
              <w:rPr>
                <w:sz w:val="9"/>
                <w:szCs w:val="9"/>
                <w:color w:val="auto"/>
              </w:rPr>
            </w:pPr>
          </w:p>
        </w:tc>
        <w:tc>
          <w:tcPr>
            <w:tcW w:w="78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Current</w:t>
            </w:r>
          </w:p>
        </w:tc>
        <w:tc>
          <w:tcPr>
            <w:tcW w:w="74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impaired</w:t>
            </w:r>
          </w:p>
        </w:tc>
        <w:tc>
          <w:tcPr>
            <w:tcW w:w="12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considered internal</w:t>
            </w:r>
          </w:p>
        </w:tc>
        <w:tc>
          <w:tcPr>
            <w:tcW w:w="76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overdue</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Current</w:t>
            </w:r>
          </w:p>
        </w:tc>
        <w:tc>
          <w:tcPr>
            <w:tcW w:w="74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impaired</w:t>
            </w:r>
          </w:p>
        </w:tc>
        <w:tc>
          <w:tcPr>
            <w:tcW w:w="14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more but not considered</w:t>
            </w:r>
          </w:p>
        </w:tc>
        <w:tc>
          <w:tcPr>
            <w:tcW w:w="76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overdue</w:t>
            </w:r>
          </w:p>
        </w:tc>
        <w:tc>
          <w:tcPr>
            <w:tcW w:w="640" w:type="dxa"/>
            <w:vAlign w:val="bottom"/>
          </w:tcPr>
          <w:p>
            <w:pPr>
              <w:spacing w:after="0"/>
              <w:rPr>
                <w:sz w:val="9"/>
                <w:szCs w:val="9"/>
                <w:color w:val="auto"/>
              </w:rPr>
            </w:pPr>
          </w:p>
        </w:tc>
      </w:tr>
      <w:tr>
        <w:trPr>
          <w:trHeight w:val="121"/>
        </w:trPr>
        <w:tc>
          <w:tcPr>
            <w:tcW w:w="174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74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1200" w:type="dxa"/>
            <w:vAlign w:val="bottom"/>
            <w:gridSpan w:val="2"/>
          </w:tcPr>
          <w:p>
            <w:pPr>
              <w:ind w:left="60"/>
              <w:spacing w:after="0"/>
              <w:rPr>
                <w:sz w:val="20"/>
                <w:szCs w:val="20"/>
                <w:color w:val="auto"/>
              </w:rPr>
            </w:pPr>
            <w:r>
              <w:rPr>
                <w:rFonts w:ascii="Arial" w:cs="Arial" w:eastAsia="Arial" w:hAnsi="Arial"/>
                <w:sz w:val="10"/>
                <w:szCs w:val="10"/>
                <w:b w:val="1"/>
                <w:bCs w:val="1"/>
                <w:color w:val="auto"/>
              </w:rPr>
              <w:t>overdue loans</w:t>
            </w:r>
          </w:p>
        </w:tc>
        <w:tc>
          <w:tcPr>
            <w:tcW w:w="76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rPr>
              <w:t>Total</w:t>
            </w: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74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internal overdue loans</w:t>
            </w:r>
          </w:p>
        </w:tc>
        <w:tc>
          <w:tcPr>
            <w:tcW w:w="76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Total</w:t>
            </w:r>
          </w:p>
        </w:tc>
      </w:tr>
      <w:tr>
        <w:trPr>
          <w:trHeight w:val="90"/>
        </w:trPr>
        <w:tc>
          <w:tcPr>
            <w:tcW w:w="1740" w:type="dxa"/>
            <w:vAlign w:val="bottom"/>
          </w:tcPr>
          <w:p>
            <w:pPr>
              <w:spacing w:after="0"/>
              <w:rPr>
                <w:sz w:val="7"/>
                <w:szCs w:val="7"/>
                <w:color w:val="auto"/>
              </w:rPr>
            </w:pPr>
          </w:p>
        </w:tc>
        <w:tc>
          <w:tcPr>
            <w:tcW w:w="640" w:type="dxa"/>
            <w:vAlign w:val="bottom"/>
            <w:tcBorders>
              <w:top w:val="single" w:sz="8" w:color="auto"/>
            </w:tcBorders>
          </w:tcPr>
          <w:p>
            <w:pPr>
              <w:ind w:left="60"/>
              <w:spacing w:after="0" w:line="90"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600" w:type="dxa"/>
            <w:vAlign w:val="bottom"/>
            <w:tcBorders>
              <w:top w:val="single" w:sz="8" w:color="auto"/>
            </w:tcBorders>
          </w:tcPr>
          <w:p>
            <w:pPr>
              <w:ind w:left="40"/>
              <w:spacing w:after="0" w:line="90"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1080" w:type="dxa"/>
            <w:vAlign w:val="bottom"/>
            <w:tcBorders>
              <w:top w:val="single" w:sz="8" w:color="auto"/>
            </w:tcBorders>
          </w:tcPr>
          <w:p>
            <w:pPr>
              <w:ind w:left="60"/>
              <w:spacing w:after="0" w:line="90"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620" w:type="dxa"/>
            <w:vAlign w:val="bottom"/>
            <w:tcBorders>
              <w:top w:val="single" w:sz="8" w:color="auto"/>
            </w:tcBorders>
          </w:tcPr>
          <w:p>
            <w:pPr>
              <w:ind w:left="60"/>
              <w:spacing w:after="0" w:line="90"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640" w:type="dxa"/>
            <w:vAlign w:val="bottom"/>
            <w:tcBorders>
              <w:top w:val="single" w:sz="8" w:color="auto"/>
            </w:tcBorders>
          </w:tcPr>
          <w:p>
            <w:pPr>
              <w:ind w:left="40"/>
              <w:spacing w:after="0" w:line="90"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640" w:type="dxa"/>
            <w:vAlign w:val="bottom"/>
            <w:tcBorders>
              <w:top w:val="single" w:sz="8" w:color="auto"/>
            </w:tcBorders>
          </w:tcPr>
          <w:p>
            <w:pPr>
              <w:ind w:left="60"/>
              <w:spacing w:after="0" w:line="90"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620" w:type="dxa"/>
            <w:vAlign w:val="bottom"/>
            <w:tcBorders>
              <w:top w:val="single" w:sz="8" w:color="auto"/>
            </w:tcBorders>
          </w:tcPr>
          <w:p>
            <w:pPr>
              <w:ind w:left="40"/>
              <w:spacing w:after="0" w:line="90"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1280" w:type="dxa"/>
            <w:vAlign w:val="bottom"/>
            <w:tcBorders>
              <w:top w:val="single" w:sz="8" w:color="auto"/>
            </w:tcBorders>
          </w:tcPr>
          <w:p>
            <w:pPr>
              <w:ind w:left="60"/>
              <w:spacing w:after="0" w:line="90"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620" w:type="dxa"/>
            <w:vAlign w:val="bottom"/>
            <w:tcBorders>
              <w:top w:val="single" w:sz="8" w:color="auto"/>
            </w:tcBorders>
          </w:tcPr>
          <w:p>
            <w:pPr>
              <w:ind w:left="60"/>
              <w:spacing w:after="0" w:line="90"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640" w:type="dxa"/>
            <w:vAlign w:val="bottom"/>
            <w:tcBorders>
              <w:top w:val="single" w:sz="8" w:color="auto"/>
            </w:tcBorders>
          </w:tcPr>
          <w:p>
            <w:pPr>
              <w:ind w:left="40"/>
              <w:spacing w:after="0" w:line="90" w:lineRule="exact"/>
              <w:rPr>
                <w:sz w:val="20"/>
                <w:szCs w:val="20"/>
                <w:color w:val="auto"/>
              </w:rPr>
            </w:pPr>
            <w:r>
              <w:rPr>
                <w:rFonts w:ascii="Arial" w:cs="Arial" w:eastAsia="Arial" w:hAnsi="Arial"/>
                <w:sz w:val="10"/>
                <w:szCs w:val="10"/>
                <w:b w:val="1"/>
                <w:bCs w:val="1"/>
                <w:color w:val="auto"/>
              </w:rPr>
              <w:t>S/(000)</w:t>
            </w:r>
          </w:p>
        </w:tc>
      </w:tr>
      <w:tr>
        <w:trPr>
          <w:trHeight w:val="109"/>
        </w:trPr>
        <w:tc>
          <w:tcPr>
            <w:tcW w:w="1740" w:type="dxa"/>
            <w:vAlign w:val="bottom"/>
          </w:tcPr>
          <w:p>
            <w:pPr>
              <w:spacing w:after="0" w:line="109" w:lineRule="exact"/>
              <w:rPr>
                <w:sz w:val="20"/>
                <w:szCs w:val="20"/>
                <w:color w:val="auto"/>
              </w:rPr>
            </w:pPr>
            <w:r>
              <w:rPr>
                <w:rFonts w:ascii="Arial" w:cs="Arial" w:eastAsia="Arial" w:hAnsi="Arial"/>
                <w:sz w:val="10"/>
                <w:szCs w:val="10"/>
                <w:color w:val="auto"/>
              </w:rPr>
              <w:t>Commercial loans</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70,875,782</w:t>
            </w:r>
          </w:p>
        </w:tc>
        <w:tc>
          <w:tcPr>
            <w:tcW w:w="1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2,061,610</w:t>
            </w:r>
          </w:p>
        </w:tc>
        <w:tc>
          <w:tcPr>
            <w:tcW w:w="140" w:type="dxa"/>
            <w:vAlign w:val="bottom"/>
          </w:tcPr>
          <w:p>
            <w:pPr>
              <w:spacing w:after="0"/>
              <w:rPr>
                <w:sz w:val="9"/>
                <w:szCs w:val="9"/>
                <w:color w:val="auto"/>
              </w:rPr>
            </w:pPr>
          </w:p>
        </w:tc>
        <w:tc>
          <w:tcPr>
            <w:tcW w:w="10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922,937</w:t>
            </w: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2,284,517</w:t>
            </w:r>
          </w:p>
        </w:tc>
        <w:tc>
          <w:tcPr>
            <w:tcW w:w="140" w:type="dxa"/>
            <w:vAlign w:val="bottom"/>
          </w:tcPr>
          <w:p>
            <w:pPr>
              <w:spacing w:after="0"/>
              <w:rPr>
                <w:sz w:val="9"/>
                <w:szCs w:val="9"/>
                <w:color w:val="auto"/>
              </w:rPr>
            </w:pPr>
          </w:p>
        </w:tc>
        <w:tc>
          <w:tcPr>
            <w:tcW w:w="640" w:type="dxa"/>
            <w:vAlign w:val="bottom"/>
          </w:tcPr>
          <w:p>
            <w:pPr>
              <w:jc w:val="right"/>
              <w:ind w:right="12"/>
              <w:spacing w:after="0" w:line="109" w:lineRule="exact"/>
              <w:rPr>
                <w:sz w:val="20"/>
                <w:szCs w:val="20"/>
                <w:color w:val="auto"/>
              </w:rPr>
            </w:pPr>
            <w:r>
              <w:rPr>
                <w:rFonts w:ascii="Arial" w:cs="Arial" w:eastAsia="Arial" w:hAnsi="Arial"/>
                <w:sz w:val="10"/>
                <w:szCs w:val="10"/>
                <w:color w:val="auto"/>
              </w:rPr>
              <w:t>76,144,846</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70,812,359</w:t>
            </w:r>
          </w:p>
        </w:tc>
        <w:tc>
          <w:tcPr>
            <w:tcW w:w="14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2,256,618</w:t>
            </w:r>
          </w:p>
        </w:tc>
        <w:tc>
          <w:tcPr>
            <w:tcW w:w="120" w:type="dxa"/>
            <w:vAlign w:val="bottom"/>
          </w:tcPr>
          <w:p>
            <w:pPr>
              <w:spacing w:after="0"/>
              <w:rPr>
                <w:sz w:val="9"/>
                <w:szCs w:val="9"/>
                <w:color w:val="auto"/>
              </w:rPr>
            </w:pPr>
          </w:p>
        </w:tc>
        <w:tc>
          <w:tcPr>
            <w:tcW w:w="12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1,220,408</w:t>
            </w: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2,632,230</w:t>
            </w:r>
          </w:p>
        </w:tc>
        <w:tc>
          <w:tcPr>
            <w:tcW w:w="140" w:type="dxa"/>
            <w:vAlign w:val="bottom"/>
          </w:tcPr>
          <w:p>
            <w:pPr>
              <w:spacing w:after="0"/>
              <w:rPr>
                <w:sz w:val="9"/>
                <w:szCs w:val="9"/>
                <w:color w:val="auto"/>
              </w:rPr>
            </w:pPr>
          </w:p>
        </w:tc>
        <w:tc>
          <w:tcPr>
            <w:tcW w:w="640" w:type="dxa"/>
            <w:vAlign w:val="bottom"/>
          </w:tcPr>
          <w:p>
            <w:pPr>
              <w:jc w:val="right"/>
              <w:ind w:right="12"/>
              <w:spacing w:after="0" w:line="109" w:lineRule="exact"/>
              <w:rPr>
                <w:sz w:val="20"/>
                <w:szCs w:val="20"/>
                <w:color w:val="auto"/>
              </w:rPr>
            </w:pPr>
            <w:r>
              <w:rPr>
                <w:rFonts w:ascii="Arial" w:cs="Arial" w:eastAsia="Arial" w:hAnsi="Arial"/>
                <w:sz w:val="10"/>
                <w:szCs w:val="10"/>
                <w:color w:val="auto"/>
              </w:rPr>
              <w:t>76,921,615</w:t>
            </w:r>
          </w:p>
        </w:tc>
      </w:tr>
      <w:tr>
        <w:trPr>
          <w:trHeight w:val="109"/>
        </w:trPr>
        <w:tc>
          <w:tcPr>
            <w:tcW w:w="1740" w:type="dxa"/>
            <w:vAlign w:val="bottom"/>
          </w:tcPr>
          <w:p>
            <w:pPr>
              <w:spacing w:after="0" w:line="109" w:lineRule="exact"/>
              <w:rPr>
                <w:sz w:val="20"/>
                <w:szCs w:val="20"/>
                <w:color w:val="auto"/>
              </w:rPr>
            </w:pPr>
            <w:r>
              <w:rPr>
                <w:rFonts w:ascii="Arial" w:cs="Arial" w:eastAsia="Arial" w:hAnsi="Arial"/>
                <w:sz w:val="10"/>
                <w:szCs w:val="10"/>
                <w:color w:val="auto"/>
              </w:rPr>
              <w:t>Residential mortgage loans</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23,413,873</w:t>
            </w:r>
          </w:p>
        </w:tc>
        <w:tc>
          <w:tcPr>
            <w:tcW w:w="1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583,148</w:t>
            </w:r>
          </w:p>
        </w:tc>
        <w:tc>
          <w:tcPr>
            <w:tcW w:w="140" w:type="dxa"/>
            <w:vAlign w:val="bottom"/>
          </w:tcPr>
          <w:p>
            <w:pPr>
              <w:spacing w:after="0"/>
              <w:rPr>
                <w:sz w:val="9"/>
                <w:szCs w:val="9"/>
                <w:color w:val="auto"/>
              </w:rPr>
            </w:pPr>
          </w:p>
        </w:tc>
        <w:tc>
          <w:tcPr>
            <w:tcW w:w="10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1,411,644</w:t>
            </w: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778,921</w:t>
            </w:r>
          </w:p>
        </w:tc>
        <w:tc>
          <w:tcPr>
            <w:tcW w:w="140" w:type="dxa"/>
            <w:vAlign w:val="bottom"/>
          </w:tcPr>
          <w:p>
            <w:pPr>
              <w:spacing w:after="0"/>
              <w:rPr>
                <w:sz w:val="9"/>
                <w:szCs w:val="9"/>
                <w:color w:val="auto"/>
              </w:rPr>
            </w:pPr>
          </w:p>
        </w:tc>
        <w:tc>
          <w:tcPr>
            <w:tcW w:w="640" w:type="dxa"/>
            <w:vAlign w:val="bottom"/>
          </w:tcPr>
          <w:p>
            <w:pPr>
              <w:jc w:val="right"/>
              <w:ind w:right="12"/>
              <w:spacing w:after="0" w:line="109" w:lineRule="exact"/>
              <w:rPr>
                <w:sz w:val="20"/>
                <w:szCs w:val="20"/>
                <w:color w:val="auto"/>
              </w:rPr>
            </w:pPr>
            <w:r>
              <w:rPr>
                <w:rFonts w:ascii="Arial" w:cs="Arial" w:eastAsia="Arial" w:hAnsi="Arial"/>
                <w:sz w:val="10"/>
                <w:szCs w:val="10"/>
                <w:color w:val="auto"/>
              </w:rPr>
              <w:t>26,187,586</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22,270,753</w:t>
            </w:r>
          </w:p>
        </w:tc>
        <w:tc>
          <w:tcPr>
            <w:tcW w:w="14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573,359</w:t>
            </w:r>
          </w:p>
        </w:tc>
        <w:tc>
          <w:tcPr>
            <w:tcW w:w="120" w:type="dxa"/>
            <w:vAlign w:val="bottom"/>
          </w:tcPr>
          <w:p>
            <w:pPr>
              <w:spacing w:after="0"/>
              <w:rPr>
                <w:sz w:val="9"/>
                <w:szCs w:val="9"/>
                <w:color w:val="auto"/>
              </w:rPr>
            </w:pPr>
          </w:p>
        </w:tc>
        <w:tc>
          <w:tcPr>
            <w:tcW w:w="12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1,456,906</w:t>
            </w: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791,039</w:t>
            </w:r>
          </w:p>
        </w:tc>
        <w:tc>
          <w:tcPr>
            <w:tcW w:w="140" w:type="dxa"/>
            <w:vAlign w:val="bottom"/>
          </w:tcPr>
          <w:p>
            <w:pPr>
              <w:spacing w:after="0"/>
              <w:rPr>
                <w:sz w:val="9"/>
                <w:szCs w:val="9"/>
                <w:color w:val="auto"/>
              </w:rPr>
            </w:pPr>
          </w:p>
        </w:tc>
        <w:tc>
          <w:tcPr>
            <w:tcW w:w="640" w:type="dxa"/>
            <w:vAlign w:val="bottom"/>
          </w:tcPr>
          <w:p>
            <w:pPr>
              <w:jc w:val="right"/>
              <w:ind w:right="12"/>
              <w:spacing w:after="0" w:line="109" w:lineRule="exact"/>
              <w:rPr>
                <w:sz w:val="20"/>
                <w:szCs w:val="20"/>
                <w:color w:val="auto"/>
              </w:rPr>
            </w:pPr>
            <w:r>
              <w:rPr>
                <w:rFonts w:ascii="Arial" w:cs="Arial" w:eastAsia="Arial" w:hAnsi="Arial"/>
                <w:sz w:val="10"/>
                <w:szCs w:val="10"/>
                <w:color w:val="auto"/>
              </w:rPr>
              <w:t>25,092,057</w:t>
            </w:r>
          </w:p>
        </w:tc>
      </w:tr>
      <w:tr>
        <w:trPr>
          <w:trHeight w:val="109"/>
        </w:trPr>
        <w:tc>
          <w:tcPr>
            <w:tcW w:w="1740" w:type="dxa"/>
            <w:vAlign w:val="bottom"/>
          </w:tcPr>
          <w:p>
            <w:pPr>
              <w:spacing w:after="0" w:line="109" w:lineRule="exact"/>
              <w:rPr>
                <w:sz w:val="20"/>
                <w:szCs w:val="20"/>
                <w:color w:val="auto"/>
              </w:rPr>
            </w:pPr>
            <w:r>
              <w:rPr>
                <w:rFonts w:ascii="Arial" w:cs="Arial" w:eastAsia="Arial" w:hAnsi="Arial"/>
                <w:sz w:val="10"/>
                <w:szCs w:val="10"/>
                <w:color w:val="auto"/>
              </w:rPr>
              <w:t>Microbusiness loans</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22,009,902</w:t>
            </w:r>
          </w:p>
        </w:tc>
        <w:tc>
          <w:tcPr>
            <w:tcW w:w="1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302,528</w:t>
            </w:r>
          </w:p>
        </w:tc>
        <w:tc>
          <w:tcPr>
            <w:tcW w:w="140" w:type="dxa"/>
            <w:vAlign w:val="bottom"/>
          </w:tcPr>
          <w:p>
            <w:pPr>
              <w:spacing w:after="0"/>
              <w:rPr>
                <w:sz w:val="9"/>
                <w:szCs w:val="9"/>
                <w:color w:val="auto"/>
              </w:rPr>
            </w:pPr>
          </w:p>
        </w:tc>
        <w:tc>
          <w:tcPr>
            <w:tcW w:w="10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618,804</w:t>
            </w: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1,098,663</w:t>
            </w:r>
          </w:p>
        </w:tc>
        <w:tc>
          <w:tcPr>
            <w:tcW w:w="140" w:type="dxa"/>
            <w:vAlign w:val="bottom"/>
          </w:tcPr>
          <w:p>
            <w:pPr>
              <w:spacing w:after="0"/>
              <w:rPr>
                <w:sz w:val="9"/>
                <w:szCs w:val="9"/>
                <w:color w:val="auto"/>
              </w:rPr>
            </w:pPr>
          </w:p>
        </w:tc>
        <w:tc>
          <w:tcPr>
            <w:tcW w:w="640" w:type="dxa"/>
            <w:vAlign w:val="bottom"/>
          </w:tcPr>
          <w:p>
            <w:pPr>
              <w:jc w:val="right"/>
              <w:ind w:right="12"/>
              <w:spacing w:after="0" w:line="109" w:lineRule="exact"/>
              <w:rPr>
                <w:sz w:val="20"/>
                <w:szCs w:val="20"/>
                <w:color w:val="auto"/>
              </w:rPr>
            </w:pPr>
            <w:r>
              <w:rPr>
                <w:rFonts w:ascii="Arial" w:cs="Arial" w:eastAsia="Arial" w:hAnsi="Arial"/>
                <w:sz w:val="10"/>
                <w:szCs w:val="10"/>
                <w:color w:val="auto"/>
              </w:rPr>
              <w:t>24,029,897</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20,260,194</w:t>
            </w:r>
          </w:p>
        </w:tc>
        <w:tc>
          <w:tcPr>
            <w:tcW w:w="14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328,229</w:t>
            </w:r>
          </w:p>
        </w:tc>
        <w:tc>
          <w:tcPr>
            <w:tcW w:w="120" w:type="dxa"/>
            <w:vAlign w:val="bottom"/>
          </w:tcPr>
          <w:p>
            <w:pPr>
              <w:spacing w:after="0"/>
              <w:rPr>
                <w:sz w:val="9"/>
                <w:szCs w:val="9"/>
                <w:color w:val="auto"/>
              </w:rPr>
            </w:pPr>
          </w:p>
        </w:tc>
        <w:tc>
          <w:tcPr>
            <w:tcW w:w="12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779,402</w:t>
            </w: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1,410,308</w:t>
            </w:r>
          </w:p>
        </w:tc>
        <w:tc>
          <w:tcPr>
            <w:tcW w:w="140" w:type="dxa"/>
            <w:vAlign w:val="bottom"/>
          </w:tcPr>
          <w:p>
            <w:pPr>
              <w:spacing w:after="0"/>
              <w:rPr>
                <w:sz w:val="9"/>
                <w:szCs w:val="9"/>
                <w:color w:val="auto"/>
              </w:rPr>
            </w:pPr>
          </w:p>
        </w:tc>
        <w:tc>
          <w:tcPr>
            <w:tcW w:w="640" w:type="dxa"/>
            <w:vAlign w:val="bottom"/>
          </w:tcPr>
          <w:p>
            <w:pPr>
              <w:jc w:val="right"/>
              <w:ind w:right="12"/>
              <w:spacing w:after="0" w:line="109" w:lineRule="exact"/>
              <w:rPr>
                <w:sz w:val="20"/>
                <w:szCs w:val="20"/>
                <w:color w:val="auto"/>
              </w:rPr>
            </w:pPr>
            <w:r>
              <w:rPr>
                <w:rFonts w:ascii="Arial" w:cs="Arial" w:eastAsia="Arial" w:hAnsi="Arial"/>
                <w:sz w:val="10"/>
                <w:szCs w:val="10"/>
                <w:color w:val="auto"/>
              </w:rPr>
              <w:t>22,778,133</w:t>
            </w:r>
          </w:p>
        </w:tc>
      </w:tr>
      <w:tr>
        <w:trPr>
          <w:trHeight w:val="119"/>
        </w:trPr>
        <w:tc>
          <w:tcPr>
            <w:tcW w:w="1740" w:type="dxa"/>
            <w:vAlign w:val="bottom"/>
          </w:tcPr>
          <w:p>
            <w:pPr>
              <w:spacing w:after="0"/>
              <w:rPr>
                <w:sz w:val="20"/>
                <w:szCs w:val="20"/>
                <w:color w:val="auto"/>
              </w:rPr>
            </w:pPr>
            <w:r>
              <w:rPr>
                <w:rFonts w:ascii="Arial" w:cs="Arial" w:eastAsia="Arial" w:hAnsi="Arial"/>
                <w:sz w:val="10"/>
                <w:szCs w:val="10"/>
                <w:color w:val="auto"/>
              </w:rPr>
              <w:t>Consumer loans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20,376,290</w:t>
            </w:r>
          </w:p>
        </w:tc>
        <w:tc>
          <w:tcPr>
            <w:tcW w:w="140" w:type="dxa"/>
            <w:vAlign w:val="bottom"/>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584,008</w:t>
            </w:r>
          </w:p>
        </w:tc>
        <w:tc>
          <w:tcPr>
            <w:tcW w:w="140" w:type="dxa"/>
            <w:vAlign w:val="bottom"/>
          </w:tcPr>
          <w:p>
            <w:pPr>
              <w:spacing w:after="0"/>
              <w:rPr>
                <w:sz w:val="10"/>
                <w:szCs w:val="10"/>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647,446</w:t>
            </w:r>
          </w:p>
        </w:tc>
        <w:tc>
          <w:tcPr>
            <w:tcW w:w="120" w:type="dxa"/>
            <w:vAlign w:val="bottom"/>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659,025</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22,266,769</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17,524,363</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644,444</w:t>
            </w:r>
          </w:p>
        </w:tc>
        <w:tc>
          <w:tcPr>
            <w:tcW w:w="120" w:type="dxa"/>
            <w:vAlign w:val="bottom"/>
          </w:tcPr>
          <w:p>
            <w:pPr>
              <w:spacing w:after="0"/>
              <w:rPr>
                <w:sz w:val="10"/>
                <w:szCs w:val="10"/>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762,076</w:t>
            </w:r>
          </w:p>
        </w:tc>
        <w:tc>
          <w:tcPr>
            <w:tcW w:w="120" w:type="dxa"/>
            <w:vAlign w:val="bottom"/>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596,557</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19,527,440</w:t>
            </w:r>
          </w:p>
        </w:tc>
      </w:tr>
      <w:tr>
        <w:trPr>
          <w:trHeight w:val="105"/>
        </w:trPr>
        <w:tc>
          <w:tcPr>
            <w:tcW w:w="1740" w:type="dxa"/>
            <w:vAlign w:val="bottom"/>
          </w:tcPr>
          <w:p>
            <w:pPr>
              <w:spacing w:after="0" w:line="101" w:lineRule="exact"/>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136,675,847</w:t>
            </w:r>
          </w:p>
        </w:tc>
        <w:tc>
          <w:tcPr>
            <w:tcW w:w="140" w:type="dxa"/>
            <w:vAlign w:val="bottom"/>
          </w:tcPr>
          <w:p>
            <w:pPr>
              <w:spacing w:after="0"/>
              <w:rPr>
                <w:sz w:val="9"/>
                <w:szCs w:val="9"/>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3,531,294</w:t>
            </w:r>
          </w:p>
        </w:tc>
        <w:tc>
          <w:tcPr>
            <w:tcW w:w="140" w:type="dxa"/>
            <w:vAlign w:val="bottom"/>
          </w:tcPr>
          <w:p>
            <w:pPr>
              <w:spacing w:after="0"/>
              <w:rPr>
                <w:sz w:val="9"/>
                <w:szCs w:val="9"/>
                <w:color w:val="auto"/>
              </w:rPr>
            </w:pPr>
          </w:p>
        </w:tc>
        <w:tc>
          <w:tcPr>
            <w:tcW w:w="1080" w:type="dxa"/>
            <w:vAlign w:val="bottom"/>
            <w:tcBorders>
              <w:bottom w:val="single" w:sz="8" w:color="auto"/>
            </w:tcBorders>
          </w:tcPr>
          <w:p>
            <w:pPr>
              <w:jc w:val="right"/>
              <w:ind w:right="12"/>
              <w:spacing w:after="0" w:line="101" w:lineRule="exact"/>
              <w:rPr>
                <w:sz w:val="20"/>
                <w:szCs w:val="20"/>
                <w:color w:val="auto"/>
              </w:rPr>
            </w:pPr>
            <w:r>
              <w:rPr>
                <w:rFonts w:ascii="Arial" w:cs="Arial" w:eastAsia="Arial" w:hAnsi="Arial"/>
                <w:sz w:val="10"/>
                <w:szCs w:val="10"/>
                <w:color w:val="auto"/>
              </w:rPr>
              <w:t>3,600,831</w:t>
            </w:r>
          </w:p>
        </w:tc>
        <w:tc>
          <w:tcPr>
            <w:tcW w:w="120" w:type="dxa"/>
            <w:vAlign w:val="bottom"/>
          </w:tcPr>
          <w:p>
            <w:pPr>
              <w:spacing w:after="0"/>
              <w:rPr>
                <w:sz w:val="9"/>
                <w:szCs w:val="9"/>
                <w:color w:val="auto"/>
              </w:rPr>
            </w:pPr>
          </w:p>
        </w:tc>
        <w:tc>
          <w:tcPr>
            <w:tcW w:w="6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4,821,126</w:t>
            </w:r>
          </w:p>
        </w:tc>
        <w:tc>
          <w:tcPr>
            <w:tcW w:w="140" w:type="dxa"/>
            <w:vAlign w:val="bottom"/>
          </w:tcPr>
          <w:p>
            <w:pPr>
              <w:spacing w:after="0"/>
              <w:rPr>
                <w:sz w:val="9"/>
                <w:szCs w:val="9"/>
                <w:color w:val="auto"/>
              </w:rPr>
            </w:pPr>
          </w:p>
        </w:tc>
        <w:tc>
          <w:tcPr>
            <w:tcW w:w="640" w:type="dxa"/>
            <w:vAlign w:val="bottom"/>
            <w:tcBorders>
              <w:bottom w:val="single" w:sz="8" w:color="auto"/>
            </w:tcBorders>
          </w:tcPr>
          <w:p>
            <w:pPr>
              <w:jc w:val="right"/>
              <w:ind w:right="12"/>
              <w:spacing w:after="0" w:line="101" w:lineRule="exact"/>
              <w:rPr>
                <w:sz w:val="20"/>
                <w:szCs w:val="20"/>
                <w:color w:val="auto"/>
              </w:rPr>
            </w:pPr>
            <w:r>
              <w:rPr>
                <w:rFonts w:ascii="Arial" w:cs="Arial" w:eastAsia="Arial" w:hAnsi="Arial"/>
                <w:sz w:val="10"/>
                <w:szCs w:val="10"/>
                <w:color w:val="auto"/>
              </w:rPr>
              <w:t>148,629,098</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130,867,669</w:t>
            </w:r>
          </w:p>
        </w:tc>
        <w:tc>
          <w:tcPr>
            <w:tcW w:w="140" w:type="dxa"/>
            <w:vAlign w:val="bottom"/>
          </w:tcPr>
          <w:p>
            <w:pPr>
              <w:spacing w:after="0"/>
              <w:rPr>
                <w:sz w:val="9"/>
                <w:szCs w:val="9"/>
                <w:color w:val="auto"/>
              </w:rPr>
            </w:pPr>
          </w:p>
        </w:tc>
        <w:tc>
          <w:tcPr>
            <w:tcW w:w="620" w:type="dxa"/>
            <w:vAlign w:val="bottom"/>
            <w:tcBorders>
              <w:bottom w:val="single" w:sz="8" w:color="auto"/>
            </w:tcBorders>
          </w:tcPr>
          <w:p>
            <w:pPr>
              <w:jc w:val="right"/>
              <w:ind w:right="12"/>
              <w:spacing w:after="0" w:line="101" w:lineRule="exact"/>
              <w:rPr>
                <w:sz w:val="20"/>
                <w:szCs w:val="20"/>
                <w:color w:val="auto"/>
              </w:rPr>
            </w:pPr>
            <w:r>
              <w:rPr>
                <w:rFonts w:ascii="Arial" w:cs="Arial" w:eastAsia="Arial" w:hAnsi="Arial"/>
                <w:sz w:val="10"/>
                <w:szCs w:val="10"/>
                <w:color w:val="auto"/>
              </w:rPr>
              <w:t>3,802,650</w:t>
            </w:r>
          </w:p>
        </w:tc>
        <w:tc>
          <w:tcPr>
            <w:tcW w:w="120" w:type="dxa"/>
            <w:vAlign w:val="bottom"/>
          </w:tcPr>
          <w:p>
            <w:pPr>
              <w:spacing w:after="0"/>
              <w:rPr>
                <w:sz w:val="9"/>
                <w:szCs w:val="9"/>
                <w:color w:val="auto"/>
              </w:rPr>
            </w:pPr>
          </w:p>
        </w:tc>
        <w:tc>
          <w:tcPr>
            <w:tcW w:w="1280" w:type="dxa"/>
            <w:vAlign w:val="bottom"/>
            <w:tcBorders>
              <w:bottom w:val="single" w:sz="8" w:color="auto"/>
            </w:tcBorders>
          </w:tcPr>
          <w:p>
            <w:pPr>
              <w:jc w:val="right"/>
              <w:ind w:right="12"/>
              <w:spacing w:after="0" w:line="101" w:lineRule="exact"/>
              <w:rPr>
                <w:sz w:val="20"/>
                <w:szCs w:val="20"/>
                <w:color w:val="auto"/>
              </w:rPr>
            </w:pPr>
            <w:r>
              <w:rPr>
                <w:rFonts w:ascii="Arial" w:cs="Arial" w:eastAsia="Arial" w:hAnsi="Arial"/>
                <w:sz w:val="10"/>
                <w:szCs w:val="10"/>
                <w:color w:val="auto"/>
              </w:rPr>
              <w:t>4,218,792</w:t>
            </w:r>
          </w:p>
        </w:tc>
        <w:tc>
          <w:tcPr>
            <w:tcW w:w="120" w:type="dxa"/>
            <w:vAlign w:val="bottom"/>
          </w:tcPr>
          <w:p>
            <w:pPr>
              <w:spacing w:after="0"/>
              <w:rPr>
                <w:sz w:val="9"/>
                <w:szCs w:val="9"/>
                <w:color w:val="auto"/>
              </w:rPr>
            </w:pPr>
          </w:p>
        </w:tc>
        <w:tc>
          <w:tcPr>
            <w:tcW w:w="6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5,430,134</w:t>
            </w:r>
          </w:p>
        </w:tc>
        <w:tc>
          <w:tcPr>
            <w:tcW w:w="140" w:type="dxa"/>
            <w:vAlign w:val="bottom"/>
          </w:tcPr>
          <w:p>
            <w:pPr>
              <w:spacing w:after="0"/>
              <w:rPr>
                <w:sz w:val="9"/>
                <w:szCs w:val="9"/>
                <w:color w:val="auto"/>
              </w:rPr>
            </w:pPr>
          </w:p>
        </w:tc>
        <w:tc>
          <w:tcPr>
            <w:tcW w:w="640" w:type="dxa"/>
            <w:vAlign w:val="bottom"/>
            <w:tcBorders>
              <w:bottom w:val="single" w:sz="8" w:color="auto"/>
            </w:tcBorders>
          </w:tcPr>
          <w:p>
            <w:pPr>
              <w:jc w:val="right"/>
              <w:ind w:right="12"/>
              <w:spacing w:after="0" w:line="101" w:lineRule="exact"/>
              <w:rPr>
                <w:sz w:val="20"/>
                <w:szCs w:val="20"/>
                <w:color w:val="auto"/>
              </w:rPr>
            </w:pPr>
            <w:r>
              <w:rPr>
                <w:rFonts w:ascii="Arial" w:cs="Arial" w:eastAsia="Arial" w:hAnsi="Arial"/>
                <w:sz w:val="10"/>
                <w:szCs w:val="10"/>
                <w:color w:val="auto"/>
              </w:rPr>
              <w:t>144,319,245</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Macroeconomic scenario -</w:t>
      </w:r>
    </w:p>
    <w:p>
      <w:pPr>
        <w:spacing w:after="0" w:line="17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expected credit loss is a weighted estimate of three macroeconomic scenarios: base, optimistic and pessimistic, which are calculated with macroeconomic projections provided by the Economic Studies team and approved by Senior Management. The local and international information flows available during the analysis period are used to feed the projections, which reflect the fact that Peru is a small and open economy. In this context, approximately 60.0 percent of the volatility in economic growth is driven by external factors including terms of trade, the growth of Peru’s trading partners and external interest rates. Information is collected on each of these factors to build each scenario for the next three years.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variables mentioned above, along with local variables (fiscal and monetary variables), are incorporated into the economic models.</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first is a stochastic dynamic general equilibrium model, which is built with expectations. The second is constructed with the main identities of the national accounts in accordance with the financial programming methodology designed by the IMF (International Monetary Fund) and the methodologies used by a battery of econometric models.</w:t>
      </w:r>
    </w:p>
    <w:p>
      <w:pPr>
        <w:spacing w:after="0" w:line="29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- 142 -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400"/>
          </w:cols>
          <w:pgMar w:left="1180" w:top="124" w:right="319" w:bottom="1440" w:gutter="0" w:footer="0" w:header="0"/>
        </w:sectPr>
      </w:pPr>
    </w:p>
    <w:bookmarkStart w:id="147" w:name="page148"/>
    <w:bookmarkEnd w:id="147"/>
    <w:p>
      <w:pPr>
        <w:ind w:left="284" w:right="240"/>
        <w:spacing w:after="0" w:line="273" w:lineRule="auto"/>
        <w:rPr>
          <w:sz w:val="20"/>
          <w:szCs w:val="20"/>
          <w:color w:val="auto"/>
        </w:rPr>
      </w:pPr>
      <w:r>
        <w:rPr>
          <w:rFonts w:ascii="Arial" w:cs="Arial" w:eastAsia="Arial" w:hAnsi="Arial"/>
          <w:sz w:val="16"/>
          <w:szCs w:val="16"/>
          <w:color w:val="auto"/>
        </w:rPr>
        <w:t>Through this process, projections of GDP growth, inflation, exchange rate and other macroeconomic variables are obtained for the years 2025, 2026 and 2027. We expect GDP to grow around 3.3 percent in 2026, which is mainly explained by the following factors:</w:t>
      </w:r>
    </w:p>
    <w:p>
      <w:pPr>
        <w:spacing w:after="0" w:line="124" w:lineRule="exact"/>
        <w:rPr>
          <w:sz w:val="20"/>
          <w:szCs w:val="20"/>
          <w:color w:val="auto"/>
        </w:rPr>
      </w:pPr>
    </w:p>
    <w:p>
      <w:pPr>
        <w:ind w:left="864" w:hanging="575"/>
        <w:spacing w:after="0"/>
        <w:tabs>
          <w:tab w:leader="none" w:pos="86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Highly favorable external conditions driven by record-high terms of trade and lower global interest rates.</w:t>
      </w:r>
    </w:p>
    <w:p>
      <w:pPr>
        <w:spacing w:after="0" w:line="12" w:lineRule="exact"/>
        <w:rPr>
          <w:rFonts w:ascii="Arial" w:cs="Arial" w:eastAsia="Arial" w:hAnsi="Arial"/>
          <w:sz w:val="16"/>
          <w:szCs w:val="16"/>
          <w:color w:val="auto"/>
        </w:rPr>
      </w:pPr>
    </w:p>
    <w:p>
      <w:pPr>
        <w:ind w:left="864" w:hanging="575"/>
        <w:spacing w:after="0" w:line="236" w:lineRule="auto"/>
        <w:tabs>
          <w:tab w:leader="none" w:pos="86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Positive momentum associated with the maturing economic cycle.</w:t>
      </w:r>
    </w:p>
    <w:p>
      <w:pPr>
        <w:ind w:left="864" w:hanging="575"/>
        <w:spacing w:after="0" w:line="236" w:lineRule="auto"/>
        <w:tabs>
          <w:tab w:leader="none" w:pos="86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Low inflation supporting real wage recovery.</w:t>
      </w:r>
    </w:p>
    <w:p>
      <w:pPr>
        <w:ind w:left="864" w:hanging="575"/>
        <w:spacing w:after="0" w:line="236" w:lineRule="auto"/>
        <w:tabs>
          <w:tab w:leader="none" w:pos="86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 acceleration in credit origination aligned with higher aggregate demand and improved financial health of economic agents.</w:t>
      </w:r>
    </w:p>
    <w:p>
      <w:pPr>
        <w:ind w:left="864" w:hanging="575"/>
        <w:spacing w:after="0"/>
        <w:tabs>
          <w:tab w:leader="none" w:pos="86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Economic expectations remaining in optimistic territory and continuing to improve.</w:t>
      </w:r>
    </w:p>
    <w:p>
      <w:pPr>
        <w:spacing w:after="0" w:line="162" w:lineRule="exact"/>
        <w:rPr>
          <w:sz w:val="20"/>
          <w:szCs w:val="20"/>
          <w:color w:val="auto"/>
        </w:rPr>
      </w:pPr>
    </w:p>
    <w:p>
      <w:pPr>
        <w:ind w:left="284"/>
        <w:spacing w:after="0"/>
        <w:rPr>
          <w:sz w:val="20"/>
          <w:szCs w:val="20"/>
          <w:color w:val="auto"/>
        </w:rPr>
      </w:pPr>
      <w:r>
        <w:rPr>
          <w:rFonts w:ascii="Arial" w:cs="Arial" w:eastAsia="Arial" w:hAnsi="Arial"/>
          <w:sz w:val="16"/>
          <w:szCs w:val="16"/>
          <w:color w:val="auto"/>
        </w:rPr>
        <w:t>In addition, a usual degree of uncertainty arising from the political environment inherent to the electoral cycle is recognized.</w:t>
      </w:r>
    </w:p>
    <w:p>
      <w:pPr>
        <w:spacing w:after="0" w:line="178" w:lineRule="exact"/>
        <w:rPr>
          <w:sz w:val="20"/>
          <w:szCs w:val="20"/>
          <w:color w:val="auto"/>
        </w:rPr>
      </w:pPr>
    </w:p>
    <w:p>
      <w:pPr>
        <w:jc w:val="both"/>
        <w:ind w:left="284"/>
        <w:spacing w:after="0" w:line="255" w:lineRule="auto"/>
        <w:rPr>
          <w:sz w:val="20"/>
          <w:szCs w:val="20"/>
          <w:color w:val="auto"/>
        </w:rPr>
      </w:pPr>
      <w:r>
        <w:rPr>
          <w:rFonts w:ascii="Arial" w:cs="Arial" w:eastAsia="Arial" w:hAnsi="Arial"/>
          <w:sz w:val="16"/>
          <w:szCs w:val="16"/>
          <w:color w:val="auto"/>
        </w:rPr>
        <w:t>Probabilities of 50.0 percent, 25.0 percent, and 25.0 percent were considered for the base, optimistic, and pessimistic scenarios, respectively. The probabilities assigned to each scenario and the projections are validated through a fan chart analysis, which uses the likelihood function to identify and analyze:</w:t>
      </w:r>
    </w:p>
    <w:p>
      <w:pPr>
        <w:spacing w:after="0" w:line="137" w:lineRule="exact"/>
        <w:rPr>
          <w:sz w:val="20"/>
          <w:szCs w:val="20"/>
          <w:color w:val="auto"/>
        </w:rPr>
      </w:pPr>
    </w:p>
    <w:p>
      <w:pPr>
        <w:ind w:left="864" w:hanging="575"/>
        <w:spacing w:after="0"/>
        <w:tabs>
          <w:tab w:leader="none" w:pos="86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central tendency of the projections.</w:t>
      </w:r>
    </w:p>
    <w:p>
      <w:pPr>
        <w:spacing w:after="0" w:line="12" w:lineRule="exact"/>
        <w:rPr>
          <w:rFonts w:ascii="Arial" w:cs="Arial" w:eastAsia="Arial" w:hAnsi="Arial"/>
          <w:sz w:val="16"/>
          <w:szCs w:val="16"/>
          <w:color w:val="auto"/>
        </w:rPr>
      </w:pPr>
    </w:p>
    <w:p>
      <w:pPr>
        <w:ind w:left="864" w:hanging="575"/>
        <w:spacing w:after="0" w:line="236" w:lineRule="auto"/>
        <w:tabs>
          <w:tab w:leader="none" w:pos="86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dispersion expected around this value.</w:t>
      </w:r>
    </w:p>
    <w:p>
      <w:pPr>
        <w:ind w:left="864" w:hanging="575"/>
        <w:spacing w:after="0"/>
        <w:tabs>
          <w:tab w:leader="none" w:pos="86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Values above or below the central value that are more or less likely.</w:t>
      </w:r>
    </w:p>
    <w:p>
      <w:pPr>
        <w:spacing w:after="0" w:line="162" w:lineRule="exact"/>
        <w:rPr>
          <w:sz w:val="20"/>
          <w:szCs w:val="20"/>
          <w:color w:val="auto"/>
        </w:rPr>
      </w:pPr>
    </w:p>
    <w:p>
      <w:pPr>
        <w:ind w:left="284" w:right="420"/>
        <w:spacing w:after="0" w:line="274" w:lineRule="auto"/>
        <w:rPr>
          <w:sz w:val="20"/>
          <w:szCs w:val="20"/>
          <w:color w:val="auto"/>
        </w:rPr>
      </w:pPr>
      <w:r>
        <w:rPr>
          <w:rFonts w:ascii="Arial" w:cs="Arial" w:eastAsia="Arial" w:hAnsi="Arial"/>
          <w:sz w:val="16"/>
          <w:szCs w:val="16"/>
          <w:color w:val="auto"/>
        </w:rPr>
        <w:t>The following table presents a comparison between the carrying amount of the allowance for credit losses of the direct loan portfolio, indirect loans, and bankers’ acceptances granted to customers, and its estimate under the three scenarios: base, optimistic, and pessimistic.</w:t>
      </w:r>
    </w:p>
    <w:p>
      <w:pPr>
        <w:spacing w:after="0" w:line="123" w:lineRule="exact"/>
        <w:rPr>
          <w:sz w:val="20"/>
          <w:szCs w:val="20"/>
          <w:color w:val="auto"/>
        </w:rPr>
      </w:pPr>
    </w:p>
    <w:tbl>
      <w:tblPr>
        <w:tblLayout w:type="fixed"/>
        <w:tblInd w:w="284" w:type="dxa"/>
        <w:tblCellMar>
          <w:top w:w="0" w:type="dxa"/>
          <w:left w:w="0" w:type="dxa"/>
          <w:bottom w:w="0" w:type="dxa"/>
          <w:right w:w="0" w:type="dxa"/>
        </w:tblCellMar>
      </w:tblPr>
      <w:tr>
        <w:trPr>
          <w:trHeight w:val="198"/>
        </w:trPr>
        <w:tc>
          <w:tcPr>
            <w:tcW w:w="2260" w:type="dxa"/>
            <w:vAlign w:val="bottom"/>
            <w:gridSpan w:val="2"/>
          </w:tcPr>
          <w:p>
            <w:pPr>
              <w:ind w:left="1680"/>
              <w:spacing w:after="0"/>
              <w:rPr>
                <w:sz w:val="20"/>
                <w:szCs w:val="20"/>
                <w:color w:val="auto"/>
              </w:rPr>
            </w:pPr>
            <w:r>
              <w:rPr>
                <w:rFonts w:ascii="Arial" w:cs="Arial" w:eastAsia="Arial" w:hAnsi="Arial"/>
                <w:sz w:val="16"/>
                <w:szCs w:val="16"/>
                <w:b w:val="1"/>
                <w:bCs w:val="1"/>
                <w:color w:val="auto"/>
              </w:rPr>
              <w:t>2025</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16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45"/>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Carrying amount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8,041,526</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8,378,895</w:t>
            </w:r>
          </w:p>
        </w:tc>
      </w:tr>
      <w:tr>
        <w:trPr>
          <w:trHeight w:val="321"/>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Scenarios: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226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Optimistic</w:t>
            </w:r>
          </w:p>
        </w:tc>
        <w:tc>
          <w:tcPr>
            <w:tcW w:w="9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7,960,895</w:t>
            </w:r>
          </w:p>
        </w:tc>
        <w:tc>
          <w:tcPr>
            <w:tcW w:w="13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8,283,450</w:t>
            </w:r>
          </w:p>
        </w:tc>
      </w:tr>
      <w:tr>
        <w:trPr>
          <w:trHeight w:val="181"/>
        </w:trPr>
        <w:tc>
          <w:tcPr>
            <w:tcW w:w="226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Base</w:t>
            </w:r>
          </w:p>
        </w:tc>
        <w:tc>
          <w:tcPr>
            <w:tcW w:w="9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8,031,548</w:t>
            </w:r>
          </w:p>
        </w:tc>
        <w:tc>
          <w:tcPr>
            <w:tcW w:w="13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8,369,849</w:t>
            </w:r>
          </w:p>
        </w:tc>
      </w:tr>
      <w:tr>
        <w:trPr>
          <w:trHeight w:val="214"/>
        </w:trPr>
        <w:tc>
          <w:tcPr>
            <w:tcW w:w="2260" w:type="dxa"/>
            <w:vAlign w:val="bottom"/>
            <w:gridSpan w:val="2"/>
          </w:tcPr>
          <w:p>
            <w:pPr>
              <w:ind w:left="140"/>
              <w:spacing w:after="0"/>
              <w:rPr>
                <w:sz w:val="20"/>
                <w:szCs w:val="20"/>
                <w:color w:val="auto"/>
              </w:rPr>
            </w:pPr>
            <w:r>
              <w:rPr>
                <w:rFonts w:ascii="Arial" w:cs="Arial" w:eastAsia="Arial" w:hAnsi="Arial"/>
                <w:sz w:val="16"/>
                <w:szCs w:val="16"/>
                <w:color w:val="auto"/>
              </w:rPr>
              <w:t>Pessimistic</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8,142,114</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8,492,433</w:t>
            </w:r>
          </w:p>
        </w:tc>
      </w:tr>
    </w:tbl>
    <w:p>
      <w:pPr>
        <w:spacing w:after="0" w:line="136" w:lineRule="exact"/>
        <w:rPr>
          <w:sz w:val="20"/>
          <w:szCs w:val="20"/>
          <w:color w:val="auto"/>
        </w:rPr>
      </w:pPr>
    </w:p>
    <w:p>
      <w:pPr>
        <w:ind w:left="284" w:hanging="284"/>
        <w:spacing w:after="0"/>
        <w:tabs>
          <w:tab w:leader="none" w:pos="28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Credit risk management on reverse repurchase agreements and securities borrowing -</w:t>
      </w:r>
    </w:p>
    <w:p>
      <w:pPr>
        <w:spacing w:after="0" w:line="177" w:lineRule="exact"/>
        <w:rPr>
          <w:rFonts w:ascii="Arial" w:cs="Arial" w:eastAsia="Arial" w:hAnsi="Arial"/>
          <w:sz w:val="16"/>
          <w:szCs w:val="16"/>
          <w:color w:val="auto"/>
        </w:rPr>
      </w:pPr>
    </w:p>
    <w:p>
      <w:pPr>
        <w:ind w:left="284" w:right="640"/>
        <w:spacing w:after="0" w:line="274" w:lineRule="auto"/>
        <w:rPr>
          <w:rFonts w:ascii="Arial" w:cs="Arial" w:eastAsia="Arial" w:hAnsi="Arial"/>
          <w:sz w:val="16"/>
          <w:szCs w:val="16"/>
          <w:color w:val="auto"/>
        </w:rPr>
      </w:pPr>
      <w:r>
        <w:rPr>
          <w:rFonts w:ascii="Arial" w:cs="Arial" w:eastAsia="Arial" w:hAnsi="Arial"/>
          <w:sz w:val="16"/>
          <w:szCs w:val="16"/>
          <w:color w:val="auto"/>
        </w:rPr>
        <w:t>Most of these operations are performed by Credicorp Capital. The Group has implemented credit limits for each counterparty and most of transactions are collateralized with investment grade financial instruments and financial instruments issued by governments.</w:t>
      </w:r>
    </w:p>
    <w:p>
      <w:pPr>
        <w:spacing w:after="0" w:line="122" w:lineRule="exact"/>
        <w:rPr>
          <w:rFonts w:ascii="Arial" w:cs="Arial" w:eastAsia="Arial" w:hAnsi="Arial"/>
          <w:sz w:val="16"/>
          <w:szCs w:val="16"/>
          <w:color w:val="auto"/>
        </w:rPr>
      </w:pPr>
    </w:p>
    <w:p>
      <w:pPr>
        <w:ind w:left="284" w:hanging="284"/>
        <w:spacing w:after="0"/>
        <w:tabs>
          <w:tab w:leader="none" w:pos="28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Credit risk management on investments -</w:t>
      </w:r>
    </w:p>
    <w:p>
      <w:pPr>
        <w:spacing w:after="0" w:line="177" w:lineRule="exact"/>
        <w:rPr>
          <w:rFonts w:ascii="Arial" w:cs="Arial" w:eastAsia="Arial" w:hAnsi="Arial"/>
          <w:sz w:val="16"/>
          <w:szCs w:val="16"/>
          <w:color w:val="auto"/>
        </w:rPr>
      </w:pPr>
    </w:p>
    <w:p>
      <w:pPr>
        <w:ind w:left="284" w:right="60"/>
        <w:spacing w:after="0" w:line="255" w:lineRule="auto"/>
        <w:rPr>
          <w:rFonts w:ascii="Arial" w:cs="Arial" w:eastAsia="Arial" w:hAnsi="Arial"/>
          <w:sz w:val="16"/>
          <w:szCs w:val="16"/>
          <w:color w:val="auto"/>
        </w:rPr>
      </w:pPr>
      <w:r>
        <w:rPr>
          <w:rFonts w:ascii="Arial" w:cs="Arial" w:eastAsia="Arial" w:hAnsi="Arial"/>
          <w:sz w:val="16"/>
          <w:szCs w:val="16"/>
          <w:color w:val="auto"/>
        </w:rPr>
        <w:t>The Group assesses the identified credit risk of each investment by disclosing the risk rating assigned by recognized local and international credit rating agencies. The credit rating assignment processes carried out in Peru differ from the credit rating assignment processes applied at the international level.</w:t>
      </w:r>
    </w:p>
    <w:p>
      <w:pPr>
        <w:spacing w:after="0" w:line="137" w:lineRule="exact"/>
        <w:rPr>
          <w:rFonts w:ascii="Arial" w:cs="Arial" w:eastAsia="Arial" w:hAnsi="Arial"/>
          <w:sz w:val="16"/>
          <w:szCs w:val="16"/>
          <w:color w:val="auto"/>
        </w:rPr>
      </w:pPr>
    </w:p>
    <w:p>
      <w:pPr>
        <w:ind w:left="284" w:right="80"/>
        <w:spacing w:after="0" w:line="274" w:lineRule="auto"/>
        <w:rPr>
          <w:rFonts w:ascii="Arial" w:cs="Arial" w:eastAsia="Arial" w:hAnsi="Arial"/>
          <w:sz w:val="16"/>
          <w:szCs w:val="16"/>
          <w:color w:val="auto"/>
        </w:rPr>
      </w:pPr>
      <w:r>
        <w:rPr>
          <w:rFonts w:ascii="Arial" w:cs="Arial" w:eastAsia="Arial" w:hAnsi="Arial"/>
          <w:sz w:val="16"/>
          <w:szCs w:val="16"/>
          <w:color w:val="auto"/>
        </w:rPr>
        <w:t>In the event that any subsidiary uses a risk-rating prepared by any other risk rating agency, said risk-ratings are standardized with those provided by the above-mentioned institutions for consolidation purposes.</w:t>
      </w:r>
    </w:p>
    <w:p>
      <w:pPr>
        <w:spacing w:after="0" w:line="12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The following table shows the risk analysis of the investments provided by the institutions referred to above:</w:t>
      </w:r>
    </w:p>
    <w:p>
      <w:pPr>
        <w:spacing w:after="0" w:line="334" w:lineRule="exact"/>
        <w:rPr>
          <w:rFonts w:ascii="Arial" w:cs="Arial" w:eastAsia="Arial" w:hAnsi="Arial"/>
          <w:sz w:val="16"/>
          <w:szCs w:val="16"/>
          <w:color w:val="auto"/>
        </w:rPr>
      </w:pPr>
    </w:p>
    <w:p>
      <w:pPr>
        <w:ind w:left="4904" w:hanging="88"/>
        <w:spacing w:after="0"/>
        <w:tabs>
          <w:tab w:leader="none" w:pos="490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124" w:right="339" w:bottom="1440" w:gutter="0" w:footer="0" w:header="0"/>
        </w:sectPr>
      </w:pPr>
    </w:p>
    <w:bookmarkStart w:id="148" w:name="page149"/>
    <w:bookmarkEnd w:id="148"/>
    <w:tbl>
      <w:tblPr>
        <w:tblLayout w:type="fixed"/>
        <w:tblInd w:w="860" w:type="dxa"/>
        <w:tblCellMar>
          <w:top w:w="0" w:type="dxa"/>
          <w:left w:w="0" w:type="dxa"/>
          <w:bottom w:w="0" w:type="dxa"/>
          <w:right w:w="0" w:type="dxa"/>
        </w:tblCellMar>
      </w:tblPr>
      <w:tr>
        <w:trPr>
          <w:trHeight w:val="198"/>
        </w:trPr>
        <w:tc>
          <w:tcPr>
            <w:tcW w:w="4580" w:type="dxa"/>
            <w:vAlign w:val="bottom"/>
            <w:gridSpan w:val="2"/>
          </w:tcPr>
          <w:p>
            <w:pPr>
              <w:ind w:left="3840"/>
              <w:spacing w:after="0"/>
              <w:rPr>
                <w:sz w:val="20"/>
                <w:szCs w:val="20"/>
                <w:color w:val="auto"/>
              </w:rPr>
            </w:pPr>
            <w:r>
              <w:rPr>
                <w:rFonts w:ascii="Arial" w:cs="Arial" w:eastAsia="Arial" w:hAnsi="Arial"/>
                <w:sz w:val="16"/>
                <w:szCs w:val="16"/>
                <w:b w:val="1"/>
                <w:bCs w:val="1"/>
                <w:color w:val="auto"/>
              </w:rPr>
              <w:t>2025</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gridSpan w:val="3"/>
          </w:tcPr>
          <w:p>
            <w:pPr>
              <w:ind w:left="820"/>
              <w:spacing w:after="0"/>
              <w:rPr>
                <w:sz w:val="20"/>
                <w:szCs w:val="20"/>
                <w:color w:val="auto"/>
              </w:rPr>
            </w:pPr>
            <w:r>
              <w:rPr>
                <w:rFonts w:ascii="Arial" w:cs="Arial" w:eastAsia="Arial" w:hAnsi="Arial"/>
                <w:sz w:val="16"/>
                <w:szCs w:val="16"/>
                <w:b w:val="1"/>
                <w:bCs w:val="1"/>
                <w:color w:val="auto"/>
              </w:rPr>
              <w:t>2024</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56"/>
        </w:trPr>
        <w:tc>
          <w:tcPr>
            <w:tcW w:w="3840" w:type="dxa"/>
            <w:vAlign w:val="bottom"/>
          </w:tcPr>
          <w:p>
            <w:pPr>
              <w:spacing w:after="0"/>
              <w:rPr>
                <w:sz w:val="13"/>
                <w:szCs w:val="13"/>
                <w:color w:val="auto"/>
              </w:rPr>
            </w:pPr>
          </w:p>
        </w:tc>
        <w:tc>
          <w:tcPr>
            <w:tcW w:w="7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780" w:type="dxa"/>
            <w:vAlign w:val="bottom"/>
            <w:tcBorders>
              <w:top w:val="single" w:sz="8" w:color="auto"/>
            </w:tcBorders>
            <w:gridSpan w:val="3"/>
          </w:tcPr>
          <w:p>
            <w:pPr>
              <w:jc w:val="right"/>
              <w:ind w:right="400"/>
              <w:spacing w:after="0" w:line="156" w:lineRule="exact"/>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1020"/>
              <w:spacing w:after="0" w:line="156" w:lineRule="exact"/>
              <w:rPr>
                <w:sz w:val="20"/>
                <w:szCs w:val="20"/>
                <w:color w:val="auto"/>
              </w:rPr>
            </w:pPr>
            <w:r>
              <w:rPr>
                <w:rFonts w:ascii="Arial" w:cs="Arial" w:eastAsia="Arial" w:hAnsi="Arial"/>
                <w:sz w:val="16"/>
                <w:szCs w:val="16"/>
                <w:b w:val="1"/>
                <w:bCs w:val="1"/>
                <w:color w:val="auto"/>
              </w:rPr>
              <w:t>%</w:t>
            </w:r>
          </w:p>
        </w:tc>
      </w:tr>
      <w:tr>
        <w:trPr>
          <w:trHeight w:val="181"/>
        </w:trPr>
        <w:tc>
          <w:tcPr>
            <w:tcW w:w="45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Instruments issued in Peru:</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1"/>
        </w:trPr>
        <w:tc>
          <w:tcPr>
            <w:tcW w:w="4580" w:type="dxa"/>
            <w:vAlign w:val="bottom"/>
            <w:gridSpan w:val="2"/>
          </w:tcPr>
          <w:p>
            <w:pPr>
              <w:spacing w:after="0" w:line="181" w:lineRule="exact"/>
              <w:rPr>
                <w:sz w:val="20"/>
                <w:szCs w:val="20"/>
                <w:color w:val="auto"/>
              </w:rPr>
            </w:pPr>
            <w:r>
              <w:rPr>
                <w:rFonts w:ascii="Arial" w:cs="Arial" w:eastAsia="Arial" w:hAnsi="Arial"/>
                <w:sz w:val="16"/>
                <w:szCs w:val="16"/>
                <w:color w:val="auto"/>
              </w:rPr>
              <w:t>BBB- to BBB+</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25,036,590</w:t>
            </w:r>
          </w:p>
        </w:tc>
        <w:tc>
          <w:tcPr>
            <w:tcW w:w="54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47.5</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23,952,251</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44.5</w:t>
            </w:r>
          </w:p>
        </w:tc>
      </w:tr>
      <w:tr>
        <w:trPr>
          <w:trHeight w:val="181"/>
        </w:trPr>
        <w:tc>
          <w:tcPr>
            <w:tcW w:w="4580" w:type="dxa"/>
            <w:vAlign w:val="bottom"/>
            <w:gridSpan w:val="2"/>
          </w:tcPr>
          <w:p>
            <w:pPr>
              <w:spacing w:after="0" w:line="181" w:lineRule="exact"/>
              <w:rPr>
                <w:sz w:val="20"/>
                <w:szCs w:val="20"/>
                <w:color w:val="auto"/>
              </w:rPr>
            </w:pPr>
            <w:r>
              <w:rPr>
                <w:rFonts w:ascii="Arial" w:cs="Arial" w:eastAsia="Arial" w:hAnsi="Arial"/>
                <w:sz w:val="16"/>
                <w:szCs w:val="16"/>
                <w:color w:val="auto"/>
              </w:rPr>
              <w:t>BB- to BB+</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865,912</w:t>
            </w:r>
          </w:p>
        </w:tc>
        <w:tc>
          <w:tcPr>
            <w:tcW w:w="54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1.6</w:t>
            </w:r>
          </w:p>
        </w:tc>
        <w:tc>
          <w:tcPr>
            <w:tcW w:w="72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910,170</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1.7</w:t>
            </w:r>
          </w:p>
        </w:tc>
      </w:tr>
      <w:tr>
        <w:trPr>
          <w:trHeight w:val="181"/>
        </w:trPr>
        <w:tc>
          <w:tcPr>
            <w:tcW w:w="4580" w:type="dxa"/>
            <w:vAlign w:val="bottom"/>
            <w:gridSpan w:val="2"/>
          </w:tcPr>
          <w:p>
            <w:pPr>
              <w:spacing w:after="0" w:line="181" w:lineRule="exact"/>
              <w:rPr>
                <w:sz w:val="20"/>
                <w:szCs w:val="20"/>
                <w:color w:val="auto"/>
              </w:rPr>
            </w:pPr>
            <w:r>
              <w:rPr>
                <w:rFonts w:ascii="Arial" w:cs="Arial" w:eastAsia="Arial" w:hAnsi="Arial"/>
                <w:sz w:val="16"/>
                <w:szCs w:val="16"/>
                <w:color w:val="auto"/>
              </w:rPr>
              <w:t>Lower and equal to +B</w:t>
            </w:r>
          </w:p>
        </w:tc>
        <w:tc>
          <w:tcPr>
            <w:tcW w:w="1780" w:type="dxa"/>
            <w:vAlign w:val="bottom"/>
            <w:gridSpan w:val="3"/>
          </w:tcPr>
          <w:p>
            <w:pPr>
              <w:jc w:val="right"/>
              <w:ind w:right="760"/>
              <w:spacing w:after="0" w:line="181" w:lineRule="exact"/>
              <w:rPr>
                <w:sz w:val="20"/>
                <w:szCs w:val="20"/>
                <w:color w:val="auto"/>
              </w:rPr>
            </w:pPr>
            <w:r>
              <w:rPr>
                <w:rFonts w:ascii="Arial" w:cs="Arial" w:eastAsia="Arial" w:hAnsi="Arial"/>
                <w:sz w:val="16"/>
                <w:szCs w:val="16"/>
                <w:color w:val="auto"/>
              </w:rPr>
              <w:t>−</w:t>
            </w:r>
          </w:p>
        </w:tc>
        <w:tc>
          <w:tcPr>
            <w:tcW w:w="1540" w:type="dxa"/>
            <w:vAlign w:val="bottom"/>
            <w:gridSpan w:val="3"/>
          </w:tcPr>
          <w:p>
            <w:pPr>
              <w:jc w:val="right"/>
              <w:ind w:right="760"/>
              <w:spacing w:after="0" w:line="181"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33,402</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0.1</w:t>
            </w:r>
          </w:p>
        </w:tc>
      </w:tr>
      <w:tr>
        <w:trPr>
          <w:trHeight w:val="181"/>
        </w:trPr>
        <w:tc>
          <w:tcPr>
            <w:tcW w:w="4580" w:type="dxa"/>
            <w:vAlign w:val="bottom"/>
            <w:gridSpan w:val="2"/>
          </w:tcPr>
          <w:p>
            <w:pPr>
              <w:spacing w:after="0" w:line="181" w:lineRule="exact"/>
              <w:rPr>
                <w:sz w:val="20"/>
                <w:szCs w:val="20"/>
                <w:color w:val="auto"/>
              </w:rPr>
            </w:pPr>
            <w:r>
              <w:rPr>
                <w:rFonts w:ascii="Arial" w:cs="Arial" w:eastAsia="Arial" w:hAnsi="Arial"/>
                <w:sz w:val="16"/>
                <w:szCs w:val="16"/>
                <w:color w:val="auto"/>
              </w:rPr>
              <w:t>Unrated:</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1"/>
        </w:trPr>
        <w:tc>
          <w:tcPr>
            <w:tcW w:w="458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BCRP certificates of deposit</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10,884,030</w:t>
            </w:r>
          </w:p>
        </w:tc>
        <w:tc>
          <w:tcPr>
            <w:tcW w:w="54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20.6</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11,435,757</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21.2</w:t>
            </w:r>
          </w:p>
        </w:tc>
      </w:tr>
      <w:tr>
        <w:trPr>
          <w:trHeight w:val="181"/>
        </w:trPr>
        <w:tc>
          <w:tcPr>
            <w:tcW w:w="458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Listed and unlisted securities</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139,019</w:t>
            </w:r>
          </w:p>
        </w:tc>
        <w:tc>
          <w:tcPr>
            <w:tcW w:w="54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0.3</w:t>
            </w:r>
          </w:p>
        </w:tc>
        <w:tc>
          <w:tcPr>
            <w:tcW w:w="72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158,620</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0.3</w:t>
            </w:r>
          </w:p>
        </w:tc>
      </w:tr>
      <w:tr>
        <w:trPr>
          <w:trHeight w:val="181"/>
        </w:trPr>
        <w:tc>
          <w:tcPr>
            <w:tcW w:w="458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Restricted mutual funds</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336,159</w:t>
            </w:r>
          </w:p>
        </w:tc>
        <w:tc>
          <w:tcPr>
            <w:tcW w:w="54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0.6</w:t>
            </w:r>
          </w:p>
        </w:tc>
        <w:tc>
          <w:tcPr>
            <w:tcW w:w="72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307,225</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0.6</w:t>
            </w:r>
          </w:p>
        </w:tc>
      </w:tr>
      <w:tr>
        <w:trPr>
          <w:trHeight w:val="181"/>
        </w:trPr>
        <w:tc>
          <w:tcPr>
            <w:tcW w:w="458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Investment funds</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934,923</w:t>
            </w:r>
          </w:p>
        </w:tc>
        <w:tc>
          <w:tcPr>
            <w:tcW w:w="54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1.8</w:t>
            </w:r>
          </w:p>
        </w:tc>
        <w:tc>
          <w:tcPr>
            <w:tcW w:w="72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835,689</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1.6</w:t>
            </w:r>
          </w:p>
        </w:tc>
      </w:tr>
      <w:tr>
        <w:trPr>
          <w:trHeight w:val="181"/>
        </w:trPr>
        <w:tc>
          <w:tcPr>
            <w:tcW w:w="458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Mutual funds</w:t>
            </w:r>
          </w:p>
        </w:tc>
        <w:tc>
          <w:tcPr>
            <w:tcW w:w="12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43,143</w:t>
            </w:r>
          </w:p>
        </w:tc>
        <w:tc>
          <w:tcPr>
            <w:tcW w:w="54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0.1</w:t>
            </w:r>
          </w:p>
        </w:tc>
        <w:tc>
          <w:tcPr>
            <w:tcW w:w="72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66,156</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0.1</w:t>
            </w:r>
          </w:p>
        </w:tc>
      </w:tr>
      <w:tr>
        <w:trPr>
          <w:trHeight w:val="198"/>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Other instruments</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221,336</w:t>
            </w:r>
          </w:p>
        </w:tc>
        <w:tc>
          <w:tcPr>
            <w:tcW w:w="5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c>
          <w:tcPr>
            <w:tcW w:w="7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276,372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6"/>
                <w:szCs w:val="16"/>
                <w:b w:val="1"/>
                <w:bCs w:val="1"/>
                <w:color w:val="auto"/>
              </w:rPr>
              <w:t>Subtotal</w:t>
            </w:r>
          </w:p>
        </w:tc>
        <w:tc>
          <w:tcPr>
            <w:tcW w:w="7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38,461,112</w:t>
            </w:r>
          </w:p>
        </w:tc>
        <w:tc>
          <w:tcPr>
            <w:tcW w:w="22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72.9</w:t>
            </w:r>
          </w:p>
        </w:tc>
        <w:tc>
          <w:tcPr>
            <w:tcW w:w="120" w:type="dxa"/>
            <w:vAlign w:val="bottom"/>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37,975,642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70.6</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20" w:type="dxa"/>
            <w:vAlign w:val="bottom"/>
            <w:gridSpan w:val="2"/>
          </w:tcPr>
          <w:p>
            <w:pPr>
              <w:ind w:left="4700"/>
              <w:spacing w:after="0"/>
              <w:rPr>
                <w:sz w:val="20"/>
                <w:szCs w:val="20"/>
                <w:color w:val="auto"/>
              </w:rPr>
            </w:pPr>
            <w:r>
              <w:rPr>
                <w:rFonts w:ascii="Arial" w:cs="Arial" w:eastAsia="Arial" w:hAnsi="Arial"/>
                <w:sz w:val="16"/>
                <w:szCs w:val="16"/>
                <w:b w:val="1"/>
                <w:bCs w:val="1"/>
                <w:color w:val="auto"/>
              </w:rPr>
              <w:t>2025</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4"/>
          </w:tcPr>
          <w:p>
            <w:pPr>
              <w:ind w:left="860"/>
              <w:spacing w:after="0"/>
              <w:rPr>
                <w:sz w:val="20"/>
                <w:szCs w:val="20"/>
                <w:color w:val="auto"/>
              </w:rPr>
            </w:pPr>
            <w:r>
              <w:rPr>
                <w:rFonts w:ascii="Arial" w:cs="Arial" w:eastAsia="Arial" w:hAnsi="Arial"/>
                <w:sz w:val="16"/>
                <w:szCs w:val="16"/>
                <w:b w:val="1"/>
                <w:bCs w:val="1"/>
                <w:color w:val="auto"/>
              </w:rPr>
              <w:t>2024</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4700" w:type="dxa"/>
            <w:vAlign w:val="bottom"/>
          </w:tcPr>
          <w:p>
            <w:pPr>
              <w:spacing w:after="0"/>
              <w:rPr>
                <w:sz w:val="13"/>
                <w:szCs w:val="13"/>
                <w:color w:val="auto"/>
              </w:rPr>
            </w:pPr>
          </w:p>
        </w:tc>
        <w:tc>
          <w:tcPr>
            <w:tcW w:w="62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860" w:type="dxa"/>
            <w:vAlign w:val="bottom"/>
            <w:tcBorders>
              <w:top w:val="single" w:sz="8" w:color="auto"/>
            </w:tcBorders>
            <w:gridSpan w:val="3"/>
          </w:tcPr>
          <w:p>
            <w:pPr>
              <w:jc w:val="right"/>
              <w:ind w:right="360"/>
              <w:spacing w:after="0" w:line="156" w:lineRule="exact"/>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S/(000)</w:t>
            </w: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1020"/>
              <w:spacing w:after="0" w:line="156" w:lineRule="exact"/>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3"/>
                <w:szCs w:val="13"/>
                <w:color w:val="auto"/>
              </w:rPr>
            </w:pPr>
          </w:p>
        </w:tc>
      </w:tr>
      <w:tr>
        <w:trPr>
          <w:trHeight w:val="181"/>
        </w:trPr>
        <w:tc>
          <w:tcPr>
            <w:tcW w:w="5320" w:type="dxa"/>
            <w:vAlign w:val="bottom"/>
            <w:gridSpan w:val="2"/>
          </w:tcPr>
          <w:p>
            <w:pPr>
              <w:ind w:left="860"/>
              <w:spacing w:after="0" w:line="181" w:lineRule="exact"/>
              <w:rPr>
                <w:sz w:val="20"/>
                <w:szCs w:val="20"/>
                <w:color w:val="auto"/>
              </w:rPr>
            </w:pPr>
            <w:r>
              <w:rPr>
                <w:rFonts w:ascii="Arial" w:cs="Arial" w:eastAsia="Arial" w:hAnsi="Arial"/>
                <w:sz w:val="16"/>
                <w:szCs w:val="16"/>
                <w:b w:val="1"/>
                <w:bCs w:val="1"/>
                <w:color w:val="auto"/>
              </w:rPr>
              <w:t>Instruments issued abroad: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320" w:type="dxa"/>
            <w:vAlign w:val="bottom"/>
            <w:gridSpan w:val="2"/>
          </w:tcPr>
          <w:p>
            <w:pPr>
              <w:ind w:left="860"/>
              <w:spacing w:after="0" w:line="181" w:lineRule="exact"/>
              <w:rPr>
                <w:sz w:val="20"/>
                <w:szCs w:val="20"/>
                <w:color w:val="auto"/>
              </w:rPr>
            </w:pPr>
            <w:r>
              <w:rPr>
                <w:rFonts w:ascii="Arial" w:cs="Arial" w:eastAsia="Arial" w:hAnsi="Arial"/>
                <w:sz w:val="16"/>
                <w:szCs w:val="16"/>
                <w:color w:val="auto"/>
              </w:rPr>
              <w:t>AAA</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348,800</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0.7</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442,467</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0.8</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860"/>
              <w:spacing w:after="0" w:line="181" w:lineRule="exact"/>
              <w:rPr>
                <w:sz w:val="20"/>
                <w:szCs w:val="20"/>
                <w:color w:val="auto"/>
              </w:rPr>
            </w:pPr>
            <w:r>
              <w:rPr>
                <w:rFonts w:ascii="Arial" w:cs="Arial" w:eastAsia="Arial" w:hAnsi="Arial"/>
                <w:sz w:val="16"/>
                <w:szCs w:val="16"/>
                <w:color w:val="auto"/>
              </w:rPr>
              <w:t>AA- to AA+</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1,396,825</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2.5</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2,562,695</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4.7</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860"/>
              <w:spacing w:after="0" w:line="181" w:lineRule="exact"/>
              <w:rPr>
                <w:sz w:val="20"/>
                <w:szCs w:val="20"/>
                <w:color w:val="auto"/>
              </w:rPr>
            </w:pPr>
            <w:r>
              <w:rPr>
                <w:rFonts w:ascii="Arial" w:cs="Arial" w:eastAsia="Arial" w:hAnsi="Arial"/>
                <w:sz w:val="16"/>
                <w:szCs w:val="16"/>
                <w:color w:val="auto"/>
              </w:rPr>
              <w:t>A- to A+</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2,888,578</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5.5</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2,720,507</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5.1</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860"/>
              <w:spacing w:after="0" w:line="181" w:lineRule="exact"/>
              <w:rPr>
                <w:sz w:val="20"/>
                <w:szCs w:val="20"/>
                <w:color w:val="auto"/>
              </w:rPr>
            </w:pPr>
            <w:r>
              <w:rPr>
                <w:rFonts w:ascii="Arial" w:cs="Arial" w:eastAsia="Arial" w:hAnsi="Arial"/>
                <w:sz w:val="16"/>
                <w:szCs w:val="16"/>
                <w:color w:val="auto"/>
              </w:rPr>
              <w:t>BBB- to BBB+</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4,220,090</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8.0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4,904,951</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9.1</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860"/>
              <w:spacing w:after="0" w:line="181" w:lineRule="exact"/>
              <w:rPr>
                <w:sz w:val="20"/>
                <w:szCs w:val="20"/>
                <w:color w:val="auto"/>
              </w:rPr>
            </w:pPr>
            <w:r>
              <w:rPr>
                <w:rFonts w:ascii="Arial" w:cs="Arial" w:eastAsia="Arial" w:hAnsi="Arial"/>
                <w:sz w:val="16"/>
                <w:szCs w:val="16"/>
                <w:color w:val="auto"/>
              </w:rPr>
              <w:t>BB- to BB+</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3,070,701</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5.8</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2,608,610</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4.8</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860"/>
              <w:spacing w:after="0" w:line="181" w:lineRule="exact"/>
              <w:rPr>
                <w:sz w:val="20"/>
                <w:szCs w:val="20"/>
                <w:color w:val="auto"/>
              </w:rPr>
            </w:pPr>
            <w:r>
              <w:rPr>
                <w:rFonts w:ascii="Arial" w:cs="Arial" w:eastAsia="Arial" w:hAnsi="Arial"/>
                <w:sz w:val="16"/>
                <w:szCs w:val="16"/>
                <w:color w:val="auto"/>
              </w:rPr>
              <w:t>Lower and equal to +B</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81,332</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0.2</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60,822</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0.1</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860"/>
              <w:spacing w:after="0" w:line="181" w:lineRule="exact"/>
              <w:rPr>
                <w:sz w:val="20"/>
                <w:szCs w:val="20"/>
                <w:color w:val="auto"/>
              </w:rPr>
            </w:pPr>
            <w:r>
              <w:rPr>
                <w:rFonts w:ascii="Arial" w:cs="Arial" w:eastAsia="Arial" w:hAnsi="Arial"/>
                <w:sz w:val="16"/>
                <w:szCs w:val="16"/>
                <w:color w:val="auto"/>
              </w:rPr>
              <w:t>Unrated: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5320" w:type="dxa"/>
            <w:vAlign w:val="bottom"/>
            <w:gridSpan w:val="2"/>
          </w:tcPr>
          <w:p>
            <w:pPr>
              <w:ind w:left="1000"/>
              <w:spacing w:after="0" w:line="181" w:lineRule="exact"/>
              <w:rPr>
                <w:sz w:val="20"/>
                <w:szCs w:val="20"/>
                <w:color w:val="auto"/>
              </w:rPr>
            </w:pPr>
            <w:r>
              <w:rPr>
                <w:rFonts w:ascii="Arial" w:cs="Arial" w:eastAsia="Arial" w:hAnsi="Arial"/>
                <w:sz w:val="16"/>
                <w:szCs w:val="16"/>
                <w:color w:val="auto"/>
              </w:rPr>
              <w:t>Listed and unlisted securities</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21,356</w:t>
            </w:r>
          </w:p>
        </w:tc>
        <w:tc>
          <w:tcPr>
            <w:tcW w:w="500" w:type="dxa"/>
            <w:vAlign w:val="bottom"/>
          </w:tcPr>
          <w:p>
            <w:pPr>
              <w:spacing w:after="0"/>
              <w:rPr>
                <w:sz w:val="15"/>
                <w:szCs w:val="15"/>
                <w:color w:val="auto"/>
              </w:rPr>
            </w:pPr>
          </w:p>
        </w:tc>
        <w:tc>
          <w:tcPr>
            <w:tcW w:w="1580" w:type="dxa"/>
            <w:vAlign w:val="bottom"/>
            <w:gridSpan w:val="4"/>
          </w:tcPr>
          <w:p>
            <w:pPr>
              <w:jc w:val="right"/>
              <w:ind w:right="840"/>
              <w:spacing w:after="0" w:line="181"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42,033</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0.1</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1000"/>
              <w:spacing w:after="0" w:line="181" w:lineRule="exact"/>
              <w:rPr>
                <w:sz w:val="20"/>
                <w:szCs w:val="20"/>
                <w:color w:val="auto"/>
              </w:rPr>
            </w:pPr>
            <w:r>
              <w:rPr>
                <w:rFonts w:ascii="Arial" w:cs="Arial" w:eastAsia="Arial" w:hAnsi="Arial"/>
                <w:sz w:val="16"/>
                <w:szCs w:val="16"/>
                <w:color w:val="auto"/>
              </w:rPr>
              <w:t>Mutual funds</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661,793</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556,001</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1000"/>
              <w:spacing w:after="0" w:line="181" w:lineRule="exact"/>
              <w:rPr>
                <w:sz w:val="20"/>
                <w:szCs w:val="20"/>
                <w:color w:val="auto"/>
              </w:rPr>
            </w:pPr>
            <w:r>
              <w:rPr>
                <w:rFonts w:ascii="Arial" w:cs="Arial" w:eastAsia="Arial" w:hAnsi="Arial"/>
                <w:sz w:val="16"/>
                <w:szCs w:val="16"/>
                <w:color w:val="auto"/>
              </w:rPr>
              <w:t>Participations of RAL funds</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125,393</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0.2</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432,503</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0.8</w:t>
            </w:r>
          </w:p>
        </w:tc>
        <w:tc>
          <w:tcPr>
            <w:tcW w:w="40" w:type="dxa"/>
            <w:vAlign w:val="bottom"/>
          </w:tcPr>
          <w:p>
            <w:pPr>
              <w:spacing w:after="0"/>
              <w:rPr>
                <w:sz w:val="15"/>
                <w:szCs w:val="15"/>
                <w:color w:val="auto"/>
              </w:rPr>
            </w:pPr>
          </w:p>
        </w:tc>
      </w:tr>
      <w:tr>
        <w:trPr>
          <w:trHeight w:val="181"/>
        </w:trPr>
        <w:tc>
          <w:tcPr>
            <w:tcW w:w="5320" w:type="dxa"/>
            <w:vAlign w:val="bottom"/>
            <w:gridSpan w:val="2"/>
          </w:tcPr>
          <w:p>
            <w:pPr>
              <w:ind w:left="1000"/>
              <w:spacing w:after="0" w:line="181" w:lineRule="exact"/>
              <w:rPr>
                <w:sz w:val="20"/>
                <w:szCs w:val="20"/>
                <w:color w:val="auto"/>
              </w:rPr>
            </w:pPr>
            <w:r>
              <w:rPr>
                <w:rFonts w:ascii="Arial" w:cs="Arial" w:eastAsia="Arial" w:hAnsi="Arial"/>
                <w:sz w:val="16"/>
                <w:szCs w:val="16"/>
                <w:color w:val="auto"/>
              </w:rPr>
              <w:t>Investment funds</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563,245</w:t>
            </w:r>
          </w:p>
        </w:tc>
        <w:tc>
          <w:tcPr>
            <w:tcW w:w="500" w:type="dxa"/>
            <w:vAlign w:val="bottom"/>
          </w:tcPr>
          <w:p>
            <w:pPr>
              <w:spacing w:after="0"/>
              <w:rPr>
                <w:sz w:val="15"/>
                <w:szCs w:val="15"/>
                <w:color w:val="auto"/>
              </w:rPr>
            </w:pPr>
          </w:p>
        </w:tc>
        <w:tc>
          <w:tcPr>
            <w:tcW w:w="8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1.1</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566,267</w:t>
            </w:r>
          </w:p>
        </w:tc>
        <w:tc>
          <w:tcPr>
            <w:tcW w:w="13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1.1</w:t>
            </w:r>
          </w:p>
        </w:tc>
        <w:tc>
          <w:tcPr>
            <w:tcW w:w="40" w:type="dxa"/>
            <w:vAlign w:val="bottom"/>
          </w:tcPr>
          <w:p>
            <w:pPr>
              <w:spacing w:after="0"/>
              <w:rPr>
                <w:sz w:val="15"/>
                <w:szCs w:val="15"/>
                <w:color w:val="auto"/>
              </w:rPr>
            </w:pPr>
          </w:p>
        </w:tc>
      </w:tr>
      <w:tr>
        <w:trPr>
          <w:trHeight w:val="198"/>
        </w:trPr>
        <w:tc>
          <w:tcPr>
            <w:tcW w:w="5320" w:type="dxa"/>
            <w:vAlign w:val="bottom"/>
            <w:gridSpan w:val="2"/>
          </w:tcPr>
          <w:p>
            <w:pPr>
              <w:ind w:left="1000"/>
              <w:spacing w:after="0"/>
              <w:rPr>
                <w:sz w:val="20"/>
                <w:szCs w:val="20"/>
                <w:color w:val="auto"/>
              </w:rPr>
            </w:pPr>
            <w:r>
              <w:rPr>
                <w:rFonts w:ascii="Arial" w:cs="Arial" w:eastAsia="Arial" w:hAnsi="Arial"/>
                <w:sz w:val="16"/>
                <w:szCs w:val="16"/>
                <w:color w:val="auto"/>
              </w:rPr>
              <w:t>Other instruments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965,717</w:t>
            </w:r>
          </w:p>
        </w:tc>
        <w:tc>
          <w:tcPr>
            <w:tcW w:w="5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953,360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7"/>
                <w:szCs w:val="17"/>
                <w:color w:val="auto"/>
              </w:rPr>
            </w:pPr>
          </w:p>
        </w:tc>
      </w:tr>
      <w:tr>
        <w:trPr>
          <w:trHeight w:val="173"/>
        </w:trPr>
        <w:tc>
          <w:tcPr>
            <w:tcW w:w="4700" w:type="dxa"/>
            <w:vAlign w:val="bottom"/>
          </w:tcPr>
          <w:p>
            <w:pPr>
              <w:ind w:left="860"/>
              <w:spacing w:after="0" w:line="173" w:lineRule="exact"/>
              <w:rPr>
                <w:sz w:val="20"/>
                <w:szCs w:val="20"/>
                <w:color w:val="auto"/>
              </w:rPr>
            </w:pPr>
            <w:r>
              <w:rPr>
                <w:rFonts w:ascii="Arial" w:cs="Arial" w:eastAsia="Arial" w:hAnsi="Arial"/>
                <w:sz w:val="16"/>
                <w:szCs w:val="16"/>
                <w:b w:val="1"/>
                <w:bCs w:val="1"/>
                <w:color w:val="auto"/>
              </w:rPr>
              <w:t>Subtotal</w:t>
            </w:r>
          </w:p>
        </w:tc>
        <w:tc>
          <w:tcPr>
            <w:tcW w:w="6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14,343,830</w:t>
            </w:r>
          </w:p>
        </w:tc>
        <w:tc>
          <w:tcPr>
            <w:tcW w:w="22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27.1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15,850,216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29.4</w:t>
            </w:r>
          </w:p>
        </w:tc>
        <w:tc>
          <w:tcPr>
            <w:tcW w:w="40" w:type="dxa"/>
            <w:vAlign w:val="bottom"/>
          </w:tcPr>
          <w:p>
            <w:pPr>
              <w:spacing w:after="0"/>
              <w:rPr>
                <w:sz w:val="15"/>
                <w:szCs w:val="15"/>
                <w:color w:val="auto"/>
              </w:rPr>
            </w:pPr>
          </w:p>
        </w:tc>
      </w:tr>
      <w:tr>
        <w:trPr>
          <w:trHeight w:val="177"/>
        </w:trPr>
        <w:tc>
          <w:tcPr>
            <w:tcW w:w="4700" w:type="dxa"/>
            <w:vAlign w:val="bottom"/>
          </w:tcPr>
          <w:p>
            <w:pPr>
              <w:ind w:left="860"/>
              <w:spacing w:after="0" w:line="173" w:lineRule="exact"/>
              <w:rPr>
                <w:sz w:val="20"/>
                <w:szCs w:val="20"/>
                <w:color w:val="auto"/>
              </w:rPr>
            </w:pPr>
            <w:r>
              <w:rPr>
                <w:rFonts w:ascii="Arial" w:cs="Arial" w:eastAsia="Arial" w:hAnsi="Arial"/>
                <w:sz w:val="16"/>
                <w:szCs w:val="16"/>
                <w:b w:val="1"/>
                <w:bCs w:val="1"/>
                <w:color w:val="auto"/>
              </w:rPr>
              <w:t>Total</w:t>
            </w: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52,804,942</w:t>
            </w:r>
          </w:p>
        </w:tc>
        <w:tc>
          <w:tcPr>
            <w:tcW w:w="2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53,825,858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100.0</w:t>
            </w:r>
          </w:p>
        </w:tc>
        <w:tc>
          <w:tcPr>
            <w:tcW w:w="40" w:type="dxa"/>
            <w:vAlign w:val="bottom"/>
          </w:tcPr>
          <w:p>
            <w:pPr>
              <w:spacing w:after="0"/>
              <w:rPr>
                <w:sz w:val="15"/>
                <w:szCs w:val="15"/>
                <w:color w:val="auto"/>
              </w:rPr>
            </w:pPr>
          </w:p>
        </w:tc>
      </w:tr>
      <w:tr>
        <w:trPr>
          <w:trHeight w:val="522"/>
        </w:trPr>
        <w:tc>
          <w:tcPr>
            <w:tcW w:w="4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jc w:val="right"/>
              <w:ind w:right="520"/>
              <w:spacing w:after="0"/>
              <w:rPr>
                <w:sz w:val="20"/>
                <w:szCs w:val="20"/>
                <w:color w:val="auto"/>
              </w:rPr>
            </w:pPr>
            <w:r>
              <w:rPr>
                <w:rFonts w:ascii="Arial" w:cs="Arial" w:eastAsia="Arial" w:hAnsi="Arial"/>
                <w:sz w:val="16"/>
                <w:szCs w:val="16"/>
                <w:color w:val="auto"/>
              </w:rPr>
              <w:t>- 144 -</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
        </w:trPr>
        <w:tc>
          <w:tcPr>
            <w:tcW w:w="47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4" w:right="319" w:bottom="1440" w:gutter="0" w:footer="0" w:header="0"/>
        </w:sectPr>
      </w:pPr>
    </w:p>
    <w:bookmarkStart w:id="149" w:name="page150"/>
    <w:bookmarkEnd w:id="149"/>
    <w:p>
      <w:pPr>
        <w:ind w:left="284" w:hanging="284"/>
        <w:spacing w:after="0"/>
        <w:tabs>
          <w:tab w:leader="none" w:pos="2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Concentration of financial instruments exposed to credit risk -</w:t>
      </w:r>
    </w:p>
    <w:p>
      <w:pPr>
        <w:spacing w:after="0" w:line="177"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As of December 31, 2025 and 2024, financial instruments with exposure to credit risk were distributed considering the following economic sectors:</w:t>
      </w:r>
    </w:p>
    <w:p>
      <w:pPr>
        <w:spacing w:after="0" w:line="187" w:lineRule="exact"/>
        <w:rPr>
          <w:sz w:val="20"/>
          <w:szCs w:val="20"/>
          <w:color w:val="auto"/>
        </w:rPr>
      </w:pPr>
    </w:p>
    <w:tbl>
      <w:tblPr>
        <w:tblLayout w:type="fixed"/>
        <w:tblInd w:w="284" w:type="dxa"/>
        <w:tblCellMar>
          <w:top w:w="0" w:type="dxa"/>
          <w:left w:w="0" w:type="dxa"/>
          <w:bottom w:w="0" w:type="dxa"/>
          <w:right w:w="0" w:type="dxa"/>
        </w:tblCellMar>
      </w:tblPr>
      <w:tr>
        <w:trPr>
          <w:trHeight w:val="153"/>
        </w:trPr>
        <w:tc>
          <w:tcPr>
            <w:tcW w:w="18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2025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99"/>
              </w:rPr>
              <w:t>At fair value</w:t>
            </w: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top w:val="single" w:sz="8" w:color="auto"/>
            </w:tcBorders>
            <w:gridSpan w:val="6"/>
          </w:tcPr>
          <w:p>
            <w:pPr>
              <w:spacing w:after="0" w:line="129" w:lineRule="exact"/>
              <w:rPr>
                <w:sz w:val="20"/>
                <w:szCs w:val="20"/>
                <w:color w:val="auto"/>
              </w:rPr>
            </w:pPr>
            <w:r>
              <w:rPr>
                <w:rFonts w:ascii="Arial" w:cs="Arial" w:eastAsia="Arial" w:hAnsi="Arial"/>
                <w:sz w:val="13"/>
                <w:szCs w:val="13"/>
                <w:b w:val="1"/>
                <w:bCs w:val="1"/>
                <w:color w:val="auto"/>
              </w:rPr>
              <w:t>At fair value</w:t>
            </w: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1680" w:type="dxa"/>
            <w:vAlign w:val="bottom"/>
            <w:gridSpan w:val="6"/>
          </w:tcPr>
          <w:p>
            <w:pPr>
              <w:ind w:left="60"/>
              <w:spacing w:after="0"/>
              <w:rPr>
                <w:sz w:val="20"/>
                <w:szCs w:val="20"/>
                <w:color w:val="auto"/>
              </w:rPr>
            </w:pPr>
            <w:r>
              <w:rPr>
                <w:rFonts w:ascii="Arial" w:cs="Arial" w:eastAsia="Arial" w:hAnsi="Arial"/>
                <w:sz w:val="13"/>
                <w:szCs w:val="13"/>
                <w:b w:val="1"/>
                <w:bCs w:val="1"/>
                <w:color w:val="auto"/>
              </w:rPr>
              <w:t>through profit for loss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At fair value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6"/>
          </w:tcPr>
          <w:p>
            <w:pPr>
              <w:spacing w:after="0"/>
              <w:rPr>
                <w:sz w:val="20"/>
                <w:szCs w:val="20"/>
                <w:color w:val="auto"/>
              </w:rPr>
            </w:pPr>
            <w:r>
              <w:rPr>
                <w:rFonts w:ascii="Arial" w:cs="Arial" w:eastAsia="Arial" w:hAnsi="Arial"/>
                <w:sz w:val="13"/>
                <w:szCs w:val="13"/>
                <w:b w:val="1"/>
                <w:bCs w:val="1"/>
                <w:color w:val="auto"/>
              </w:rPr>
              <w:t>through profit for loss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At fair value</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through other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through other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8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Held for</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comprehensive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Held for</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comprehensive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8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trading,</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Financial</w:t>
            </w:r>
          </w:p>
        </w:tc>
        <w:tc>
          <w:tcPr>
            <w:tcW w:w="108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income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trading,</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Financial</w:t>
            </w: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income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8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hedging</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assets at</w:t>
            </w:r>
          </w:p>
        </w:tc>
        <w:tc>
          <w:tcPr>
            <w:tcW w:w="108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investments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hedging</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assets at</w:t>
            </w: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investments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820" w:type="dxa"/>
            <w:vAlign w:val="bottom"/>
            <w:gridSpan w:val="3"/>
          </w:tcPr>
          <w:p>
            <w:pPr>
              <w:ind w:left="60"/>
              <w:spacing w:after="0" w:line="145" w:lineRule="exact"/>
              <w:rPr>
                <w:sz w:val="20"/>
                <w:szCs w:val="20"/>
                <w:color w:val="auto"/>
              </w:rPr>
            </w:pPr>
            <w:r>
              <w:rPr>
                <w:rFonts w:ascii="Arial" w:cs="Arial" w:eastAsia="Arial" w:hAnsi="Arial"/>
                <w:sz w:val="13"/>
                <w:szCs w:val="13"/>
                <w:b w:val="1"/>
                <w:bCs w:val="1"/>
                <w:color w:val="auto"/>
              </w:rPr>
              <w:t>and others</w:t>
            </w:r>
          </w:p>
        </w:tc>
        <w:tc>
          <w:tcPr>
            <w:tcW w:w="86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Designated</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amortized</w:t>
            </w:r>
          </w:p>
        </w:tc>
        <w:tc>
          <w:tcPr>
            <w:tcW w:w="108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and hedging</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and</w:t>
            </w:r>
          </w:p>
        </w:tc>
        <w:tc>
          <w:tcPr>
            <w:tcW w:w="86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Designated</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amortized</w:t>
            </w: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and hedging</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at inception</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others (*)</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at inception</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60" w:type="dxa"/>
            <w:vAlign w:val="bottom"/>
          </w:tcPr>
          <w:p>
            <w:pPr>
              <w:spacing w:after="0"/>
              <w:rPr>
                <w:sz w:val="20"/>
                <w:szCs w:val="20"/>
                <w:color w:val="auto"/>
              </w:rPr>
            </w:pPr>
            <w:r>
              <w:rPr>
                <w:rFonts w:ascii="Arial" w:cs="Arial" w:eastAsia="Arial" w:hAnsi="Arial"/>
                <w:sz w:val="13"/>
                <w:szCs w:val="13"/>
                <w:color w:val="auto"/>
              </w:rPr>
              <w:t>Central Reserve Bank of Peru</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34</w:t>
            </w:r>
          </w:p>
        </w:tc>
        <w:tc>
          <w:tcPr>
            <w:tcW w:w="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38,956,544</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10,884,030</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49,840,608</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44,599</w:t>
            </w:r>
          </w:p>
        </w:tc>
        <w:tc>
          <w:tcPr>
            <w:tcW w:w="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36,640,462</w:t>
            </w:r>
          </w:p>
        </w:tc>
        <w:tc>
          <w:tcPr>
            <w:tcW w:w="1100" w:type="dxa"/>
            <w:vAlign w:val="bottom"/>
            <w:gridSpan w:val="3"/>
          </w:tcPr>
          <w:p>
            <w:pPr>
              <w:jc w:val="right"/>
              <w:ind w:right="100"/>
              <w:spacing w:after="0"/>
              <w:rPr>
                <w:sz w:val="20"/>
                <w:szCs w:val="20"/>
                <w:color w:val="auto"/>
              </w:rPr>
            </w:pPr>
            <w:r>
              <w:rPr>
                <w:rFonts w:ascii="Arial" w:cs="Arial" w:eastAsia="Arial" w:hAnsi="Arial"/>
                <w:sz w:val="13"/>
                <w:szCs w:val="13"/>
                <w:color w:val="auto"/>
              </w:rPr>
              <w:t>11,435,757</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48,120,818</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Financial services</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2,792,539</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766,516</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17,182,430</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3,929,527</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24,671,012</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2,181,025</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633,527</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18,345,088</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4,196,687</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25,356,327</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Commerce</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61,109</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1,029</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29,358,035</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1,308,456</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30,728,629</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4,441</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1,130</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26,546,422</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1,263,109</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27,815,102</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Government and public</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2,153,564</w:t>
            </w: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42,978</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8,451,218</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13,471,446</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24,119,206</w:t>
            </w:r>
          </w:p>
        </w:tc>
        <w:tc>
          <w:tcPr>
            <w:tcW w:w="0" w:type="dxa"/>
            <w:vAlign w:val="bottom"/>
          </w:tcPr>
          <w:p>
            <w:pPr>
              <w:spacing w:after="0"/>
              <w:rPr>
                <w:sz w:val="1"/>
                <w:szCs w:val="1"/>
                <w:color w:val="auto"/>
              </w:rPr>
            </w:pPr>
          </w:p>
        </w:tc>
      </w:tr>
      <w:tr>
        <w:trPr>
          <w:trHeight w:val="96"/>
        </w:trPr>
        <w:tc>
          <w:tcPr>
            <w:tcW w:w="1860" w:type="dxa"/>
            <w:vAlign w:val="bottom"/>
            <w:vMerge w:val="restart"/>
          </w:tcPr>
          <w:p>
            <w:pPr>
              <w:spacing w:after="0" w:line="145" w:lineRule="exact"/>
              <w:rPr>
                <w:sz w:val="20"/>
                <w:szCs w:val="20"/>
                <w:color w:val="auto"/>
              </w:rPr>
            </w:pPr>
            <w:r>
              <w:rPr>
                <w:rFonts w:ascii="Arial" w:cs="Arial" w:eastAsia="Arial" w:hAnsi="Arial"/>
                <w:sz w:val="13"/>
                <w:szCs w:val="13"/>
                <w:color w:val="auto"/>
              </w:rPr>
              <w:t>administration</w:t>
            </w:r>
          </w:p>
        </w:tc>
        <w:tc>
          <w:tcPr>
            <w:tcW w:w="820" w:type="dxa"/>
            <w:vAlign w:val="bottom"/>
            <w:gridSpan w:val="3"/>
            <w:vMerge w:val="restart"/>
          </w:tcPr>
          <w:p>
            <w:pPr>
              <w:jc w:val="right"/>
              <w:ind w:right="60"/>
              <w:spacing w:after="0" w:line="145" w:lineRule="exact"/>
              <w:rPr>
                <w:sz w:val="20"/>
                <w:szCs w:val="20"/>
                <w:color w:val="auto"/>
              </w:rPr>
            </w:pPr>
            <w:r>
              <w:rPr>
                <w:rFonts w:ascii="Arial" w:cs="Arial" w:eastAsia="Arial" w:hAnsi="Arial"/>
                <w:sz w:val="13"/>
                <w:szCs w:val="13"/>
                <w:color w:val="auto"/>
              </w:rPr>
              <w:t>2,122,871</w:t>
            </w:r>
          </w:p>
        </w:tc>
        <w:tc>
          <w:tcPr>
            <w:tcW w:w="860" w:type="dxa"/>
            <w:vAlign w:val="bottom"/>
            <w:gridSpan w:val="3"/>
            <w:vMerge w:val="restart"/>
          </w:tcPr>
          <w:p>
            <w:pPr>
              <w:jc w:val="right"/>
              <w:ind w:right="100"/>
              <w:spacing w:after="0" w:line="145" w:lineRule="exact"/>
              <w:rPr>
                <w:sz w:val="20"/>
                <w:szCs w:val="20"/>
                <w:color w:val="auto"/>
              </w:rPr>
            </w:pPr>
            <w:r>
              <w:rPr>
                <w:rFonts w:ascii="Arial" w:cs="Arial" w:eastAsia="Arial" w:hAnsi="Arial"/>
                <w:sz w:val="13"/>
                <w:szCs w:val="13"/>
                <w:color w:val="auto"/>
              </w:rPr>
              <w:t>221,174</w:t>
            </w:r>
          </w:p>
        </w:tc>
        <w:tc>
          <w:tcPr>
            <w:tcW w:w="780" w:type="dxa"/>
            <w:vAlign w:val="bottom"/>
            <w:gridSpan w:val="2"/>
            <w:vMerge w:val="restart"/>
          </w:tcPr>
          <w:p>
            <w:pPr>
              <w:jc w:val="right"/>
              <w:ind w:right="60"/>
              <w:spacing w:after="0" w:line="145" w:lineRule="exact"/>
              <w:rPr>
                <w:sz w:val="20"/>
                <w:szCs w:val="20"/>
                <w:color w:val="auto"/>
              </w:rPr>
            </w:pPr>
            <w:r>
              <w:rPr>
                <w:rFonts w:ascii="Arial" w:cs="Arial" w:eastAsia="Arial" w:hAnsi="Arial"/>
                <w:sz w:val="13"/>
                <w:szCs w:val="13"/>
                <w:color w:val="auto"/>
              </w:rPr>
              <w:t>8,416,242</w:t>
            </w:r>
          </w:p>
        </w:tc>
        <w:tc>
          <w:tcPr>
            <w:tcW w:w="1080" w:type="dxa"/>
            <w:vAlign w:val="bottom"/>
            <w:gridSpan w:val="3"/>
            <w:vMerge w:val="restart"/>
          </w:tcPr>
          <w:p>
            <w:pPr>
              <w:jc w:val="right"/>
              <w:ind w:right="80"/>
              <w:spacing w:after="0" w:line="145" w:lineRule="exact"/>
              <w:rPr>
                <w:sz w:val="20"/>
                <w:szCs w:val="20"/>
                <w:color w:val="auto"/>
              </w:rPr>
            </w:pPr>
            <w:r>
              <w:rPr>
                <w:rFonts w:ascii="Arial" w:cs="Arial" w:eastAsia="Arial" w:hAnsi="Arial"/>
                <w:sz w:val="13"/>
                <w:szCs w:val="13"/>
                <w:color w:val="auto"/>
              </w:rPr>
              <w:t>13,758,649</w:t>
            </w:r>
          </w:p>
        </w:tc>
        <w:tc>
          <w:tcPr>
            <w:tcW w:w="820" w:type="dxa"/>
            <w:vAlign w:val="bottom"/>
            <w:gridSpan w:val="2"/>
            <w:vMerge w:val="restart"/>
          </w:tcPr>
          <w:p>
            <w:pPr>
              <w:jc w:val="right"/>
              <w:ind w:right="80"/>
              <w:spacing w:after="0" w:line="145" w:lineRule="exact"/>
              <w:rPr>
                <w:sz w:val="20"/>
                <w:szCs w:val="20"/>
                <w:color w:val="auto"/>
              </w:rPr>
            </w:pPr>
            <w:r>
              <w:rPr>
                <w:rFonts w:ascii="Arial" w:cs="Arial" w:eastAsia="Arial" w:hAnsi="Arial"/>
                <w:sz w:val="13"/>
                <w:szCs w:val="13"/>
                <w:color w:val="auto"/>
              </w:rPr>
              <w:t>24,518,936</w:t>
            </w:r>
          </w:p>
        </w:tc>
        <w:tc>
          <w:tcPr>
            <w:tcW w:w="680" w:type="dxa"/>
            <w:vAlign w:val="bottom"/>
            <w:gridSpan w:val="3"/>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86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Mortgage loans</w:t>
            </w: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25,336,172</w:t>
            </w:r>
          </w:p>
        </w:tc>
        <w:tc>
          <w:tcPr>
            <w:tcW w:w="40" w:type="dxa"/>
            <w:vAlign w:val="bottom"/>
          </w:tcPr>
          <w:p>
            <w:pPr>
              <w:spacing w:after="0"/>
              <w:rPr>
                <w:sz w:val="12"/>
                <w:szCs w:val="12"/>
                <w:color w:val="auto"/>
              </w:rPr>
            </w:pPr>
          </w:p>
        </w:tc>
        <w:tc>
          <w:tcPr>
            <w:tcW w:w="10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25,336,172</w:t>
            </w:r>
          </w:p>
        </w:tc>
        <w:tc>
          <w:tcPr>
            <w:tcW w:w="20" w:type="dxa"/>
            <w:vAlign w:val="bottom"/>
          </w:tcPr>
          <w:p>
            <w:pPr>
              <w:spacing w:after="0"/>
              <w:rPr>
                <w:sz w:val="12"/>
                <w:szCs w:val="12"/>
                <w:color w:val="auto"/>
              </w:rPr>
            </w:pPr>
          </w:p>
        </w:tc>
        <w:tc>
          <w:tcPr>
            <w:tcW w:w="6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24,165,038</w:t>
            </w:r>
          </w:p>
        </w:tc>
        <w:tc>
          <w:tcPr>
            <w:tcW w:w="40" w:type="dxa"/>
            <w:vAlign w:val="bottom"/>
          </w:tcPr>
          <w:p>
            <w:pPr>
              <w:spacing w:after="0"/>
              <w:rPr>
                <w:sz w:val="12"/>
                <w:szCs w:val="12"/>
                <w:color w:val="auto"/>
              </w:rPr>
            </w:pPr>
          </w:p>
        </w:tc>
        <w:tc>
          <w:tcPr>
            <w:tcW w:w="10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24,165,038</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Manufacturing</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41,417</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1,041</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20,102,547</w:t>
            </w:r>
          </w:p>
        </w:tc>
        <w:tc>
          <w:tcPr>
            <w:tcW w:w="10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1,891,011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22,036,016</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157,215</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81</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21,260,811</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1,918,004</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23,336,111</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Consumer loans</w:t>
            </w: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19,877,075</w:t>
            </w:r>
          </w:p>
        </w:tc>
        <w:tc>
          <w:tcPr>
            <w:tcW w:w="40" w:type="dxa"/>
            <w:vAlign w:val="bottom"/>
          </w:tcPr>
          <w:p>
            <w:pPr>
              <w:spacing w:after="0"/>
              <w:rPr>
                <w:sz w:val="12"/>
                <w:szCs w:val="12"/>
                <w:color w:val="auto"/>
              </w:rPr>
            </w:pPr>
          </w:p>
        </w:tc>
        <w:tc>
          <w:tcPr>
            <w:tcW w:w="10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19,877,075</w:t>
            </w:r>
          </w:p>
        </w:tc>
        <w:tc>
          <w:tcPr>
            <w:tcW w:w="20" w:type="dxa"/>
            <w:vAlign w:val="bottom"/>
          </w:tcPr>
          <w:p>
            <w:pPr>
              <w:spacing w:after="0"/>
              <w:rPr>
                <w:sz w:val="12"/>
                <w:szCs w:val="12"/>
                <w:color w:val="auto"/>
              </w:rPr>
            </w:pPr>
          </w:p>
        </w:tc>
        <w:tc>
          <w:tcPr>
            <w:tcW w:w="6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18,494,305</w:t>
            </w:r>
          </w:p>
        </w:tc>
        <w:tc>
          <w:tcPr>
            <w:tcW w:w="40" w:type="dxa"/>
            <w:vAlign w:val="bottom"/>
          </w:tcPr>
          <w:p>
            <w:pPr>
              <w:spacing w:after="0"/>
              <w:rPr>
                <w:sz w:val="12"/>
                <w:szCs w:val="12"/>
                <w:color w:val="auto"/>
              </w:rPr>
            </w:pPr>
          </w:p>
        </w:tc>
        <w:tc>
          <w:tcPr>
            <w:tcW w:w="10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18,494,305</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Communications, storage and</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25,331</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254,562</w:t>
            </w:r>
          </w:p>
        </w:tc>
        <w:tc>
          <w:tcPr>
            <w:tcW w:w="10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9,928,424</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991,194</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11,199,511</w:t>
            </w:r>
          </w:p>
        </w:tc>
        <w:tc>
          <w:tcPr>
            <w:tcW w:w="0" w:type="dxa"/>
            <w:vAlign w:val="bottom"/>
          </w:tcPr>
          <w:p>
            <w:pPr>
              <w:spacing w:after="0"/>
              <w:rPr>
                <w:sz w:val="1"/>
                <w:szCs w:val="1"/>
                <w:color w:val="auto"/>
              </w:rPr>
            </w:pPr>
          </w:p>
        </w:tc>
      </w:tr>
      <w:tr>
        <w:trPr>
          <w:trHeight w:val="96"/>
        </w:trPr>
        <w:tc>
          <w:tcPr>
            <w:tcW w:w="1860" w:type="dxa"/>
            <w:vAlign w:val="bottom"/>
            <w:vMerge w:val="restart"/>
          </w:tcPr>
          <w:p>
            <w:pPr>
              <w:spacing w:after="0" w:line="145" w:lineRule="exact"/>
              <w:rPr>
                <w:sz w:val="20"/>
                <w:szCs w:val="20"/>
                <w:color w:val="auto"/>
              </w:rPr>
            </w:pPr>
            <w:r>
              <w:rPr>
                <w:rFonts w:ascii="Arial" w:cs="Arial" w:eastAsia="Arial" w:hAnsi="Arial"/>
                <w:sz w:val="13"/>
                <w:szCs w:val="13"/>
                <w:color w:val="auto"/>
              </w:rPr>
              <w:t>transportation</w:t>
            </w:r>
          </w:p>
        </w:tc>
        <w:tc>
          <w:tcPr>
            <w:tcW w:w="820" w:type="dxa"/>
            <w:vAlign w:val="bottom"/>
            <w:gridSpan w:val="3"/>
            <w:vMerge w:val="restart"/>
          </w:tcPr>
          <w:p>
            <w:pPr>
              <w:jc w:val="right"/>
              <w:ind w:right="60"/>
              <w:spacing w:after="0" w:line="145" w:lineRule="exact"/>
              <w:rPr>
                <w:sz w:val="20"/>
                <w:szCs w:val="20"/>
                <w:color w:val="auto"/>
              </w:rPr>
            </w:pPr>
            <w:r>
              <w:rPr>
                <w:rFonts w:ascii="Arial" w:cs="Arial" w:eastAsia="Arial" w:hAnsi="Arial"/>
                <w:sz w:val="13"/>
                <w:szCs w:val="13"/>
                <w:color w:val="auto"/>
              </w:rPr>
              <w:t>2,878</w:t>
            </w:r>
          </w:p>
        </w:tc>
        <w:tc>
          <w:tcPr>
            <w:tcW w:w="40" w:type="dxa"/>
            <w:vAlign w:val="bottom"/>
          </w:tcPr>
          <w:p>
            <w:pPr>
              <w:spacing w:after="0"/>
              <w:rPr>
                <w:sz w:val="8"/>
                <w:szCs w:val="8"/>
                <w:color w:val="auto"/>
              </w:rPr>
            </w:pPr>
          </w:p>
        </w:tc>
        <w:tc>
          <w:tcPr>
            <w:tcW w:w="820" w:type="dxa"/>
            <w:vAlign w:val="bottom"/>
            <w:gridSpan w:val="2"/>
            <w:vMerge w:val="restart"/>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60"/>
              <w:spacing w:after="0" w:line="145" w:lineRule="exact"/>
              <w:rPr>
                <w:sz w:val="20"/>
                <w:szCs w:val="20"/>
                <w:color w:val="auto"/>
              </w:rPr>
            </w:pPr>
            <w:r>
              <w:rPr>
                <w:rFonts w:ascii="Arial" w:cs="Arial" w:eastAsia="Arial" w:hAnsi="Arial"/>
                <w:sz w:val="13"/>
                <w:szCs w:val="13"/>
                <w:color w:val="auto"/>
              </w:rPr>
              <w:t>10,407,568</w:t>
            </w:r>
          </w:p>
        </w:tc>
        <w:tc>
          <w:tcPr>
            <w:tcW w:w="1080" w:type="dxa"/>
            <w:vAlign w:val="bottom"/>
            <w:gridSpan w:val="3"/>
            <w:vMerge w:val="restart"/>
          </w:tcPr>
          <w:p>
            <w:pPr>
              <w:jc w:val="right"/>
              <w:ind w:right="80"/>
              <w:spacing w:after="0" w:line="145" w:lineRule="exact"/>
              <w:rPr>
                <w:sz w:val="20"/>
                <w:szCs w:val="20"/>
                <w:color w:val="auto"/>
              </w:rPr>
            </w:pPr>
            <w:r>
              <w:rPr>
                <w:rFonts w:ascii="Arial" w:cs="Arial" w:eastAsia="Arial" w:hAnsi="Arial"/>
                <w:sz w:val="13"/>
                <w:szCs w:val="13"/>
                <w:color w:val="auto"/>
              </w:rPr>
              <w:t>823,140</w:t>
            </w:r>
          </w:p>
        </w:tc>
        <w:tc>
          <w:tcPr>
            <w:tcW w:w="820" w:type="dxa"/>
            <w:vAlign w:val="bottom"/>
            <w:gridSpan w:val="2"/>
            <w:vMerge w:val="restart"/>
          </w:tcPr>
          <w:p>
            <w:pPr>
              <w:jc w:val="right"/>
              <w:ind w:right="80"/>
              <w:spacing w:after="0" w:line="145" w:lineRule="exact"/>
              <w:rPr>
                <w:sz w:val="20"/>
                <w:szCs w:val="20"/>
                <w:color w:val="auto"/>
              </w:rPr>
            </w:pPr>
            <w:r>
              <w:rPr>
                <w:rFonts w:ascii="Arial" w:cs="Arial" w:eastAsia="Arial" w:hAnsi="Arial"/>
                <w:sz w:val="13"/>
                <w:szCs w:val="13"/>
                <w:color w:val="auto"/>
              </w:rPr>
              <w:t>11,233,586</w:t>
            </w:r>
          </w:p>
        </w:tc>
        <w:tc>
          <w:tcPr>
            <w:tcW w:w="680" w:type="dxa"/>
            <w:vAlign w:val="bottom"/>
            <w:gridSpan w:val="3"/>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86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Electricity, gas and water</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54,641</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1,025</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5,760,870</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2,006,255</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7,822,791</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109,673</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87</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5,917,891</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2,245,021</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8,272,672</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Real estate and leasing</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299,455</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3,539,887</w:t>
            </w:r>
          </w:p>
        </w:tc>
        <w:tc>
          <w:tcPr>
            <w:tcW w:w="10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56,927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3,896,269</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163,867</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4,872,017</w:t>
            </w:r>
          </w:p>
        </w:tc>
        <w:tc>
          <w:tcPr>
            <w:tcW w:w="11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2,408</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5,038,292</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Mining</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5,560</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4,812,472</w:t>
            </w:r>
          </w:p>
        </w:tc>
        <w:tc>
          <w:tcPr>
            <w:tcW w:w="10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378,801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5,196,833</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5,563</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3,670,102</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226,845</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3,902,510</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Agriculture</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36</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4,619,970</w:t>
            </w:r>
          </w:p>
        </w:tc>
        <w:tc>
          <w:tcPr>
            <w:tcW w:w="10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4,251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4,624,257</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3,995</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4,610,164</w:t>
            </w:r>
          </w:p>
        </w:tc>
        <w:tc>
          <w:tcPr>
            <w:tcW w:w="11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8,034</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4,622,193</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Construction</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9,091</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2,513,582</w:t>
            </w:r>
          </w:p>
        </w:tc>
        <w:tc>
          <w:tcPr>
            <w:tcW w:w="10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360,966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2,883,639</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3,901</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2,924,805</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390,071</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3,318,777</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Hotels and restaurants</w:t>
            </w: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2,314,739</w:t>
            </w:r>
          </w:p>
        </w:tc>
        <w:tc>
          <w:tcPr>
            <w:tcW w:w="40" w:type="dxa"/>
            <w:vAlign w:val="bottom"/>
          </w:tcPr>
          <w:p>
            <w:pPr>
              <w:spacing w:after="0"/>
              <w:rPr>
                <w:sz w:val="12"/>
                <w:szCs w:val="12"/>
                <w:color w:val="auto"/>
              </w:rPr>
            </w:pPr>
          </w:p>
        </w:tc>
        <w:tc>
          <w:tcPr>
            <w:tcW w:w="10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2,314,739</w:t>
            </w:r>
          </w:p>
        </w:tc>
        <w:tc>
          <w:tcPr>
            <w:tcW w:w="20" w:type="dxa"/>
            <w:vAlign w:val="bottom"/>
          </w:tcPr>
          <w:p>
            <w:pPr>
              <w:spacing w:after="0"/>
              <w:rPr>
                <w:sz w:val="12"/>
                <w:szCs w:val="12"/>
                <w:color w:val="auto"/>
              </w:rPr>
            </w:pPr>
          </w:p>
        </w:tc>
        <w:tc>
          <w:tcPr>
            <w:tcW w:w="6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2,570,704</w:t>
            </w:r>
          </w:p>
        </w:tc>
        <w:tc>
          <w:tcPr>
            <w:tcW w:w="40" w:type="dxa"/>
            <w:vAlign w:val="bottom"/>
          </w:tcPr>
          <w:p>
            <w:pPr>
              <w:spacing w:after="0"/>
              <w:rPr>
                <w:sz w:val="12"/>
                <w:szCs w:val="12"/>
                <w:color w:val="auto"/>
              </w:rPr>
            </w:pPr>
          </w:p>
        </w:tc>
        <w:tc>
          <w:tcPr>
            <w:tcW w:w="10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2,570,704</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Education, health and others</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229,839</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1,542</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1,435,961</w:t>
            </w:r>
          </w:p>
        </w:tc>
        <w:tc>
          <w:tcPr>
            <w:tcW w:w="10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655,588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2,322,930</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390,150</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1,736,113</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844,135</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2,970,408</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Fishing</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134</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827,182</w:t>
            </w:r>
          </w:p>
        </w:tc>
        <w:tc>
          <w:tcPr>
            <w:tcW w:w="40" w:type="dxa"/>
            <w:vAlign w:val="bottom"/>
          </w:tcPr>
          <w:p>
            <w:pPr>
              <w:spacing w:after="0"/>
              <w:rPr>
                <w:sz w:val="12"/>
                <w:szCs w:val="12"/>
                <w:color w:val="auto"/>
              </w:rPr>
            </w:pPr>
          </w:p>
        </w:tc>
        <w:tc>
          <w:tcPr>
            <w:tcW w:w="10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827,316</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669,274</w:t>
            </w:r>
          </w:p>
        </w:tc>
        <w:tc>
          <w:tcPr>
            <w:tcW w:w="40" w:type="dxa"/>
            <w:vAlign w:val="bottom"/>
          </w:tcPr>
          <w:p>
            <w:pPr>
              <w:spacing w:after="0"/>
              <w:rPr>
                <w:sz w:val="12"/>
                <w:szCs w:val="12"/>
                <w:color w:val="auto"/>
              </w:rPr>
            </w:pPr>
          </w:p>
        </w:tc>
        <w:tc>
          <w:tcPr>
            <w:tcW w:w="10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669,278</w:t>
            </w:r>
          </w:p>
        </w:tc>
        <w:tc>
          <w:tcPr>
            <w:tcW w:w="0" w:type="dxa"/>
            <w:vAlign w:val="bottom"/>
          </w:tcPr>
          <w:p>
            <w:pPr>
              <w:spacing w:after="0"/>
              <w:rPr>
                <w:sz w:val="1"/>
                <w:szCs w:val="1"/>
                <w:color w:val="auto"/>
              </w:rPr>
            </w:pPr>
          </w:p>
        </w:tc>
      </w:tr>
      <w:tr>
        <w:trPr>
          <w:trHeight w:val="145"/>
        </w:trPr>
        <w:tc>
          <w:tcPr>
            <w:tcW w:w="1860" w:type="dxa"/>
            <w:vAlign w:val="bottom"/>
          </w:tcPr>
          <w:p>
            <w:pPr>
              <w:spacing w:after="0" w:line="145" w:lineRule="exact"/>
              <w:rPr>
                <w:sz w:val="20"/>
                <w:szCs w:val="20"/>
                <w:color w:val="auto"/>
              </w:rPr>
            </w:pPr>
            <w:r>
              <w:rPr>
                <w:rFonts w:ascii="Arial" w:cs="Arial" w:eastAsia="Arial" w:hAnsi="Arial"/>
                <w:sz w:val="13"/>
                <w:szCs w:val="13"/>
                <w:color w:val="auto"/>
              </w:rPr>
              <w:t>Insurance</w:t>
            </w: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124,299</w:t>
            </w:r>
          </w:p>
        </w:tc>
        <w:tc>
          <w:tcPr>
            <w:tcW w:w="40" w:type="dxa"/>
            <w:vAlign w:val="bottom"/>
          </w:tcPr>
          <w:p>
            <w:pPr>
              <w:spacing w:after="0"/>
              <w:rPr>
                <w:sz w:val="12"/>
                <w:szCs w:val="12"/>
                <w:color w:val="auto"/>
              </w:rPr>
            </w:pPr>
          </w:p>
        </w:tc>
        <w:tc>
          <w:tcPr>
            <w:tcW w:w="10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124,299</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3,252</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133,086</w:t>
            </w:r>
          </w:p>
        </w:tc>
        <w:tc>
          <w:tcPr>
            <w:tcW w:w="40" w:type="dxa"/>
            <w:vAlign w:val="bottom"/>
          </w:tcPr>
          <w:p>
            <w:pPr>
              <w:spacing w:after="0"/>
              <w:rPr>
                <w:sz w:val="12"/>
                <w:szCs w:val="12"/>
                <w:color w:val="auto"/>
              </w:rPr>
            </w:pPr>
          </w:p>
        </w:tc>
        <w:tc>
          <w:tcPr>
            <w:tcW w:w="10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136,338</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20"/>
                <w:szCs w:val="20"/>
                <w:color w:val="auto"/>
              </w:rPr>
            </w:pPr>
            <w:r>
              <w:rPr>
                <w:rFonts w:ascii="Arial" w:cs="Arial" w:eastAsia="Arial" w:hAnsi="Arial"/>
                <w:sz w:val="13"/>
                <w:szCs w:val="13"/>
                <w:color w:val="auto"/>
              </w:rPr>
              <w:t>Community services and others</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568,820</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102</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12,213,192</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2,977,125</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15,759,239</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373,554</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359</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8,254,825</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3,149,927</w:t>
            </w:r>
          </w:p>
        </w:tc>
        <w:tc>
          <w:tcPr>
            <w:tcW w:w="10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11,778,665</w:t>
            </w:r>
          </w:p>
        </w:tc>
        <w:tc>
          <w:tcPr>
            <w:tcW w:w="0" w:type="dxa"/>
            <w:vAlign w:val="bottom"/>
          </w:tcPr>
          <w:p>
            <w:pPr>
              <w:spacing w:after="0"/>
              <w:rPr>
                <w:sz w:val="1"/>
                <w:szCs w:val="1"/>
                <w:color w:val="auto"/>
              </w:rPr>
            </w:pPr>
          </w:p>
        </w:tc>
      </w:tr>
      <w:tr>
        <w:trPr>
          <w:trHeight w:val="141"/>
        </w:trPr>
        <w:tc>
          <w:tcPr>
            <w:tcW w:w="186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6,188,424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992,429</w:t>
            </w:r>
          </w:p>
        </w:tc>
        <w:tc>
          <w:tcPr>
            <w:tcW w:w="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207,798,767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39,034,726</w:t>
            </w: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254,014,346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5,620,134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932,734</w:t>
            </w:r>
          </w:p>
        </w:tc>
        <w:tc>
          <w:tcPr>
            <w:tcW w:w="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199,190,749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40,142,638</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w w:val="96"/>
              </w:rPr>
              <w:t>245,886,255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84" w:right="5620" w:firstLine="5"/>
        <w:spacing w:after="0" w:line="510" w:lineRule="auto"/>
        <w:tabs>
          <w:tab w:leader="none" w:pos="57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It includes non-trading investments that did not pass SPPI test. (**) OCI: Other comprehensive income.</w:t>
      </w:r>
    </w:p>
    <w:p>
      <w:pPr>
        <w:spacing w:after="0" w:line="98" w:lineRule="exact"/>
        <w:rPr>
          <w:rFonts w:ascii="Arial" w:cs="Arial" w:eastAsia="Arial" w:hAnsi="Arial"/>
          <w:sz w:val="16"/>
          <w:szCs w:val="16"/>
          <w:color w:val="auto"/>
        </w:rPr>
      </w:pPr>
    </w:p>
    <w:p>
      <w:pPr>
        <w:ind w:left="4904" w:hanging="88"/>
        <w:spacing w:after="0"/>
        <w:tabs>
          <w:tab w:leader="none" w:pos="490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124"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As of December 31, 2025 and 2024 financial instruments with exposure to credit risk were distributed by the following geographical areas: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At fair value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9"/>
              </w:rPr>
              <w:t>At fair value</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3"/>
                <w:szCs w:val="13"/>
                <w:color w:val="auto"/>
              </w:rPr>
            </w:pPr>
          </w:p>
        </w:tc>
        <w:tc>
          <w:tcPr>
            <w:tcW w:w="1580" w:type="dxa"/>
            <w:vAlign w:val="bottom"/>
            <w:gridSpan w:val="4"/>
          </w:tcPr>
          <w:p>
            <w:pPr>
              <w:spacing w:after="0"/>
              <w:rPr>
                <w:sz w:val="20"/>
                <w:szCs w:val="20"/>
                <w:color w:val="auto"/>
              </w:rPr>
            </w:pPr>
            <w:r>
              <w:rPr>
                <w:rFonts w:ascii="Arial" w:cs="Arial" w:eastAsia="Arial" w:hAnsi="Arial"/>
                <w:sz w:val="13"/>
                <w:szCs w:val="13"/>
                <w:b w:val="1"/>
                <w:bCs w:val="1"/>
                <w:color w:val="auto"/>
              </w:rPr>
              <w:t>through profit for loss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At fair value</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spacing w:after="0"/>
              <w:rPr>
                <w:sz w:val="20"/>
                <w:szCs w:val="20"/>
                <w:color w:val="auto"/>
              </w:rPr>
            </w:pPr>
            <w:r>
              <w:rPr>
                <w:rFonts w:ascii="Arial" w:cs="Arial" w:eastAsia="Arial" w:hAnsi="Arial"/>
                <w:sz w:val="13"/>
                <w:szCs w:val="13"/>
                <w:b w:val="1"/>
                <w:bCs w:val="1"/>
                <w:color w:val="auto"/>
              </w:rPr>
              <w:t>through profit for loss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At fair value</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through other</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through other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Held for</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Held for</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comprehensive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trading,</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Financial</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trading,</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Financial</w:t>
            </w: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income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hedging</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assets at</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investments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hedging</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assets at</w:t>
            </w: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investments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others</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Designated</w:t>
            </w:r>
          </w:p>
        </w:tc>
        <w:tc>
          <w:tcPr>
            <w:tcW w:w="86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amortized</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hedging</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and others</w:t>
            </w:r>
          </w:p>
        </w:tc>
        <w:tc>
          <w:tcPr>
            <w:tcW w:w="86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Designated</w:t>
            </w:r>
          </w:p>
        </w:tc>
        <w:tc>
          <w:tcPr>
            <w:tcW w:w="7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amortized</w:t>
            </w:r>
          </w:p>
        </w:tc>
        <w:tc>
          <w:tcPr>
            <w:tcW w:w="110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and hedging</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at inception</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w:t>
            </w:r>
          </w:p>
        </w:tc>
        <w:tc>
          <w:tcPr>
            <w:tcW w:w="960" w:type="dxa"/>
            <w:vAlign w:val="bottom"/>
          </w:tcPr>
          <w:p>
            <w:pP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Total</w:t>
            </w:r>
          </w:p>
        </w:tc>
        <w:tc>
          <w:tcPr>
            <w:tcW w:w="700" w:type="dxa"/>
            <w:vAlign w:val="bottom"/>
          </w:tcPr>
          <w:p>
            <w:pP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at inception</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93"/>
              </w:rPr>
              <w:t>S/(000)</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0"/>
                <w:szCs w:val="20"/>
                <w:color w:val="auto"/>
              </w:rPr>
            </w:pPr>
            <w:r>
              <w:rPr>
                <w:rFonts w:ascii="Arial" w:cs="Arial" w:eastAsia="Arial" w:hAnsi="Arial"/>
                <w:sz w:val="13"/>
                <w:szCs w:val="13"/>
                <w:b w:val="1"/>
                <w:bCs w:val="1"/>
                <w:color w:val="auto"/>
              </w:rPr>
              <w:t>America:</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Peru</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2,144,033</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7,499</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183,414,012</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28,117,088</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213,682,632</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1,893,544</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3,593</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w w:val="96"/>
              </w:rPr>
              <w:t>175,089,699</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27,879,813</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w w:val="96"/>
              </w:rPr>
              <w:t>204,866,649</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United States of America</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707,411</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616,657</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3,242,867</w:t>
            </w:r>
          </w:p>
        </w:tc>
        <w:tc>
          <w:tcPr>
            <w:tcW w:w="100" w:type="dxa"/>
            <w:vAlign w:val="bottom"/>
          </w:tcPr>
          <w:p>
            <w:pPr>
              <w:spacing w:after="0"/>
              <w:rPr>
                <w:sz w:val="12"/>
                <w:szCs w:val="12"/>
                <w:color w:val="auto"/>
              </w:rPr>
            </w:pP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5,975,716</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10,542,651</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757,151</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845,577</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3,228,496</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7,360,645</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12,191,869</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Colombia</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1,501,100</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4,597,771</w:t>
            </w:r>
          </w:p>
        </w:tc>
        <w:tc>
          <w:tcPr>
            <w:tcW w:w="100" w:type="dxa"/>
            <w:vAlign w:val="bottom"/>
          </w:tcPr>
          <w:p>
            <w:pPr>
              <w:spacing w:after="0"/>
              <w:rPr>
                <w:sz w:val="12"/>
                <w:szCs w:val="12"/>
                <w:color w:val="auto"/>
              </w:rPr>
            </w:pP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855,529</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6,954,400</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1,218,708</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3,560,497</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793,612</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5,572,817</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Bolivia</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437,460</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9,358,834</w:t>
            </w:r>
          </w:p>
        </w:tc>
        <w:tc>
          <w:tcPr>
            <w:tcW w:w="100" w:type="dxa"/>
            <w:vAlign w:val="bottom"/>
          </w:tcPr>
          <w:p>
            <w:pPr>
              <w:spacing w:after="0"/>
              <w:rPr>
                <w:sz w:val="12"/>
                <w:szCs w:val="12"/>
                <w:color w:val="auto"/>
              </w:rPr>
            </w:pP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666,129</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10,462,423</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835,594</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11,850,504</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801,894</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13,487,992</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Chile</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483,541</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2,821,134</w:t>
            </w:r>
          </w:p>
        </w:tc>
        <w:tc>
          <w:tcPr>
            <w:tcW w:w="100" w:type="dxa"/>
            <w:vAlign w:val="bottom"/>
          </w:tcPr>
          <w:p>
            <w:pPr>
              <w:spacing w:after="0"/>
              <w:rPr>
                <w:sz w:val="12"/>
                <w:szCs w:val="12"/>
                <w:color w:val="auto"/>
              </w:rPr>
            </w:pP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596,693</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3,901,368</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300,827</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2,224,616</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626,907</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3,152,350</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Brazil</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8,847</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1,460,091</w:t>
            </w:r>
          </w:p>
        </w:tc>
        <w:tc>
          <w:tcPr>
            <w:tcW w:w="100" w:type="dxa"/>
            <w:vAlign w:val="bottom"/>
          </w:tcPr>
          <w:p>
            <w:pPr>
              <w:spacing w:after="0"/>
              <w:rPr>
                <w:sz w:val="12"/>
                <w:szCs w:val="12"/>
                <w:color w:val="auto"/>
              </w:rPr>
            </w:pP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299,662</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1,768,600</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9,037</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1,632,544</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268,174</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1,909,755</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Panama</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5,435</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338,265</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307,071</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650,771</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43,748</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359,932</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229,945</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633,625</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Mexico</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7,383</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90,081</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444,547</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542,011</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55,729</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183,334</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467,970</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707,033</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Canada</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61,944</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14,582</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179,503</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256,029</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5,608</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108,618</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149,235</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263,461</w:t>
            </w:r>
          </w:p>
        </w:tc>
        <w:tc>
          <w:tcPr>
            <w:tcW w:w="0" w:type="dxa"/>
            <w:vAlign w:val="bottom"/>
          </w:tcPr>
          <w:p>
            <w:pPr>
              <w:spacing w:after="0"/>
              <w:rPr>
                <w:sz w:val="1"/>
                <w:szCs w:val="1"/>
                <w:color w:val="auto"/>
              </w:rPr>
            </w:pPr>
          </w:p>
        </w:tc>
      </w:tr>
      <w:tr>
        <w:trPr>
          <w:trHeight w:val="145"/>
        </w:trPr>
        <w:tc>
          <w:tcPr>
            <w:tcW w:w="1820" w:type="dxa"/>
            <w:vAlign w:val="bottom"/>
          </w:tcPr>
          <w:p>
            <w:pPr>
              <w:spacing w:after="0" w:line="145" w:lineRule="exact"/>
              <w:rPr>
                <w:sz w:val="20"/>
                <w:szCs w:val="20"/>
                <w:color w:val="auto"/>
              </w:rPr>
            </w:pPr>
            <w:r>
              <w:rPr>
                <w:rFonts w:ascii="Arial" w:cs="Arial" w:eastAsia="Arial" w:hAnsi="Arial"/>
                <w:sz w:val="13"/>
                <w:szCs w:val="13"/>
                <w:b w:val="1"/>
                <w:bCs w:val="1"/>
                <w:color w:val="auto"/>
              </w:rPr>
              <w:t>Europe: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United Kingdom</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434,045</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58,512</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246,791</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739,348</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191,072</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10,498</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249,702</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451,272</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Spain</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97,652</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786,809</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277,573</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1,162,034</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13,561</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6,755</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228,626</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248,942</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France</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75,950</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28,279</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125,625</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229,854</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113,112</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17,305</w:t>
            </w:r>
          </w:p>
        </w:tc>
        <w:tc>
          <w:tcPr>
            <w:tcW w:w="10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120,194</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250,611</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Switzerland</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163</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23,772</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23,945</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1,616</w:t>
            </w:r>
          </w:p>
        </w:tc>
        <w:tc>
          <w:tcPr>
            <w:tcW w:w="11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47,974</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49,590</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Luxembourg</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79,281</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336,275</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5,316</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420,872</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77,777</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7,474</w:t>
            </w:r>
          </w:p>
        </w:tc>
        <w:tc>
          <w:tcPr>
            <w:tcW w:w="11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2,961</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88,212</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Netherlands</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2,436</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13,501</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15,937</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728</w:t>
            </w:r>
          </w:p>
        </w:tc>
        <w:tc>
          <w:tcPr>
            <w:tcW w:w="11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35,014</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35,742</w:t>
            </w:r>
          </w:p>
        </w:tc>
        <w:tc>
          <w:tcPr>
            <w:tcW w:w="0" w:type="dxa"/>
            <w:vAlign w:val="bottom"/>
          </w:tcPr>
          <w:p>
            <w:pPr>
              <w:spacing w:after="0"/>
              <w:rPr>
                <w:sz w:val="1"/>
                <w:szCs w:val="1"/>
                <w:color w:val="auto"/>
              </w:rPr>
            </w:pPr>
          </w:p>
        </w:tc>
      </w:tr>
      <w:tr>
        <w:trPr>
          <w:trHeight w:val="145"/>
        </w:trPr>
        <w:tc>
          <w:tcPr>
            <w:tcW w:w="1820" w:type="dxa"/>
            <w:vAlign w:val="bottom"/>
          </w:tcPr>
          <w:p>
            <w:pPr>
              <w:ind w:left="140"/>
              <w:spacing w:after="0" w:line="145" w:lineRule="exact"/>
              <w:rPr>
                <w:sz w:val="20"/>
                <w:szCs w:val="20"/>
                <w:color w:val="auto"/>
              </w:rPr>
            </w:pPr>
            <w:r>
              <w:rPr>
                <w:rFonts w:ascii="Arial" w:cs="Arial" w:eastAsia="Arial" w:hAnsi="Arial"/>
                <w:sz w:val="13"/>
                <w:szCs w:val="13"/>
                <w:color w:val="auto"/>
              </w:rPr>
              <w:t>Others in Europe</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117,991</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53,363</w:t>
            </w:r>
          </w:p>
        </w:tc>
        <w:tc>
          <w:tcPr>
            <w:tcW w:w="10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80,250</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251,604</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79,762</w:t>
            </w: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190,632</w:t>
            </w:r>
          </w:p>
        </w:tc>
        <w:tc>
          <w:tcPr>
            <w:tcW w:w="11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75,014</w:t>
            </w: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345,408</w:t>
            </w:r>
          </w:p>
        </w:tc>
        <w:tc>
          <w:tcPr>
            <w:tcW w:w="0" w:type="dxa"/>
            <w:vAlign w:val="bottom"/>
          </w:tcPr>
          <w:p>
            <w:pPr>
              <w:spacing w:after="0"/>
              <w:rPr>
                <w:sz w:val="1"/>
                <w:szCs w:val="1"/>
                <w:color w:val="auto"/>
              </w:rPr>
            </w:pPr>
          </w:p>
        </w:tc>
      </w:tr>
      <w:tr>
        <w:trPr>
          <w:trHeight w:val="153"/>
        </w:trPr>
        <w:tc>
          <w:tcPr>
            <w:tcW w:w="1820" w:type="dxa"/>
            <w:vAlign w:val="bottom"/>
          </w:tcPr>
          <w:p>
            <w:pPr>
              <w:spacing w:after="0"/>
              <w:rPr>
                <w:sz w:val="20"/>
                <w:szCs w:val="20"/>
                <w:color w:val="auto"/>
              </w:rPr>
            </w:pPr>
            <w:r>
              <w:rPr>
                <w:rFonts w:ascii="Arial" w:cs="Arial" w:eastAsia="Arial" w:hAnsi="Arial"/>
                <w:sz w:val="13"/>
                <w:szCs w:val="13"/>
                <w:b w:val="1"/>
                <w:bCs w:val="1"/>
                <w:color w:val="auto"/>
              </w:rPr>
              <w:t>Others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26,341</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368,273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1,195,293</w:t>
            </w:r>
          </w:p>
        </w:tc>
        <w:tc>
          <w:tcPr>
            <w:tcW w:w="10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819,960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2,409,867</w:t>
            </w:r>
          </w:p>
        </w:tc>
        <w:tc>
          <w:tcPr>
            <w:tcW w:w="10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24,904</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83,564</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717,501</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804,958</w:t>
            </w:r>
          </w:p>
        </w:tc>
        <w:tc>
          <w:tcPr>
            <w:tcW w:w="10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1,630,927</w:t>
            </w:r>
          </w:p>
        </w:tc>
        <w:tc>
          <w:tcPr>
            <w:tcW w:w="0" w:type="dxa"/>
            <w:vAlign w:val="bottom"/>
          </w:tcPr>
          <w:p>
            <w:pPr>
              <w:spacing w:after="0"/>
              <w:rPr>
                <w:sz w:val="1"/>
                <w:szCs w:val="1"/>
                <w:color w:val="auto"/>
              </w:rPr>
            </w:pPr>
          </w:p>
        </w:tc>
      </w:tr>
      <w:tr>
        <w:trPr>
          <w:trHeight w:val="141"/>
        </w:trPr>
        <w:tc>
          <w:tcPr>
            <w:tcW w:w="182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6,188,424</w:t>
            </w:r>
          </w:p>
        </w:tc>
        <w:tc>
          <w:tcPr>
            <w:tcW w:w="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992,429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207,798,767</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39,034,726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254,014,346</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5,620,134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932,734</w:t>
            </w:r>
          </w:p>
        </w:tc>
        <w:tc>
          <w:tcPr>
            <w:tcW w:w="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6"/>
              </w:rPr>
              <w:t>199,190,749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40,142,638</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w w:val="96"/>
              </w:rPr>
              <w:t>245,886,255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5600" w:firstLine="5"/>
        <w:spacing w:after="0" w:line="274" w:lineRule="auto"/>
        <w:tabs>
          <w:tab w:leader="none" w:pos="29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It includes non-trading investments that did not pass SPPI test. (**) OCI: Other comprehensive income.</w:t>
      </w:r>
    </w:p>
    <w:p>
      <w:pPr>
        <w:spacing w:after="0" w:line="279" w:lineRule="exact"/>
        <w:rPr>
          <w:rFonts w:ascii="Arial" w:cs="Arial" w:eastAsia="Arial" w:hAnsi="Arial"/>
          <w:sz w:val="16"/>
          <w:szCs w:val="16"/>
          <w:color w:val="auto"/>
        </w:rPr>
      </w:pPr>
    </w:p>
    <w:p>
      <w:pPr>
        <w:ind w:left="4620" w:hanging="88"/>
        <w:spacing w:after="0"/>
        <w:tabs>
          <w:tab w:leader="none" w:pos="46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0"/>
          </w:cols>
          <w:pgMar w:left="1180" w:top="304" w:right="359" w:bottom="1440" w:gutter="0" w:footer="0" w:header="0"/>
        </w:sectPr>
      </w:pPr>
    </w:p>
    <w:bookmarkStart w:id="151" w:name="page152"/>
    <w:bookmarkEnd w:id="151"/>
    <w:p>
      <w:pPr>
        <w:ind w:left="284" w:hanging="284"/>
        <w:spacing w:after="0"/>
        <w:tabs>
          <w:tab w:leader="none" w:pos="2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Offsetting financial assets and liabilities -</w:t>
      </w:r>
    </w:p>
    <w:p>
      <w:pPr>
        <w:spacing w:after="0" w:line="17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The Group has financial assets and liabilities that:</w:t>
      </w:r>
    </w:p>
    <w:p>
      <w:pPr>
        <w:spacing w:after="0" w:line="177" w:lineRule="exact"/>
        <w:rPr>
          <w:rFonts w:ascii="Arial" w:cs="Arial" w:eastAsia="Arial" w:hAnsi="Arial"/>
          <w:sz w:val="16"/>
          <w:szCs w:val="16"/>
          <w:color w:val="auto"/>
        </w:rPr>
      </w:pPr>
    </w:p>
    <w:p>
      <w:pPr>
        <w:ind w:left="584" w:hanging="295"/>
        <w:spacing w:after="0"/>
        <w:tabs>
          <w:tab w:leader="none" w:pos="58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Are offset in the Group’s consolidated statement of financial position; or</w:t>
      </w:r>
    </w:p>
    <w:p>
      <w:pPr>
        <w:spacing w:after="0" w:line="12" w:lineRule="exact"/>
        <w:rPr>
          <w:rFonts w:ascii="Arial" w:cs="Arial" w:eastAsia="Arial" w:hAnsi="Arial"/>
          <w:sz w:val="16"/>
          <w:szCs w:val="16"/>
          <w:color w:val="auto"/>
        </w:rPr>
      </w:pPr>
    </w:p>
    <w:p>
      <w:pPr>
        <w:ind w:left="584" w:right="220" w:hanging="295"/>
        <w:spacing w:after="0" w:line="253" w:lineRule="auto"/>
        <w:tabs>
          <w:tab w:leader="none" w:pos="58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Are subject to an enforceable master netting agreement or similar agreement covering similar financial instruments, regardless of whether they are offset in the consolidated statement of financial position.</w:t>
      </w:r>
    </w:p>
    <w:p>
      <w:pPr>
        <w:spacing w:after="0" w:line="139" w:lineRule="exact"/>
        <w:rPr>
          <w:sz w:val="20"/>
          <w:szCs w:val="20"/>
          <w:color w:val="auto"/>
        </w:rPr>
      </w:pPr>
    </w:p>
    <w:p>
      <w:pPr>
        <w:ind w:left="284"/>
        <w:spacing w:after="0" w:line="248" w:lineRule="auto"/>
        <w:rPr>
          <w:sz w:val="20"/>
          <w:szCs w:val="20"/>
          <w:color w:val="auto"/>
        </w:rPr>
      </w:pPr>
      <w:r>
        <w:rPr>
          <w:rFonts w:ascii="Arial" w:cs="Arial" w:eastAsia="Arial" w:hAnsi="Arial"/>
          <w:sz w:val="16"/>
          <w:szCs w:val="16"/>
          <w:color w:val="auto"/>
        </w:rPr>
        <w:t>Similar arrangements include derivative netting agreements, master repurchase agreements and master securities lending agreements. Similar financial instruments include derivatives, accounts receivable from reverse repurchase agreements and securities financing transactions, and payables from repurchase agreements and securities lending transactions. Financial instruments such as loans and deposits are not disclosed in the following tables, as they are not offset in the consolidated statement of financial position.</w:t>
      </w:r>
    </w:p>
    <w:p>
      <w:pPr>
        <w:spacing w:after="0" w:line="144" w:lineRule="exact"/>
        <w:rPr>
          <w:sz w:val="20"/>
          <w:szCs w:val="20"/>
          <w:color w:val="auto"/>
        </w:rPr>
      </w:pPr>
    </w:p>
    <w:p>
      <w:pPr>
        <w:ind w:left="284"/>
        <w:spacing w:after="0" w:line="245" w:lineRule="auto"/>
        <w:rPr>
          <w:sz w:val="20"/>
          <w:szCs w:val="20"/>
          <w:color w:val="auto"/>
        </w:rPr>
      </w:pPr>
      <w:r>
        <w:rPr>
          <w:rFonts w:ascii="Arial" w:cs="Arial" w:eastAsia="Arial" w:hAnsi="Arial"/>
          <w:sz w:val="16"/>
          <w:szCs w:val="16"/>
          <w:color w:val="auto"/>
        </w:rPr>
        <w:t>The offsetting framework contract issued by the International Swaps and Derivatives Association Inc. (“ISDA”) and similar master offsetting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47"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Group receives and gives collateral in the form of cash and trading securities in respect of the following transactions:</w:t>
      </w:r>
    </w:p>
    <w:p>
      <w:pPr>
        <w:spacing w:after="0" w:line="178" w:lineRule="exact"/>
        <w:rPr>
          <w:sz w:val="20"/>
          <w:szCs w:val="20"/>
          <w:color w:val="auto"/>
        </w:rPr>
      </w:pPr>
    </w:p>
    <w:p>
      <w:pPr>
        <w:ind w:left="584" w:hanging="295"/>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Derivatives,</w:t>
      </w:r>
    </w:p>
    <w:p>
      <w:pPr>
        <w:spacing w:after="0" w:line="12" w:lineRule="exact"/>
        <w:rPr>
          <w:rFonts w:ascii="Arial" w:cs="Arial" w:eastAsia="Arial" w:hAnsi="Arial"/>
          <w:sz w:val="16"/>
          <w:szCs w:val="16"/>
          <w:color w:val="auto"/>
        </w:rPr>
      </w:pPr>
    </w:p>
    <w:p>
      <w:pPr>
        <w:ind w:left="584" w:hanging="295"/>
        <w:spacing w:after="0" w:line="236" w:lineRule="auto"/>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Accounts receivable from reverse repurchase agreements and securities borrowing;</w:t>
      </w:r>
    </w:p>
    <w:p>
      <w:pPr>
        <w:ind w:left="584" w:hanging="295"/>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Payables from repurchase agreements and securities lending</w:t>
      </w:r>
    </w:p>
    <w:p>
      <w:pPr>
        <w:spacing w:after="0" w:line="162" w:lineRule="exact"/>
        <w:rPr>
          <w:sz w:val="20"/>
          <w:szCs w:val="20"/>
          <w:color w:val="auto"/>
        </w:rPr>
      </w:pPr>
    </w:p>
    <w:p>
      <w:pPr>
        <w:ind w:left="284" w:right="80"/>
        <w:spacing w:after="0" w:line="255" w:lineRule="auto"/>
        <w:rPr>
          <w:sz w:val="20"/>
          <w:szCs w:val="20"/>
          <w:color w:val="auto"/>
        </w:rPr>
      </w:pPr>
      <w:r>
        <w:rPr>
          <w:rFonts w:ascii="Arial" w:cs="Arial" w:eastAsia="Arial" w:hAnsi="Arial"/>
          <w:sz w:val="16"/>
          <w:szCs w:val="16"/>
          <w:color w:val="auto"/>
        </w:rPr>
        <w:t>Such collateral adheres to standard industry terms including, when appropriate, an ISDA Credit Support Annex. This means that securities received/given as collateral can be pledged or sold during the term of the transaction must be returned on maturity of the transaction. The terms also give each party the right to terminate the related transactions upon the counterparty’s failure to return the respective collateral.</w:t>
      </w:r>
    </w:p>
    <w:p>
      <w:pPr>
        <w:spacing w:after="0" w:line="294" w:lineRule="exact"/>
        <w:rPr>
          <w:sz w:val="20"/>
          <w:szCs w:val="20"/>
          <w:color w:val="auto"/>
        </w:rPr>
      </w:pPr>
    </w:p>
    <w:p>
      <w:pPr>
        <w:jc w:val="center"/>
        <w:ind w:right="476"/>
        <w:spacing w:after="0"/>
        <w:rPr>
          <w:sz w:val="20"/>
          <w:szCs w:val="20"/>
          <w:color w:val="auto"/>
        </w:rPr>
      </w:pPr>
      <w:r>
        <w:rPr>
          <w:rFonts w:ascii="Arial" w:cs="Arial" w:eastAsia="Arial" w:hAnsi="Arial"/>
          <w:sz w:val="16"/>
          <w:szCs w:val="16"/>
          <w:color w:val="auto"/>
        </w:rPr>
        <w:t>- 147 -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584"/>
          </w:cols>
          <w:pgMar w:left="896" w:top="124" w:right="41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Financial assets subject to offsetting, enforceable master offsetting agreements and similar agreements: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4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156"/>
        </w:trPr>
        <w:tc>
          <w:tcPr>
            <w:tcW w:w="3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Net of financial</w:t>
            </w:r>
          </w:p>
        </w:tc>
        <w:tc>
          <w:tcPr>
            <w:tcW w:w="2420" w:type="dxa"/>
            <w:vAlign w:val="bottom"/>
            <w:gridSpan w:val="5"/>
          </w:tcPr>
          <w:p>
            <w:pPr>
              <w:spacing w:after="0" w:line="156" w:lineRule="exact"/>
              <w:rPr>
                <w:sz w:val="20"/>
                <w:szCs w:val="20"/>
                <w:color w:val="auto"/>
              </w:rPr>
            </w:pPr>
            <w:r>
              <w:rPr>
                <w:rFonts w:ascii="Arial" w:cs="Arial" w:eastAsia="Arial" w:hAnsi="Arial"/>
                <w:sz w:val="16"/>
                <w:szCs w:val="16"/>
                <w:b w:val="1"/>
                <w:bCs w:val="1"/>
                <w:color w:val="auto"/>
              </w:rPr>
              <w:t>Related amounts not offset in</w:t>
            </w: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1"/>
        </w:trPr>
        <w:tc>
          <w:tcPr>
            <w:tcW w:w="3840" w:type="dxa"/>
            <w:vAlign w:val="bottom"/>
          </w:tcPr>
          <w:p>
            <w:pPr>
              <w:spacing w:after="0"/>
              <w:rPr>
                <w:sz w:val="15"/>
                <w:szCs w:val="15"/>
                <w:color w:val="auto"/>
              </w:rPr>
            </w:pPr>
          </w:p>
        </w:tc>
        <w:tc>
          <w:tcPr>
            <w:tcW w:w="13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Gross</w:t>
            </w:r>
          </w:p>
        </w:tc>
        <w:tc>
          <w:tcPr>
            <w:tcW w:w="14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assets presented</w:t>
            </w:r>
          </w:p>
        </w:tc>
        <w:tc>
          <w:tcPr>
            <w:tcW w:w="2420" w:type="dxa"/>
            <w:vAlign w:val="bottom"/>
            <w:gridSpan w:val="5"/>
          </w:tcPr>
          <w:p>
            <w:pPr>
              <w:spacing w:after="0" w:line="181" w:lineRule="exact"/>
              <w:rPr>
                <w:sz w:val="20"/>
                <w:szCs w:val="20"/>
                <w:color w:val="auto"/>
              </w:rPr>
            </w:pPr>
            <w:r>
              <w:rPr>
                <w:rFonts w:ascii="Arial" w:cs="Arial" w:eastAsia="Arial" w:hAnsi="Arial"/>
                <w:sz w:val="16"/>
                <w:szCs w:val="16"/>
                <w:b w:val="1"/>
                <w:bCs w:val="1"/>
                <w:color w:val="auto"/>
              </w:rPr>
              <w:t>the consolidated statement of</w:t>
            </w: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38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amounts</w:t>
            </w: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in the</w:t>
            </w:r>
          </w:p>
        </w:tc>
        <w:tc>
          <w:tcPr>
            <w:tcW w:w="2420" w:type="dxa"/>
            <w:vAlign w:val="bottom"/>
            <w:gridSpan w:val="5"/>
          </w:tcPr>
          <w:p>
            <w:pPr>
              <w:spacing w:after="0"/>
              <w:rPr>
                <w:sz w:val="20"/>
                <w:szCs w:val="20"/>
                <w:color w:val="auto"/>
              </w:rPr>
            </w:pPr>
            <w:r>
              <w:rPr>
                <w:rFonts w:ascii="Arial" w:cs="Arial" w:eastAsia="Arial" w:hAnsi="Arial"/>
                <w:sz w:val="16"/>
                <w:szCs w:val="16"/>
                <w:b w:val="1"/>
                <w:bCs w:val="1"/>
                <w:color w:val="auto"/>
              </w:rPr>
              <w:t>financial position</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6"/>
        </w:trPr>
        <w:tc>
          <w:tcPr>
            <w:tcW w:w="3840" w:type="dxa"/>
            <w:vAlign w:val="bottom"/>
          </w:tcPr>
          <w:p>
            <w:pPr>
              <w:spacing w:after="0"/>
              <w:rPr>
                <w:sz w:val="13"/>
                <w:szCs w:val="13"/>
                <w:color w:val="auto"/>
              </w:rPr>
            </w:pPr>
          </w:p>
        </w:tc>
        <w:tc>
          <w:tcPr>
            <w:tcW w:w="136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recognized</w:t>
            </w:r>
          </w:p>
        </w:tc>
        <w:tc>
          <w:tcPr>
            <w:tcW w:w="146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consolidated</w:t>
            </w: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Cash</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1"/>
        </w:trPr>
        <w:tc>
          <w:tcPr>
            <w:tcW w:w="3840" w:type="dxa"/>
            <w:vAlign w:val="bottom"/>
          </w:tcPr>
          <w:p>
            <w:pPr>
              <w:spacing w:after="0"/>
              <w:rPr>
                <w:sz w:val="15"/>
                <w:szCs w:val="15"/>
                <w:color w:val="auto"/>
              </w:rPr>
            </w:pPr>
          </w:p>
        </w:tc>
        <w:tc>
          <w:tcPr>
            <w:tcW w:w="13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financial</w:t>
            </w:r>
          </w:p>
        </w:tc>
        <w:tc>
          <w:tcPr>
            <w:tcW w:w="14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statements of</w:t>
            </w:r>
          </w:p>
        </w:tc>
        <w:tc>
          <w:tcPr>
            <w:tcW w:w="12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Financial</w:t>
            </w:r>
          </w:p>
        </w:tc>
        <w:tc>
          <w:tcPr>
            <w:tcW w:w="118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collateral</w:t>
            </w: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3840" w:type="dxa"/>
            <w:vAlign w:val="bottom"/>
          </w:tcPr>
          <w:p>
            <w:pPr>
              <w:spacing w:after="0"/>
              <w:rPr>
                <w:sz w:val="20"/>
                <w:szCs w:val="20"/>
                <w:color w:val="auto"/>
              </w:rPr>
            </w:pPr>
            <w:r>
              <w:rPr>
                <w:rFonts w:ascii="Arial" w:cs="Arial" w:eastAsia="Arial" w:hAnsi="Arial"/>
                <w:sz w:val="16"/>
                <w:szCs w:val="16"/>
                <w:b w:val="1"/>
                <w:bCs w:val="1"/>
                <w:color w:val="auto"/>
              </w:rPr>
              <w:t>Details</w:t>
            </w: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financial position</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instruments</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received</w:t>
            </w:r>
          </w:p>
        </w:tc>
        <w:tc>
          <w:tcPr>
            <w:tcW w:w="1280" w:type="dxa"/>
            <w:vAlign w:val="bottom"/>
            <w:gridSpan w:val="4"/>
          </w:tcPr>
          <w:p>
            <w:pPr>
              <w:ind w:left="40"/>
              <w:spacing w:after="0"/>
              <w:rPr>
                <w:sz w:val="20"/>
                <w:szCs w:val="20"/>
                <w:color w:val="auto"/>
              </w:rPr>
            </w:pPr>
            <w:r>
              <w:rPr>
                <w:rFonts w:ascii="Arial" w:cs="Arial" w:eastAsia="Arial" w:hAnsi="Arial"/>
                <w:sz w:val="16"/>
                <w:szCs w:val="16"/>
                <w:b w:val="1"/>
                <w:bCs w:val="1"/>
                <w:color w:val="auto"/>
              </w:rPr>
              <w:t>Net amount</w:t>
            </w:r>
          </w:p>
        </w:tc>
      </w:tr>
      <w:tr>
        <w:trPr>
          <w:trHeight w:val="156"/>
        </w:trPr>
        <w:tc>
          <w:tcPr>
            <w:tcW w:w="3840" w:type="dxa"/>
            <w:vAlign w:val="bottom"/>
          </w:tcPr>
          <w:p>
            <w:pPr>
              <w:spacing w:after="0"/>
              <w:rPr>
                <w:sz w:val="13"/>
                <w:szCs w:val="13"/>
                <w:color w:val="auto"/>
              </w:rPr>
            </w:pPr>
          </w:p>
        </w:tc>
        <w:tc>
          <w:tcPr>
            <w:tcW w:w="11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2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3"/>
                <w:szCs w:val="13"/>
                <w:color w:val="auto"/>
              </w:rPr>
            </w:pP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Receivables from derivatives</w:t>
            </w:r>
          </w:p>
        </w:tc>
        <w:tc>
          <w:tcPr>
            <w:tcW w:w="1360" w:type="dxa"/>
            <w:vAlign w:val="bottom"/>
            <w:gridSpan w:val="2"/>
          </w:tcPr>
          <w:p>
            <w:pPr>
              <w:ind w:left="440"/>
              <w:spacing w:after="0" w:line="181" w:lineRule="exact"/>
              <w:rPr>
                <w:sz w:val="20"/>
                <w:szCs w:val="20"/>
                <w:color w:val="auto"/>
              </w:rPr>
            </w:pPr>
            <w:r>
              <w:rPr>
                <w:rFonts w:ascii="Arial" w:cs="Arial" w:eastAsia="Arial" w:hAnsi="Arial"/>
                <w:sz w:val="16"/>
                <w:szCs w:val="16"/>
                <w:color w:val="auto"/>
              </w:rPr>
              <w:t>1,231,865</w:t>
            </w:r>
          </w:p>
        </w:tc>
        <w:tc>
          <w:tcPr>
            <w:tcW w:w="1460" w:type="dxa"/>
            <w:vAlign w:val="bottom"/>
            <w:gridSpan w:val="2"/>
          </w:tcPr>
          <w:p>
            <w:pPr>
              <w:ind w:left="640"/>
              <w:spacing w:after="0" w:line="181" w:lineRule="exact"/>
              <w:rPr>
                <w:sz w:val="20"/>
                <w:szCs w:val="20"/>
                <w:color w:val="auto"/>
              </w:rPr>
            </w:pPr>
            <w:r>
              <w:rPr>
                <w:rFonts w:ascii="Arial" w:cs="Arial" w:eastAsia="Arial" w:hAnsi="Arial"/>
                <w:sz w:val="16"/>
                <w:szCs w:val="16"/>
                <w:color w:val="auto"/>
              </w:rPr>
              <w:t>1,231,865</w:t>
            </w:r>
          </w:p>
        </w:tc>
        <w:tc>
          <w:tcPr>
            <w:tcW w:w="12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(499,494)</w:t>
            </w:r>
          </w:p>
        </w:tc>
        <w:tc>
          <w:tcPr>
            <w:tcW w:w="11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(438,073)</w:t>
            </w:r>
          </w:p>
        </w:tc>
        <w:tc>
          <w:tcPr>
            <w:tcW w:w="12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294,298</w:t>
            </w:r>
          </w:p>
        </w:tc>
        <w:tc>
          <w:tcPr>
            <w:tcW w:w="80" w:type="dxa"/>
            <w:vAlign w:val="bottom"/>
          </w:tcPr>
          <w:p>
            <w:pPr>
              <w:spacing w:after="0"/>
              <w:rPr>
                <w:sz w:val="15"/>
                <w:szCs w:val="15"/>
                <w:color w:val="auto"/>
              </w:rPr>
            </w:pP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Cash collateral, reverse repurchase agreements and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securities borrowing</w:t>
            </w:r>
          </w:p>
        </w:tc>
        <w:tc>
          <w:tcPr>
            <w:tcW w:w="1360" w:type="dxa"/>
            <w:vAlign w:val="bottom"/>
            <w:gridSpan w:val="2"/>
          </w:tcPr>
          <w:p>
            <w:pPr>
              <w:ind w:left="440"/>
              <w:spacing w:after="0" w:line="181" w:lineRule="exact"/>
              <w:rPr>
                <w:sz w:val="20"/>
                <w:szCs w:val="20"/>
                <w:color w:val="auto"/>
              </w:rPr>
            </w:pPr>
            <w:r>
              <w:rPr>
                <w:rFonts w:ascii="Arial" w:cs="Arial" w:eastAsia="Arial" w:hAnsi="Arial"/>
                <w:sz w:val="16"/>
                <w:szCs w:val="16"/>
                <w:color w:val="auto"/>
              </w:rPr>
              <w:t>2,177,200</w:t>
            </w:r>
          </w:p>
        </w:tc>
        <w:tc>
          <w:tcPr>
            <w:tcW w:w="1460" w:type="dxa"/>
            <w:vAlign w:val="bottom"/>
            <w:gridSpan w:val="2"/>
          </w:tcPr>
          <w:p>
            <w:pPr>
              <w:ind w:left="640"/>
              <w:spacing w:after="0" w:line="181" w:lineRule="exact"/>
              <w:rPr>
                <w:sz w:val="20"/>
                <w:szCs w:val="20"/>
                <w:color w:val="auto"/>
              </w:rPr>
            </w:pPr>
            <w:r>
              <w:rPr>
                <w:rFonts w:ascii="Arial" w:cs="Arial" w:eastAsia="Arial" w:hAnsi="Arial"/>
                <w:sz w:val="16"/>
                <w:szCs w:val="16"/>
                <w:color w:val="auto"/>
              </w:rPr>
              <w:t>2,177,200</w:t>
            </w:r>
          </w:p>
        </w:tc>
        <w:tc>
          <w:tcPr>
            <w:tcW w:w="12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(350,854)</w:t>
            </w:r>
          </w:p>
        </w:tc>
        <w:tc>
          <w:tcPr>
            <w:tcW w:w="118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(12,635)</w:t>
            </w:r>
          </w:p>
        </w:tc>
        <w:tc>
          <w:tcPr>
            <w:tcW w:w="12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1,813,711</w:t>
            </w:r>
          </w:p>
        </w:tc>
        <w:tc>
          <w:tcPr>
            <w:tcW w:w="80" w:type="dxa"/>
            <w:vAlign w:val="bottom"/>
          </w:tcPr>
          <w:p>
            <w:pPr>
              <w:spacing w:after="0"/>
              <w:rPr>
                <w:sz w:val="15"/>
                <w:szCs w:val="15"/>
                <w:color w:val="auto"/>
              </w:rPr>
            </w:pP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Investments at fair value through other</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comprehensive income and amortized cost pledged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3840" w:type="dxa"/>
            <w:vAlign w:val="bottom"/>
          </w:tcPr>
          <w:p>
            <w:pPr>
              <w:spacing w:after="0"/>
              <w:rPr>
                <w:sz w:val="20"/>
                <w:szCs w:val="20"/>
                <w:color w:val="auto"/>
              </w:rPr>
            </w:pPr>
            <w:r>
              <w:rPr>
                <w:rFonts w:ascii="Arial" w:cs="Arial" w:eastAsia="Arial" w:hAnsi="Arial"/>
                <w:sz w:val="16"/>
                <w:szCs w:val="16"/>
                <w:color w:val="auto"/>
              </w:rPr>
              <w:t>as collateral</w:t>
            </w:r>
          </w:p>
        </w:tc>
        <w:tc>
          <w:tcPr>
            <w:tcW w:w="1360" w:type="dxa"/>
            <w:vAlign w:val="bottom"/>
            <w:gridSpan w:val="2"/>
          </w:tcPr>
          <w:p>
            <w:pPr>
              <w:ind w:left="440"/>
              <w:spacing w:after="0"/>
              <w:rPr>
                <w:sz w:val="20"/>
                <w:szCs w:val="20"/>
                <w:color w:val="auto"/>
              </w:rPr>
            </w:pPr>
            <w:r>
              <w:rPr>
                <w:rFonts w:ascii="Arial" w:cs="Arial" w:eastAsia="Arial" w:hAnsi="Arial"/>
                <w:sz w:val="16"/>
                <w:szCs w:val="16"/>
                <w:color w:val="auto"/>
              </w:rPr>
              <w:t>6,314,420</w:t>
            </w:r>
          </w:p>
        </w:tc>
        <w:tc>
          <w:tcPr>
            <w:tcW w:w="1460" w:type="dxa"/>
            <w:vAlign w:val="bottom"/>
            <w:gridSpan w:val="2"/>
          </w:tcPr>
          <w:p>
            <w:pPr>
              <w:ind w:left="640"/>
              <w:spacing w:after="0"/>
              <w:rPr>
                <w:sz w:val="20"/>
                <w:szCs w:val="20"/>
                <w:color w:val="auto"/>
              </w:rPr>
            </w:pPr>
            <w:r>
              <w:rPr>
                <w:rFonts w:ascii="Arial" w:cs="Arial" w:eastAsia="Arial" w:hAnsi="Arial"/>
                <w:sz w:val="16"/>
                <w:szCs w:val="16"/>
                <w:color w:val="auto"/>
              </w:rPr>
              <w:t>6,314,420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(5,302,304)</w:t>
            </w:r>
          </w:p>
        </w:tc>
        <w:tc>
          <w:tcPr>
            <w:tcW w:w="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1,012,116</w:t>
            </w:r>
          </w:p>
        </w:tc>
        <w:tc>
          <w:tcPr>
            <w:tcW w:w="80" w:type="dxa"/>
            <w:vAlign w:val="bottom"/>
          </w:tcPr>
          <w:p>
            <w:pPr>
              <w:spacing w:after="0"/>
              <w:rPr>
                <w:sz w:val="17"/>
                <w:szCs w:val="17"/>
                <w:color w:val="auto"/>
              </w:rPr>
            </w:pPr>
          </w:p>
        </w:tc>
      </w:tr>
      <w:tr>
        <w:trPr>
          <w:trHeight w:val="177"/>
        </w:trPr>
        <w:tc>
          <w:tcPr>
            <w:tcW w:w="384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tcBorders>
          </w:tcPr>
          <w:p>
            <w:pPr>
              <w:ind w:left="440"/>
              <w:spacing w:after="0" w:line="173" w:lineRule="exact"/>
              <w:rPr>
                <w:sz w:val="20"/>
                <w:szCs w:val="20"/>
                <w:color w:val="auto"/>
              </w:rPr>
            </w:pPr>
            <w:r>
              <w:rPr>
                <w:rFonts w:ascii="Arial" w:cs="Arial" w:eastAsia="Arial" w:hAnsi="Arial"/>
                <w:sz w:val="16"/>
                <w:szCs w:val="16"/>
                <w:color w:val="auto"/>
                <w:w w:val="95"/>
              </w:rPr>
              <w:t>9,723,485</w:t>
            </w:r>
          </w:p>
        </w:tc>
        <w:tc>
          <w:tcPr>
            <w:tcW w:w="220" w:type="dxa"/>
            <w:vAlign w:val="bottom"/>
          </w:tcPr>
          <w:p>
            <w:pPr>
              <w:spacing w:after="0"/>
              <w:rPr>
                <w:sz w:val="15"/>
                <w:szCs w:val="15"/>
                <w:color w:val="auto"/>
              </w:rPr>
            </w:pPr>
          </w:p>
        </w:tc>
        <w:tc>
          <w:tcPr>
            <w:tcW w:w="1360" w:type="dxa"/>
            <w:vAlign w:val="bottom"/>
            <w:tcBorders>
              <w:top w:val="single" w:sz="8" w:color="auto"/>
            </w:tcBorders>
          </w:tcPr>
          <w:p>
            <w:pPr>
              <w:ind w:left="640"/>
              <w:spacing w:after="0" w:line="173" w:lineRule="exact"/>
              <w:rPr>
                <w:sz w:val="20"/>
                <w:szCs w:val="20"/>
                <w:color w:val="auto"/>
              </w:rPr>
            </w:pPr>
            <w:r>
              <w:rPr>
                <w:rFonts w:ascii="Arial" w:cs="Arial" w:eastAsia="Arial" w:hAnsi="Arial"/>
                <w:sz w:val="16"/>
                <w:szCs w:val="16"/>
                <w:color w:val="auto"/>
                <w:w w:val="98"/>
              </w:rPr>
              <w:t>9,723,485</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(6,152,652)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(450,708)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3,120,125</w:t>
            </w:r>
          </w:p>
        </w:tc>
        <w:tc>
          <w:tcPr>
            <w:tcW w:w="80" w:type="dxa"/>
            <w:vAlign w:val="bottom"/>
          </w:tcPr>
          <w:p>
            <w:pPr>
              <w:spacing w:after="0"/>
              <w:rPr>
                <w:sz w:val="15"/>
                <w:szCs w:val="15"/>
                <w:color w:val="auto"/>
              </w:rPr>
            </w:pPr>
          </w:p>
        </w:tc>
      </w:tr>
      <w:tr>
        <w:trPr>
          <w:trHeight w:val="373"/>
        </w:trPr>
        <w:tc>
          <w:tcPr>
            <w:tcW w:w="3840" w:type="dxa"/>
            <w:vAlign w:val="bottom"/>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-6350</wp:posOffset>
            </wp:positionV>
            <wp:extent cx="413639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36390" cy="7620"/>
                    </a:xfrm>
                    <a:prstGeom prst="rect">
                      <a:avLst/>
                    </a:prstGeom>
                    <a:noFill/>
                  </pic:spPr>
                </pic:pic>
              </a:graphicData>
            </a:graphic>
          </wp:anchor>
        </w:drawing>
      </w:r>
    </w:p>
    <w:p>
      <w:pPr>
        <w:sectPr>
          <w:pgSz w:w="11900" w:h="16838" w:orient="portrait"/>
          <w:cols w:equalWidth="0" w:num="1">
            <w:col w:w="10360"/>
          </w:cols>
          <w:pgMar w:left="1180" w:top="304" w:right="359" w:bottom="1440" w:gutter="0" w:footer="0" w:header="0"/>
        </w:sectPr>
      </w:pPr>
    </w:p>
    <w:tbl>
      <w:tblPr>
        <w:tblLayout w:type="fixed"/>
        <w:tblInd w:w="0" w:type="dxa"/>
        <w:tblCellMar>
          <w:top w:w="0" w:type="dxa"/>
          <w:left w:w="0" w:type="dxa"/>
          <w:bottom w:w="0" w:type="dxa"/>
          <w:right w:w="0" w:type="dxa"/>
        </w:tblCellMar>
      </w:tblPr>
      <w:tr>
        <w:trPr>
          <w:trHeight w:val="165"/>
        </w:trPr>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Net of financial</w:t>
            </w:r>
          </w:p>
        </w:tc>
        <w:tc>
          <w:tcPr>
            <w:tcW w:w="238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Related amounts not offset in</w:t>
            </w:r>
          </w:p>
        </w:tc>
      </w:tr>
      <w:tr>
        <w:trPr>
          <w:trHeight w:val="181"/>
        </w:trPr>
        <w:tc>
          <w:tcPr>
            <w:tcW w:w="3840" w:type="dxa"/>
            <w:vAlign w:val="bottom"/>
          </w:tcPr>
          <w:p>
            <w:pPr>
              <w:spacing w:after="0"/>
              <w:rPr>
                <w:sz w:val="15"/>
                <w:szCs w:val="15"/>
                <w:color w:val="auto"/>
              </w:rPr>
            </w:pPr>
          </w:p>
        </w:tc>
        <w:tc>
          <w:tcPr>
            <w:tcW w:w="13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Gross</w:t>
            </w:r>
          </w:p>
        </w:tc>
        <w:tc>
          <w:tcPr>
            <w:tcW w:w="14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assets presented</w:t>
            </w:r>
          </w:p>
        </w:tc>
        <w:tc>
          <w:tcPr>
            <w:tcW w:w="2380" w:type="dxa"/>
            <w:vAlign w:val="bottom"/>
            <w:gridSpan w:val="5"/>
          </w:tcPr>
          <w:p>
            <w:pPr>
              <w:spacing w:after="0" w:line="181" w:lineRule="exact"/>
              <w:rPr>
                <w:sz w:val="20"/>
                <w:szCs w:val="20"/>
                <w:color w:val="auto"/>
              </w:rPr>
            </w:pPr>
            <w:r>
              <w:rPr>
                <w:rFonts w:ascii="Arial" w:cs="Arial" w:eastAsia="Arial" w:hAnsi="Arial"/>
                <w:sz w:val="16"/>
                <w:szCs w:val="16"/>
                <w:b w:val="1"/>
                <w:bCs w:val="1"/>
                <w:color w:val="auto"/>
              </w:rPr>
              <w:t>the consolidated statement of</w:t>
            </w:r>
          </w:p>
        </w:tc>
      </w:tr>
      <w:tr>
        <w:trPr>
          <w:trHeight w:val="198"/>
        </w:trPr>
        <w:tc>
          <w:tcPr>
            <w:tcW w:w="38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amounts</w:t>
            </w: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in the</w:t>
            </w:r>
          </w:p>
        </w:tc>
        <w:tc>
          <w:tcPr>
            <w:tcW w:w="2380" w:type="dxa"/>
            <w:vAlign w:val="bottom"/>
            <w:gridSpan w:val="5"/>
          </w:tcPr>
          <w:p>
            <w:pPr>
              <w:spacing w:after="0"/>
              <w:rPr>
                <w:sz w:val="20"/>
                <w:szCs w:val="20"/>
                <w:color w:val="auto"/>
              </w:rPr>
            </w:pPr>
            <w:r>
              <w:rPr>
                <w:rFonts w:ascii="Arial" w:cs="Arial" w:eastAsia="Arial" w:hAnsi="Arial"/>
                <w:sz w:val="16"/>
                <w:szCs w:val="16"/>
                <w:b w:val="1"/>
                <w:bCs w:val="1"/>
                <w:color w:val="auto"/>
              </w:rPr>
              <w:t>financial position</w:t>
            </w:r>
          </w:p>
        </w:tc>
      </w:tr>
      <w:tr>
        <w:trPr>
          <w:trHeight w:val="156"/>
        </w:trPr>
        <w:tc>
          <w:tcPr>
            <w:tcW w:w="3840" w:type="dxa"/>
            <w:vAlign w:val="bottom"/>
          </w:tcPr>
          <w:p>
            <w:pPr>
              <w:spacing w:after="0"/>
              <w:rPr>
                <w:sz w:val="13"/>
                <w:szCs w:val="13"/>
                <w:color w:val="auto"/>
              </w:rPr>
            </w:pPr>
          </w:p>
        </w:tc>
        <w:tc>
          <w:tcPr>
            <w:tcW w:w="136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recognized</w:t>
            </w:r>
          </w:p>
        </w:tc>
        <w:tc>
          <w:tcPr>
            <w:tcW w:w="1460" w:type="dxa"/>
            <w:vAlign w:val="bottom"/>
            <w:gridSpan w:val="2"/>
          </w:tcPr>
          <w:p>
            <w:pPr>
              <w:spacing w:after="0" w:line="156" w:lineRule="exact"/>
              <w:rPr>
                <w:sz w:val="20"/>
                <w:szCs w:val="20"/>
                <w:color w:val="auto"/>
              </w:rPr>
            </w:pPr>
            <w:r>
              <w:rPr>
                <w:rFonts w:ascii="Arial" w:cs="Arial" w:eastAsia="Arial" w:hAnsi="Arial"/>
                <w:sz w:val="16"/>
                <w:szCs w:val="16"/>
                <w:b w:val="1"/>
                <w:bCs w:val="1"/>
                <w:color w:val="auto"/>
              </w:rPr>
              <w:t>consolidated</w:t>
            </w: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3"/>
                <w:szCs w:val="13"/>
                <w:color w:val="auto"/>
              </w:rPr>
            </w:pPr>
          </w:p>
        </w:tc>
      </w:tr>
      <w:tr>
        <w:trPr>
          <w:trHeight w:val="181"/>
        </w:trPr>
        <w:tc>
          <w:tcPr>
            <w:tcW w:w="3840" w:type="dxa"/>
            <w:vAlign w:val="bottom"/>
          </w:tcPr>
          <w:p>
            <w:pPr>
              <w:spacing w:after="0"/>
              <w:rPr>
                <w:sz w:val="15"/>
                <w:szCs w:val="15"/>
                <w:color w:val="auto"/>
              </w:rPr>
            </w:pPr>
          </w:p>
        </w:tc>
        <w:tc>
          <w:tcPr>
            <w:tcW w:w="13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financial</w:t>
            </w:r>
          </w:p>
        </w:tc>
        <w:tc>
          <w:tcPr>
            <w:tcW w:w="14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statements of</w:t>
            </w:r>
          </w:p>
        </w:tc>
        <w:tc>
          <w:tcPr>
            <w:tcW w:w="124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Financial</w:t>
            </w:r>
          </w:p>
        </w:tc>
        <w:tc>
          <w:tcPr>
            <w:tcW w:w="114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collateral</w:t>
            </w:r>
          </w:p>
        </w:tc>
      </w:tr>
      <w:tr>
        <w:trPr>
          <w:trHeight w:val="198"/>
        </w:trPr>
        <w:tc>
          <w:tcPr>
            <w:tcW w:w="3840" w:type="dxa"/>
            <w:vAlign w:val="bottom"/>
          </w:tcPr>
          <w:p>
            <w:pPr>
              <w:spacing w:after="0"/>
              <w:rPr>
                <w:sz w:val="20"/>
                <w:szCs w:val="20"/>
                <w:color w:val="auto"/>
              </w:rPr>
            </w:pPr>
            <w:r>
              <w:rPr>
                <w:rFonts w:ascii="Arial" w:cs="Arial" w:eastAsia="Arial" w:hAnsi="Arial"/>
                <w:sz w:val="16"/>
                <w:szCs w:val="16"/>
                <w:b w:val="1"/>
                <w:bCs w:val="1"/>
                <w:color w:val="auto"/>
              </w:rPr>
              <w:t>Details</w:t>
            </w: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financial position</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instruments</w:t>
            </w: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received</w:t>
            </w:r>
          </w:p>
        </w:tc>
      </w:tr>
      <w:tr>
        <w:trPr>
          <w:trHeight w:val="156"/>
        </w:trPr>
        <w:tc>
          <w:tcPr>
            <w:tcW w:w="3840" w:type="dxa"/>
            <w:vAlign w:val="bottom"/>
          </w:tcPr>
          <w:p>
            <w:pPr>
              <w:spacing w:after="0"/>
              <w:rPr>
                <w:sz w:val="13"/>
                <w:szCs w:val="13"/>
                <w:color w:val="auto"/>
              </w:rPr>
            </w:pPr>
          </w:p>
        </w:tc>
        <w:tc>
          <w:tcPr>
            <w:tcW w:w="11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2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Receivables from derivatives</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904,791</w:t>
            </w:r>
          </w:p>
        </w:tc>
        <w:tc>
          <w:tcPr>
            <w:tcW w:w="14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904,791</w:t>
            </w:r>
          </w:p>
        </w:tc>
        <w:tc>
          <w:tcPr>
            <w:tcW w:w="12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(310,932)</w:t>
            </w:r>
          </w:p>
        </w:tc>
        <w:tc>
          <w:tcPr>
            <w:tcW w:w="11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(37,615)</w:t>
            </w: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Cash collateral, reverse repurchase agreements and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securities borrowing</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1,033,177</w:t>
            </w:r>
          </w:p>
        </w:tc>
        <w:tc>
          <w:tcPr>
            <w:tcW w:w="14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1,033,177</w:t>
            </w:r>
          </w:p>
        </w:tc>
        <w:tc>
          <w:tcPr>
            <w:tcW w:w="12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(19,151)</w:t>
            </w: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Investments at fair value through other</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3840" w:type="dxa"/>
            <w:vAlign w:val="bottom"/>
          </w:tcPr>
          <w:p>
            <w:pPr>
              <w:spacing w:after="0" w:line="181" w:lineRule="exact"/>
              <w:rPr>
                <w:sz w:val="20"/>
                <w:szCs w:val="20"/>
                <w:color w:val="auto"/>
              </w:rPr>
            </w:pPr>
            <w:r>
              <w:rPr>
                <w:rFonts w:ascii="Arial" w:cs="Arial" w:eastAsia="Arial" w:hAnsi="Arial"/>
                <w:sz w:val="16"/>
                <w:szCs w:val="16"/>
                <w:color w:val="auto"/>
              </w:rPr>
              <w:t>comprehensive income and amortized cost pledged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3840" w:type="dxa"/>
            <w:vAlign w:val="bottom"/>
          </w:tcPr>
          <w:p>
            <w:pPr>
              <w:spacing w:after="0"/>
              <w:rPr>
                <w:sz w:val="20"/>
                <w:szCs w:val="20"/>
                <w:color w:val="auto"/>
              </w:rPr>
            </w:pPr>
            <w:r>
              <w:rPr>
                <w:rFonts w:ascii="Arial" w:cs="Arial" w:eastAsia="Arial" w:hAnsi="Arial"/>
                <w:sz w:val="16"/>
                <w:szCs w:val="16"/>
                <w:color w:val="auto"/>
              </w:rPr>
              <w:t>as collateral</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6,997,811</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6,997,811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(6,159,186)</w:t>
            </w:r>
          </w:p>
        </w:tc>
        <w:tc>
          <w:tcPr>
            <w:tcW w:w="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77"/>
        </w:trPr>
        <w:tc>
          <w:tcPr>
            <w:tcW w:w="384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bottom w:val="single" w:sz="8" w:color="auto"/>
            </w:tcBorders>
          </w:tcPr>
          <w:p>
            <w:pPr>
              <w:ind w:left="440"/>
              <w:spacing w:after="0" w:line="173" w:lineRule="exact"/>
              <w:rPr>
                <w:sz w:val="20"/>
                <w:szCs w:val="20"/>
                <w:color w:val="auto"/>
              </w:rPr>
            </w:pPr>
            <w:r>
              <w:rPr>
                <w:rFonts w:ascii="Arial" w:cs="Arial" w:eastAsia="Arial" w:hAnsi="Arial"/>
                <w:sz w:val="16"/>
                <w:szCs w:val="16"/>
                <w:color w:val="auto"/>
                <w:w w:val="95"/>
              </w:rPr>
              <w:t>8,935,779</w:t>
            </w:r>
          </w:p>
        </w:tc>
        <w:tc>
          <w:tcPr>
            <w:tcW w:w="22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8,935,779</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(6,470,118)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(56,766)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60"/>
        <w:spacing w:after="0" w:line="271" w:lineRule="auto"/>
        <w:rPr>
          <w:sz w:val="20"/>
          <w:szCs w:val="20"/>
          <w:color w:val="auto"/>
        </w:rPr>
      </w:pPr>
      <w:r>
        <w:rPr>
          <w:rFonts w:ascii="Arial" w:cs="Arial" w:eastAsia="Arial" w:hAnsi="Arial"/>
          <w:sz w:val="15"/>
          <w:szCs w:val="15"/>
          <w:b w:val="1"/>
          <w:bCs w:val="1"/>
          <w:color w:val="auto"/>
        </w:rPr>
        <w:t>Net amount 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009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090" cy="762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556,244</w:t>
      </w:r>
    </w:p>
    <w:p>
      <w:pPr>
        <w:spacing w:after="0" w:line="16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1,014,026</w:t>
      </w:r>
    </w:p>
    <w:p>
      <w:pPr>
        <w:spacing w:after="0" w:line="35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838,625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009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090" cy="7620"/>
                    </a:xfrm>
                    <a:prstGeom prst="rect">
                      <a:avLst/>
                    </a:prstGeom>
                    <a:noFill/>
                  </pic:spPr>
                </pic:pic>
              </a:graphicData>
            </a:graphic>
          </wp:anchor>
        </w:drawing>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2,408,895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2009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090" cy="1524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020" w:space="100"/>
            <w:col w:w="1240"/>
          </w:cols>
          <w:pgMar w:left="1180" w:top="304" w:right="359" w:bottom="1440" w:gutter="0" w:footer="0" w:header="0"/>
          <w:type w:val="continuous"/>
        </w:sectPr>
      </w:pPr>
    </w:p>
    <w:p>
      <w:pPr>
        <w:spacing w:after="0" w:line="109"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- 148 -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46355</wp:posOffset>
            </wp:positionV>
            <wp:extent cx="714692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0"/>
          </w:cols>
          <w:pgMar w:left="1180" w:top="304" w:right="35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6"/>
          <w:szCs w:val="16"/>
          <w:color w:val="auto"/>
        </w:rPr>
        <w:t>Financial liabilities subject to offsetting, enforceable offsetting master agreements and similar agreements: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40" w:type="dxa"/>
            <w:vAlign w:val="bottom"/>
          </w:tcPr>
          <w:p>
            <w:pPr>
              <w:spacing w:after="0"/>
              <w:rPr>
                <w:sz w:val="13"/>
                <w:szCs w:val="13"/>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3"/>
          </w:tcPr>
          <w:p>
            <w:pPr>
              <w:ind w:left="100"/>
              <w:spacing w:after="0" w:line="129" w:lineRule="exact"/>
              <w:rPr>
                <w:sz w:val="20"/>
                <w:szCs w:val="20"/>
                <w:color w:val="auto"/>
              </w:rPr>
            </w:pPr>
            <w:r>
              <w:rPr>
                <w:rFonts w:ascii="Arial" w:cs="Arial" w:eastAsia="Arial" w:hAnsi="Arial"/>
                <w:sz w:val="13"/>
                <w:szCs w:val="13"/>
                <w:b w:val="1"/>
                <w:bCs w:val="1"/>
                <w:color w:val="auto"/>
              </w:rPr>
              <w:t>Net amounts of</w:t>
            </w:r>
          </w:p>
        </w:tc>
        <w:tc>
          <w:tcPr>
            <w:tcW w:w="22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Related amounts not offset in the</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restart"/>
          </w:tcPr>
          <w:p>
            <w:pPr>
              <w:ind w:left="100"/>
              <w:spacing w:after="0" w:line="145" w:lineRule="exact"/>
              <w:rPr>
                <w:sz w:val="20"/>
                <w:szCs w:val="20"/>
                <w:color w:val="auto"/>
              </w:rPr>
            </w:pPr>
            <w:r>
              <w:rPr>
                <w:rFonts w:ascii="Arial" w:cs="Arial" w:eastAsia="Arial" w:hAnsi="Arial"/>
                <w:sz w:val="13"/>
                <w:szCs w:val="13"/>
                <w:b w:val="1"/>
                <w:bCs w:val="1"/>
                <w:color w:val="auto"/>
              </w:rPr>
              <w:t>financial liabilities</w:t>
            </w:r>
          </w:p>
        </w:tc>
        <w:tc>
          <w:tcPr>
            <w:tcW w:w="222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2220" w:type="dxa"/>
            <w:vAlign w:val="bottom"/>
            <w:gridSpan w:val="4"/>
            <w:vMerge w:val="restart"/>
          </w:tcPr>
          <w:p>
            <w:pPr>
              <w:spacing w:after="0" w:line="145" w:lineRule="exact"/>
              <w:rPr>
                <w:sz w:val="20"/>
                <w:szCs w:val="20"/>
                <w:color w:val="auto"/>
              </w:rPr>
            </w:pPr>
            <w:r>
              <w:rPr>
                <w:rFonts w:ascii="Arial" w:cs="Arial" w:eastAsia="Arial" w:hAnsi="Arial"/>
                <w:sz w:val="13"/>
                <w:szCs w:val="13"/>
                <w:b w:val="1"/>
                <w:bCs w:val="1"/>
                <w:color w:val="auto"/>
              </w:rPr>
              <w:t>consolidated statement of financial</w:t>
            </w: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restart"/>
          </w:tcPr>
          <w:p>
            <w:pPr>
              <w:ind w:left="100"/>
              <w:spacing w:after="0" w:line="145" w:lineRule="exact"/>
              <w:rPr>
                <w:sz w:val="20"/>
                <w:szCs w:val="20"/>
                <w:color w:val="auto"/>
              </w:rPr>
            </w:pPr>
            <w:r>
              <w:rPr>
                <w:rFonts w:ascii="Arial" w:cs="Arial" w:eastAsia="Arial" w:hAnsi="Arial"/>
                <w:sz w:val="13"/>
                <w:szCs w:val="13"/>
                <w:b w:val="1"/>
                <w:bCs w:val="1"/>
                <w:color w:val="auto"/>
              </w:rPr>
              <w:t>presented in the</w:t>
            </w:r>
          </w:p>
        </w:tc>
        <w:tc>
          <w:tcPr>
            <w:tcW w:w="222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position</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360" w:type="dxa"/>
            <w:vAlign w:val="bottom"/>
            <w:gridSpan w:val="2"/>
            <w:vMerge w:val="restart"/>
          </w:tcPr>
          <w:p>
            <w:pPr>
              <w:spacing w:after="0" w:line="145" w:lineRule="exact"/>
              <w:rPr>
                <w:sz w:val="20"/>
                <w:szCs w:val="20"/>
                <w:color w:val="auto"/>
              </w:rPr>
            </w:pPr>
            <w:r>
              <w:rPr>
                <w:rFonts w:ascii="Arial" w:cs="Arial" w:eastAsia="Arial" w:hAnsi="Arial"/>
                <w:sz w:val="13"/>
                <w:szCs w:val="13"/>
                <w:b w:val="1"/>
                <w:bCs w:val="1"/>
                <w:color w:val="auto"/>
              </w:rPr>
              <w:t>Gross amounts of</w:t>
            </w:r>
          </w:p>
        </w:tc>
        <w:tc>
          <w:tcPr>
            <w:tcW w:w="1760" w:type="dxa"/>
            <w:vAlign w:val="bottom"/>
            <w:gridSpan w:val="3"/>
            <w:vMerge w:val="restart"/>
          </w:tcPr>
          <w:p>
            <w:pPr>
              <w:ind w:left="100"/>
              <w:spacing w:after="0" w:line="145" w:lineRule="exact"/>
              <w:rPr>
                <w:sz w:val="20"/>
                <w:szCs w:val="20"/>
                <w:color w:val="auto"/>
              </w:rPr>
            </w:pPr>
            <w:r>
              <w:rPr>
                <w:rFonts w:ascii="Arial" w:cs="Arial" w:eastAsia="Arial" w:hAnsi="Arial"/>
                <w:sz w:val="13"/>
                <w:szCs w:val="13"/>
                <w:b w:val="1"/>
                <w:bCs w:val="1"/>
                <w:color w:val="auto"/>
              </w:rPr>
              <w:t>consolidated</w:t>
            </w:r>
          </w:p>
        </w:tc>
        <w:tc>
          <w:tcPr>
            <w:tcW w:w="1160" w:type="dxa"/>
            <w:vAlign w:val="bottom"/>
            <w:tcBorders>
              <w:bottom w:val="single" w:sz="8" w:color="auto"/>
            </w:tcBorders>
            <w:gridSpan w:val="2"/>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84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3840" w:type="dxa"/>
            <w:vAlign w:val="bottom"/>
          </w:tcPr>
          <w:p>
            <w:pPr>
              <w:spacing w:after="0"/>
              <w:rPr>
                <w:sz w:val="12"/>
                <w:szCs w:val="12"/>
                <w:color w:val="auto"/>
              </w:rPr>
            </w:pPr>
          </w:p>
        </w:tc>
        <w:tc>
          <w:tcPr>
            <w:tcW w:w="13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recognized financial</w:t>
            </w:r>
          </w:p>
        </w:tc>
        <w:tc>
          <w:tcPr>
            <w:tcW w:w="176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statement of financial</w:t>
            </w:r>
          </w:p>
        </w:tc>
        <w:tc>
          <w:tcPr>
            <w:tcW w:w="11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Financial</w:t>
            </w:r>
          </w:p>
        </w:tc>
        <w:tc>
          <w:tcPr>
            <w:tcW w:w="10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Cash collateral</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3"/>
                <w:szCs w:val="13"/>
                <w:b w:val="1"/>
                <w:bCs w:val="1"/>
                <w:color w:val="auto"/>
              </w:rPr>
              <w:t>Details</w:t>
            </w: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1760" w:type="dxa"/>
            <w:vAlign w:val="bottom"/>
            <w:gridSpan w:val="3"/>
          </w:tcPr>
          <w:p>
            <w:pPr>
              <w:ind w:left="100"/>
              <w:spacing w:after="0"/>
              <w:rPr>
                <w:sz w:val="20"/>
                <w:szCs w:val="20"/>
                <w:color w:val="auto"/>
              </w:rPr>
            </w:pPr>
            <w:r>
              <w:rPr>
                <w:rFonts w:ascii="Arial" w:cs="Arial" w:eastAsia="Arial" w:hAnsi="Arial"/>
                <w:sz w:val="13"/>
                <w:szCs w:val="13"/>
                <w:b w:val="1"/>
                <w:bCs w:val="1"/>
                <w:color w:val="auto"/>
              </w:rPr>
              <w:t>position</w:t>
            </w:r>
          </w:p>
        </w:tc>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instruments</w:t>
            </w: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pledged</w:t>
            </w:r>
          </w:p>
        </w:tc>
        <w:tc>
          <w:tcPr>
            <w:tcW w:w="1180" w:type="dxa"/>
            <w:vAlign w:val="bottom"/>
            <w:gridSpan w:val="4"/>
          </w:tcPr>
          <w:p>
            <w:pPr>
              <w:ind w:left="60"/>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2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40" w:type="dxa"/>
            <w:vAlign w:val="bottom"/>
          </w:tcPr>
          <w:p>
            <w:pPr>
              <w:spacing w:after="0" w:line="145" w:lineRule="exact"/>
              <w:rPr>
                <w:sz w:val="20"/>
                <w:szCs w:val="20"/>
                <w:color w:val="auto"/>
              </w:rPr>
            </w:pPr>
            <w:r>
              <w:rPr>
                <w:rFonts w:ascii="Arial" w:cs="Arial" w:eastAsia="Arial" w:hAnsi="Arial"/>
                <w:sz w:val="13"/>
                <w:szCs w:val="13"/>
                <w:color w:val="auto"/>
              </w:rPr>
              <w:t>Payables on derivatives</w:t>
            </w:r>
          </w:p>
        </w:tc>
        <w:tc>
          <w:tcPr>
            <w:tcW w:w="1240" w:type="dxa"/>
            <w:vAlign w:val="bottom"/>
          </w:tcPr>
          <w:p>
            <w:pPr>
              <w:jc w:val="right"/>
              <w:spacing w:after="0" w:line="145" w:lineRule="exact"/>
              <w:rPr>
                <w:sz w:val="20"/>
                <w:szCs w:val="20"/>
                <w:color w:val="auto"/>
              </w:rPr>
            </w:pPr>
            <w:r>
              <w:rPr>
                <w:rFonts w:ascii="Arial" w:cs="Arial" w:eastAsia="Arial" w:hAnsi="Arial"/>
                <w:sz w:val="13"/>
                <w:szCs w:val="13"/>
                <w:color w:val="auto"/>
              </w:rPr>
              <w:t>1,047,907</w:t>
            </w:r>
          </w:p>
        </w:tc>
        <w:tc>
          <w:tcPr>
            <w:tcW w:w="120" w:type="dxa"/>
            <w:vAlign w:val="bottom"/>
          </w:tcPr>
          <w:p>
            <w:pPr>
              <w:spacing w:after="0"/>
              <w:rPr>
                <w:sz w:val="12"/>
                <w:szCs w:val="12"/>
                <w:color w:val="auto"/>
              </w:rPr>
            </w:pPr>
          </w:p>
        </w:tc>
        <w:tc>
          <w:tcPr>
            <w:tcW w:w="17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1,047,907</w:t>
            </w:r>
          </w:p>
        </w:tc>
        <w:tc>
          <w:tcPr>
            <w:tcW w:w="116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(499,494)</w:t>
            </w:r>
          </w:p>
        </w:tc>
        <w:tc>
          <w:tcPr>
            <w:tcW w:w="10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(275,272)</w:t>
            </w:r>
          </w:p>
        </w:tc>
        <w:tc>
          <w:tcPr>
            <w:tcW w:w="110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273,141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3"/>
                <w:szCs w:val="13"/>
                <w:color w:val="auto"/>
              </w:rPr>
              <w:t>Payables on repurchase agreements and securities lending</w:t>
            </w:r>
          </w:p>
        </w:tc>
        <w:tc>
          <w:tcPr>
            <w:tcW w:w="1240" w:type="dxa"/>
            <w:vAlign w:val="bottom"/>
          </w:tcPr>
          <w:p>
            <w:pPr>
              <w:jc w:val="right"/>
              <w:spacing w:after="0"/>
              <w:rPr>
                <w:sz w:val="20"/>
                <w:szCs w:val="20"/>
                <w:color w:val="auto"/>
              </w:rPr>
            </w:pPr>
            <w:r>
              <w:rPr>
                <w:rFonts w:ascii="Arial" w:cs="Arial" w:eastAsia="Arial" w:hAnsi="Arial"/>
                <w:sz w:val="13"/>
                <w:szCs w:val="13"/>
                <w:color w:val="auto"/>
              </w:rPr>
              <w:t>8,243,787</w:t>
            </w:r>
          </w:p>
        </w:tc>
        <w:tc>
          <w:tcPr>
            <w:tcW w:w="120" w:type="dxa"/>
            <w:vAlign w:val="bottom"/>
          </w:tcPr>
          <w:p>
            <w:pPr>
              <w:spacing w:after="0"/>
              <w:rPr>
                <w:sz w:val="13"/>
                <w:szCs w:val="13"/>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3"/>
                <w:szCs w:val="13"/>
                <w:color w:val="auto"/>
              </w:rPr>
              <w:t>8,243,787</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(5,302,304)</w:t>
            </w: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(6,293)</w:t>
            </w:r>
          </w:p>
        </w:tc>
        <w:tc>
          <w:tcPr>
            <w:tcW w:w="1100" w:type="dxa"/>
            <w:vAlign w:val="bottom"/>
            <w:gridSpan w:val="3"/>
          </w:tcPr>
          <w:p>
            <w:pPr>
              <w:jc w:val="right"/>
              <w:ind w:right="20"/>
              <w:spacing w:after="0"/>
              <w:rPr>
                <w:sz w:val="20"/>
                <w:szCs w:val="20"/>
                <w:color w:val="auto"/>
              </w:rPr>
            </w:pPr>
            <w:r>
              <w:rPr>
                <w:rFonts w:ascii="Arial" w:cs="Arial" w:eastAsia="Arial" w:hAnsi="Arial"/>
                <w:sz w:val="13"/>
                <w:szCs w:val="13"/>
                <w:color w:val="auto"/>
              </w:rPr>
              <w:t>2,935,190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12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9,291,694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9,291,694</w:t>
            </w:r>
          </w:p>
        </w:tc>
        <w:tc>
          <w:tcPr>
            <w:tcW w:w="100" w:type="dxa"/>
            <w:vAlign w:val="bottom"/>
          </w:tcPr>
          <w:p>
            <w:pPr>
              <w:spacing w:after="0"/>
              <w:rPr>
                <w:sz w:val="12"/>
                <w:szCs w:val="12"/>
                <w:color w:val="auto"/>
              </w:rPr>
            </w:pPr>
          </w:p>
        </w:tc>
        <w:tc>
          <w:tcPr>
            <w:tcW w:w="10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(5,801,798)</w:t>
            </w:r>
          </w:p>
        </w:tc>
        <w:tc>
          <w:tcPr>
            <w:tcW w:w="120" w:type="dxa"/>
            <w:vAlign w:val="bottom"/>
          </w:tcPr>
          <w:p>
            <w:pPr>
              <w:spacing w:after="0"/>
              <w:rPr>
                <w:sz w:val="12"/>
                <w:szCs w:val="12"/>
                <w:color w:val="auto"/>
              </w:rPr>
            </w:pPr>
          </w:p>
        </w:tc>
        <w:tc>
          <w:tcPr>
            <w:tcW w:w="10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(281,565)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3,208,331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4"/>
        </w:trPr>
        <w:tc>
          <w:tcPr>
            <w:tcW w:w="3840" w:type="dxa"/>
            <w:vAlign w:val="bottom"/>
          </w:tcPr>
          <w:p>
            <w:pPr>
              <w:spacing w:after="0"/>
              <w:rPr>
                <w:sz w:val="24"/>
                <w:szCs w:val="24"/>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3"/>
          </w:tcPr>
          <w:p>
            <w:pPr>
              <w:ind w:left="100"/>
              <w:spacing w:after="0" w:line="129" w:lineRule="exact"/>
              <w:rPr>
                <w:sz w:val="20"/>
                <w:szCs w:val="20"/>
                <w:color w:val="auto"/>
              </w:rPr>
            </w:pPr>
            <w:r>
              <w:rPr>
                <w:rFonts w:ascii="Arial" w:cs="Arial" w:eastAsia="Arial" w:hAnsi="Arial"/>
                <w:sz w:val="13"/>
                <w:szCs w:val="13"/>
                <w:b w:val="1"/>
                <w:bCs w:val="1"/>
                <w:color w:val="auto"/>
              </w:rPr>
              <w:t>Net amounts of</w:t>
            </w:r>
          </w:p>
        </w:tc>
        <w:tc>
          <w:tcPr>
            <w:tcW w:w="22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Related amounts not offset in the</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restart"/>
          </w:tcPr>
          <w:p>
            <w:pPr>
              <w:ind w:left="100"/>
              <w:spacing w:after="0" w:line="145" w:lineRule="exact"/>
              <w:rPr>
                <w:sz w:val="20"/>
                <w:szCs w:val="20"/>
                <w:color w:val="auto"/>
              </w:rPr>
            </w:pPr>
            <w:r>
              <w:rPr>
                <w:rFonts w:ascii="Arial" w:cs="Arial" w:eastAsia="Arial" w:hAnsi="Arial"/>
                <w:sz w:val="13"/>
                <w:szCs w:val="13"/>
                <w:b w:val="1"/>
                <w:bCs w:val="1"/>
                <w:color w:val="auto"/>
              </w:rPr>
              <w:t>financial liabilities</w:t>
            </w:r>
          </w:p>
        </w:tc>
        <w:tc>
          <w:tcPr>
            <w:tcW w:w="222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2220" w:type="dxa"/>
            <w:vAlign w:val="bottom"/>
            <w:gridSpan w:val="4"/>
            <w:vMerge w:val="restart"/>
          </w:tcPr>
          <w:p>
            <w:pPr>
              <w:spacing w:after="0" w:line="145" w:lineRule="exact"/>
              <w:rPr>
                <w:sz w:val="20"/>
                <w:szCs w:val="20"/>
                <w:color w:val="auto"/>
              </w:rPr>
            </w:pPr>
            <w:r>
              <w:rPr>
                <w:rFonts w:ascii="Arial" w:cs="Arial" w:eastAsia="Arial" w:hAnsi="Arial"/>
                <w:sz w:val="13"/>
                <w:szCs w:val="13"/>
                <w:b w:val="1"/>
                <w:bCs w:val="1"/>
                <w:color w:val="auto"/>
              </w:rPr>
              <w:t>consolidated statement of financial</w:t>
            </w: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restart"/>
          </w:tcPr>
          <w:p>
            <w:pPr>
              <w:ind w:left="100"/>
              <w:spacing w:after="0" w:line="145" w:lineRule="exact"/>
              <w:rPr>
                <w:sz w:val="20"/>
                <w:szCs w:val="20"/>
                <w:color w:val="auto"/>
              </w:rPr>
            </w:pPr>
            <w:r>
              <w:rPr>
                <w:rFonts w:ascii="Arial" w:cs="Arial" w:eastAsia="Arial" w:hAnsi="Arial"/>
                <w:sz w:val="13"/>
                <w:szCs w:val="13"/>
                <w:b w:val="1"/>
                <w:bCs w:val="1"/>
                <w:color w:val="auto"/>
              </w:rPr>
              <w:t>presented in the</w:t>
            </w:r>
          </w:p>
        </w:tc>
        <w:tc>
          <w:tcPr>
            <w:tcW w:w="222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position</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360" w:type="dxa"/>
            <w:vAlign w:val="bottom"/>
            <w:gridSpan w:val="2"/>
            <w:vMerge w:val="restart"/>
          </w:tcPr>
          <w:p>
            <w:pPr>
              <w:spacing w:after="0" w:line="145" w:lineRule="exact"/>
              <w:rPr>
                <w:sz w:val="20"/>
                <w:szCs w:val="20"/>
                <w:color w:val="auto"/>
              </w:rPr>
            </w:pPr>
            <w:r>
              <w:rPr>
                <w:rFonts w:ascii="Arial" w:cs="Arial" w:eastAsia="Arial" w:hAnsi="Arial"/>
                <w:sz w:val="13"/>
                <w:szCs w:val="13"/>
                <w:b w:val="1"/>
                <w:bCs w:val="1"/>
                <w:color w:val="auto"/>
              </w:rPr>
              <w:t>Gross amounts of</w:t>
            </w:r>
          </w:p>
        </w:tc>
        <w:tc>
          <w:tcPr>
            <w:tcW w:w="1760" w:type="dxa"/>
            <w:vAlign w:val="bottom"/>
            <w:gridSpan w:val="3"/>
            <w:vMerge w:val="restart"/>
          </w:tcPr>
          <w:p>
            <w:pPr>
              <w:ind w:left="100"/>
              <w:spacing w:after="0" w:line="145" w:lineRule="exact"/>
              <w:rPr>
                <w:sz w:val="20"/>
                <w:szCs w:val="20"/>
                <w:color w:val="auto"/>
              </w:rPr>
            </w:pPr>
            <w:r>
              <w:rPr>
                <w:rFonts w:ascii="Arial" w:cs="Arial" w:eastAsia="Arial" w:hAnsi="Arial"/>
                <w:sz w:val="13"/>
                <w:szCs w:val="13"/>
                <w:b w:val="1"/>
                <w:bCs w:val="1"/>
                <w:color w:val="auto"/>
              </w:rPr>
              <w:t>consolidated</w:t>
            </w:r>
          </w:p>
        </w:tc>
        <w:tc>
          <w:tcPr>
            <w:tcW w:w="1160" w:type="dxa"/>
            <w:vAlign w:val="bottom"/>
            <w:tcBorders>
              <w:bottom w:val="single" w:sz="8" w:color="auto"/>
            </w:tcBorders>
            <w:gridSpan w:val="2"/>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84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3840" w:type="dxa"/>
            <w:vAlign w:val="bottom"/>
          </w:tcPr>
          <w:p>
            <w:pPr>
              <w:spacing w:after="0"/>
              <w:rPr>
                <w:sz w:val="12"/>
                <w:szCs w:val="12"/>
                <w:color w:val="auto"/>
              </w:rPr>
            </w:pPr>
          </w:p>
        </w:tc>
        <w:tc>
          <w:tcPr>
            <w:tcW w:w="13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recognized financial</w:t>
            </w:r>
          </w:p>
        </w:tc>
        <w:tc>
          <w:tcPr>
            <w:tcW w:w="1760" w:type="dxa"/>
            <w:vAlign w:val="bottom"/>
            <w:gridSpan w:val="3"/>
          </w:tcPr>
          <w:p>
            <w:pPr>
              <w:ind w:left="100"/>
              <w:spacing w:after="0" w:line="145" w:lineRule="exact"/>
              <w:rPr>
                <w:sz w:val="20"/>
                <w:szCs w:val="20"/>
                <w:color w:val="auto"/>
              </w:rPr>
            </w:pPr>
            <w:r>
              <w:rPr>
                <w:rFonts w:ascii="Arial" w:cs="Arial" w:eastAsia="Arial" w:hAnsi="Arial"/>
                <w:sz w:val="13"/>
                <w:szCs w:val="13"/>
                <w:b w:val="1"/>
                <w:bCs w:val="1"/>
                <w:color w:val="auto"/>
              </w:rPr>
              <w:t>statement of financial</w:t>
            </w:r>
          </w:p>
        </w:tc>
        <w:tc>
          <w:tcPr>
            <w:tcW w:w="11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Financial</w:t>
            </w:r>
          </w:p>
        </w:tc>
        <w:tc>
          <w:tcPr>
            <w:tcW w:w="10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Cash collateral</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3"/>
                <w:szCs w:val="13"/>
                <w:b w:val="1"/>
                <w:bCs w:val="1"/>
                <w:color w:val="auto"/>
              </w:rPr>
              <w:t>Details</w:t>
            </w: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1760" w:type="dxa"/>
            <w:vAlign w:val="bottom"/>
            <w:gridSpan w:val="3"/>
          </w:tcPr>
          <w:p>
            <w:pPr>
              <w:ind w:left="100"/>
              <w:spacing w:after="0"/>
              <w:rPr>
                <w:sz w:val="20"/>
                <w:szCs w:val="20"/>
                <w:color w:val="auto"/>
              </w:rPr>
            </w:pPr>
            <w:r>
              <w:rPr>
                <w:rFonts w:ascii="Arial" w:cs="Arial" w:eastAsia="Arial" w:hAnsi="Arial"/>
                <w:sz w:val="13"/>
                <w:szCs w:val="13"/>
                <w:b w:val="1"/>
                <w:bCs w:val="1"/>
                <w:color w:val="auto"/>
              </w:rPr>
              <w:t>position</w:t>
            </w:r>
          </w:p>
        </w:tc>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instruments</w:t>
            </w: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pledged</w:t>
            </w:r>
          </w:p>
        </w:tc>
        <w:tc>
          <w:tcPr>
            <w:tcW w:w="1180" w:type="dxa"/>
            <w:vAlign w:val="bottom"/>
            <w:gridSpan w:val="4"/>
          </w:tcPr>
          <w:p>
            <w:pPr>
              <w:ind w:left="60"/>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2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S/(000)</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40" w:type="dxa"/>
            <w:vAlign w:val="bottom"/>
          </w:tcPr>
          <w:p>
            <w:pPr>
              <w:spacing w:after="0" w:line="145" w:lineRule="exact"/>
              <w:rPr>
                <w:sz w:val="20"/>
                <w:szCs w:val="20"/>
                <w:color w:val="auto"/>
              </w:rPr>
            </w:pPr>
            <w:r>
              <w:rPr>
                <w:rFonts w:ascii="Arial" w:cs="Arial" w:eastAsia="Arial" w:hAnsi="Arial"/>
                <w:sz w:val="13"/>
                <w:szCs w:val="13"/>
                <w:color w:val="auto"/>
              </w:rPr>
              <w:t>Payables on derivatives</w:t>
            </w:r>
          </w:p>
        </w:tc>
        <w:tc>
          <w:tcPr>
            <w:tcW w:w="136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819,473</w:t>
            </w:r>
          </w:p>
        </w:tc>
        <w:tc>
          <w:tcPr>
            <w:tcW w:w="17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819,473</w:t>
            </w:r>
          </w:p>
        </w:tc>
        <w:tc>
          <w:tcPr>
            <w:tcW w:w="116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(310,932)</w:t>
            </w:r>
          </w:p>
        </w:tc>
        <w:tc>
          <w:tcPr>
            <w:tcW w:w="10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(1,115,338)</w:t>
            </w:r>
          </w:p>
        </w:tc>
        <w:tc>
          <w:tcPr>
            <w:tcW w:w="1180" w:type="dxa"/>
            <w:vAlign w:val="bottom"/>
            <w:gridSpan w:val="4"/>
          </w:tcPr>
          <w:p>
            <w:pPr>
              <w:jc w:val="right"/>
              <w:ind w:right="100"/>
              <w:spacing w:after="0" w:line="145" w:lineRule="exact"/>
              <w:rPr>
                <w:sz w:val="20"/>
                <w:szCs w:val="20"/>
                <w:color w:val="auto"/>
              </w:rPr>
            </w:pPr>
            <w:r>
              <w:rPr>
                <w:rFonts w:ascii="Arial" w:cs="Arial" w:eastAsia="Arial" w:hAnsi="Arial"/>
                <w:sz w:val="13"/>
                <w:szCs w:val="13"/>
                <w:color w:val="auto"/>
              </w:rPr>
              <w:t>(606,797)</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3"/>
                <w:szCs w:val="13"/>
                <w:color w:val="auto"/>
              </w:rPr>
              <w:t>Payables on repurchase agreements and securities lending</w:t>
            </w:r>
          </w:p>
        </w:tc>
        <w:tc>
          <w:tcPr>
            <w:tcW w:w="1240" w:type="dxa"/>
            <w:vAlign w:val="bottom"/>
          </w:tcPr>
          <w:p>
            <w:pPr>
              <w:jc w:val="right"/>
              <w:spacing w:after="0"/>
              <w:rPr>
                <w:sz w:val="20"/>
                <w:szCs w:val="20"/>
                <w:color w:val="auto"/>
              </w:rPr>
            </w:pPr>
            <w:r>
              <w:rPr>
                <w:rFonts w:ascii="Arial" w:cs="Arial" w:eastAsia="Arial" w:hAnsi="Arial"/>
                <w:sz w:val="13"/>
                <w:szCs w:val="13"/>
                <w:color w:val="auto"/>
              </w:rPr>
              <w:t>9,060,710</w:t>
            </w:r>
          </w:p>
        </w:tc>
        <w:tc>
          <w:tcPr>
            <w:tcW w:w="120" w:type="dxa"/>
            <w:vAlign w:val="bottom"/>
          </w:tcPr>
          <w:p>
            <w:pPr>
              <w:spacing w:after="0"/>
              <w:rPr>
                <w:sz w:val="13"/>
                <w:szCs w:val="13"/>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3"/>
                <w:szCs w:val="13"/>
                <w:color w:val="auto"/>
              </w:rPr>
              <w:t>9,060,710</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(6,692,254)</w:t>
            </w: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(362,723)</w:t>
            </w:r>
          </w:p>
        </w:tc>
        <w:tc>
          <w:tcPr>
            <w:tcW w:w="1100" w:type="dxa"/>
            <w:vAlign w:val="bottom"/>
            <w:gridSpan w:val="3"/>
          </w:tcPr>
          <w:p>
            <w:pPr>
              <w:jc w:val="right"/>
              <w:ind w:right="20"/>
              <w:spacing w:after="0"/>
              <w:rPr>
                <w:sz w:val="20"/>
                <w:szCs w:val="20"/>
                <w:color w:val="auto"/>
              </w:rPr>
            </w:pPr>
            <w:r>
              <w:rPr>
                <w:rFonts w:ascii="Arial" w:cs="Arial" w:eastAsia="Arial" w:hAnsi="Arial"/>
                <w:sz w:val="13"/>
                <w:szCs w:val="13"/>
                <w:color w:val="auto"/>
              </w:rPr>
              <w:t>2,005,733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12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9,880,183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9,880,183</w:t>
            </w:r>
          </w:p>
        </w:tc>
        <w:tc>
          <w:tcPr>
            <w:tcW w:w="1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(7,003,186)</w:t>
            </w:r>
          </w:p>
        </w:tc>
        <w:tc>
          <w:tcPr>
            <w:tcW w:w="1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(1,478,061)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1,398,936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gross amounts of financial assets and liabilities disclosed in the above tables have been measured in the consolidated statement of financial position on the following basis:</w:t>
      </w:r>
    </w:p>
    <w:p>
      <w:pPr>
        <w:spacing w:after="0" w:line="123" w:lineRule="exact"/>
        <w:rPr>
          <w:sz w:val="20"/>
          <w:szCs w:val="20"/>
          <w:color w:val="auto"/>
        </w:rPr>
      </w:pPr>
    </w:p>
    <w:p>
      <w:pPr>
        <w:ind w:left="300" w:hanging="295"/>
        <w:spacing w:after="0"/>
        <w:tabs>
          <w:tab w:leader="none" w:pos="3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Derivative assets and liabilities are measured at fair value.</w:t>
      </w:r>
    </w:p>
    <w:p>
      <w:pPr>
        <w:spacing w:after="0" w:line="12" w:lineRule="exact"/>
        <w:rPr>
          <w:rFonts w:ascii="Arial" w:cs="Arial" w:eastAsia="Arial" w:hAnsi="Arial"/>
          <w:sz w:val="16"/>
          <w:szCs w:val="16"/>
          <w:color w:val="auto"/>
        </w:rPr>
      </w:pPr>
    </w:p>
    <w:p>
      <w:pPr>
        <w:ind w:left="300" w:right="420" w:hanging="295"/>
        <w:spacing w:after="0" w:line="253" w:lineRule="auto"/>
        <w:tabs>
          <w:tab w:leader="none" w:pos="3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Accounts receivable from resale agreements and securities financing and accounts payable from repurchase agreements and securities lending are measured at amortized cost.</w:t>
      </w:r>
    </w:p>
    <w:p>
      <w:pPr>
        <w:spacing w:after="0" w:line="13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difference between the balance recognized in the consolidated statement of financial position and the amounts presented in the preceding tables for derivatives (presented under Other assets, Note 12(c), receivables from resale agreements and securities financing, and payables from repurchase agreements and securities lending at fair value through profit or loss, relates to financial instruments that are outside the scope of offsetting disclosures.</w:t>
      </w:r>
    </w:p>
    <w:p>
      <w:pPr>
        <w:spacing w:after="0" w:line="28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- 149 -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80"/>
          </w:cols>
          <w:pgMar w:left="1180" w:top="304" w:right="339" w:bottom="1440" w:gutter="0" w:footer="0" w:header="0"/>
        </w:sectPr>
      </w:pPr>
    </w:p>
    <w:bookmarkStart w:id="154" w:name="page155"/>
    <w:bookmarkEnd w:id="154"/>
    <w:p>
      <w:pPr>
        <w:spacing w:after="0"/>
        <w:tabs>
          <w:tab w:leader="none" w:pos="560" w:val="left"/>
        </w:tabs>
        <w:rPr>
          <w:sz w:val="20"/>
          <w:szCs w:val="20"/>
          <w:color w:val="auto"/>
        </w:rPr>
      </w:pPr>
      <w:r>
        <w:rPr>
          <w:rFonts w:ascii="Arial" w:cs="Arial" w:eastAsia="Arial" w:hAnsi="Arial"/>
          <w:sz w:val="16"/>
          <w:szCs w:val="16"/>
          <w:b w:val="1"/>
          <w:bCs w:val="1"/>
          <w:color w:val="auto"/>
        </w:rPr>
        <w:t>30.2</w:t>
      </w:r>
      <w:r>
        <w:rPr>
          <w:sz w:val="20"/>
          <w:szCs w:val="20"/>
          <w:color w:val="auto"/>
        </w:rPr>
        <w:tab/>
      </w:r>
      <w:r>
        <w:rPr>
          <w:rFonts w:ascii="Arial" w:cs="Arial" w:eastAsia="Arial" w:hAnsi="Arial"/>
          <w:sz w:val="15"/>
          <w:szCs w:val="15"/>
          <w:b w:val="1"/>
          <w:bCs w:val="1"/>
          <w:color w:val="auto"/>
        </w:rPr>
        <w:t>Market risk -</w:t>
      </w:r>
    </w:p>
    <w:p>
      <w:pPr>
        <w:spacing w:after="0" w:line="178" w:lineRule="exact"/>
        <w:rPr>
          <w:sz w:val="20"/>
          <w:szCs w:val="20"/>
          <w:color w:val="auto"/>
        </w:rPr>
      </w:pPr>
    </w:p>
    <w:p>
      <w:pPr>
        <w:jc w:val="both"/>
        <w:ind w:left="580" w:right="380"/>
        <w:spacing w:after="0" w:line="245" w:lineRule="auto"/>
        <w:rPr>
          <w:sz w:val="20"/>
          <w:szCs w:val="20"/>
          <w:color w:val="auto"/>
        </w:rPr>
      </w:pPr>
      <w:r>
        <w:rPr>
          <w:rFonts w:ascii="Arial" w:cs="Arial" w:eastAsia="Arial" w:hAnsi="Arial"/>
          <w:sz w:val="16"/>
          <w:szCs w:val="16"/>
          <w:color w:val="auto"/>
        </w:rPr>
        <w:t>The Group has exposure to market risk,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order of the Group’s current activities, commodity price risk has not been approved, so this type of instrument is not agreed.</w:t>
      </w:r>
    </w:p>
    <w:p>
      <w:pPr>
        <w:spacing w:after="0" w:line="147" w:lineRule="exact"/>
        <w:rPr>
          <w:sz w:val="20"/>
          <w:szCs w:val="20"/>
          <w:color w:val="auto"/>
        </w:rPr>
      </w:pPr>
    </w:p>
    <w:p>
      <w:pPr>
        <w:ind w:left="580" w:right="100"/>
        <w:spacing w:after="0" w:line="248" w:lineRule="auto"/>
        <w:rPr>
          <w:sz w:val="20"/>
          <w:szCs w:val="20"/>
          <w:color w:val="auto"/>
        </w:rPr>
      </w:pPr>
      <w:r>
        <w:rPr>
          <w:rFonts w:ascii="Arial" w:cs="Arial" w:eastAsia="Arial" w:hAnsi="Arial"/>
          <w:sz w:val="16"/>
          <w:szCs w:val="16"/>
          <w:color w:val="auto"/>
        </w:rPr>
        <w:t>The Group separates exposures to market risk in two groups: (i) those that arise from value fluctuation of trading portfolios recognized at fair value through profit or loss due to movements of market rates or prices (Trading Book) and (ii) those that arise from changes in the structural positions of non-trading portfolios due to movements of the interest rates, prices and foreign exchange ratios (Banking Book) and that are recorded at amortized cost and at fair value with changes in other comprehensive income, this is due to movements in interest rates, prices and currency exchange rates.</w:t>
      </w:r>
    </w:p>
    <w:p>
      <w:pPr>
        <w:spacing w:after="0" w:line="144" w:lineRule="exact"/>
        <w:rPr>
          <w:sz w:val="20"/>
          <w:szCs w:val="20"/>
          <w:color w:val="auto"/>
        </w:rPr>
      </w:pPr>
    </w:p>
    <w:p>
      <w:pPr>
        <w:ind w:left="580" w:right="80"/>
        <w:spacing w:after="0" w:line="274" w:lineRule="auto"/>
        <w:rPr>
          <w:sz w:val="20"/>
          <w:szCs w:val="20"/>
          <w:color w:val="auto"/>
        </w:rPr>
      </w:pPr>
      <w:r>
        <w:rPr>
          <w:rFonts w:ascii="Arial" w:cs="Arial" w:eastAsia="Arial" w:hAnsi="Arial"/>
          <w:sz w:val="16"/>
          <w:szCs w:val="16"/>
          <w:color w:val="auto"/>
        </w:rPr>
        <w:t>The risks that trading portfolios face are managed through Value at Risk (VaR) historical simulation techniques; while non-trading portfolios (Banking Book) are monitored using rate sensitivity metrics, which are a part of Asset and Liability Management (ALM).</w:t>
      </w:r>
    </w:p>
    <w:p>
      <w:pPr>
        <w:spacing w:after="0" w:line="123" w:lineRule="exact"/>
        <w:rPr>
          <w:sz w:val="20"/>
          <w:szCs w:val="20"/>
          <w:color w:val="auto"/>
        </w:rPr>
      </w:pPr>
    </w:p>
    <w:p>
      <w:pPr>
        <w:ind w:left="860" w:hanging="284"/>
        <w:spacing w:after="0"/>
        <w:tabs>
          <w:tab w:leader="none" w:pos="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Trading Book -</w:t>
      </w:r>
    </w:p>
    <w:p>
      <w:pPr>
        <w:spacing w:after="0" w:line="177" w:lineRule="exact"/>
        <w:rPr>
          <w:rFonts w:ascii="Arial" w:cs="Arial" w:eastAsia="Arial" w:hAnsi="Arial"/>
          <w:sz w:val="16"/>
          <w:szCs w:val="16"/>
          <w:color w:val="auto"/>
        </w:rPr>
      </w:pPr>
    </w:p>
    <w:p>
      <w:pPr>
        <w:ind w:left="860"/>
        <w:spacing w:after="0" w:line="255" w:lineRule="auto"/>
        <w:rPr>
          <w:rFonts w:ascii="Arial" w:cs="Arial" w:eastAsia="Arial" w:hAnsi="Arial"/>
          <w:sz w:val="16"/>
          <w:szCs w:val="16"/>
          <w:color w:val="auto"/>
        </w:rPr>
      </w:pPr>
      <w:r>
        <w:rPr>
          <w:rFonts w:ascii="Arial" w:cs="Arial" w:eastAsia="Arial" w:hAnsi="Arial"/>
          <w:sz w:val="16"/>
          <w:szCs w:val="16"/>
          <w:color w:val="auto"/>
        </w:rPr>
        <w:t>The trading book is characterized for having liquid positions in stocks, bonds, foreign currencies, and derivatives, arising from market-making transactions where the Group acts as principal with the clients or with the market. This portfolio includes investments and derivatives classified by Management as held for trading.</w:t>
      </w:r>
    </w:p>
    <w:p>
      <w:pPr>
        <w:spacing w:after="0" w:line="137" w:lineRule="exact"/>
        <w:rPr>
          <w:rFonts w:ascii="Arial" w:cs="Arial" w:eastAsia="Arial" w:hAnsi="Arial"/>
          <w:sz w:val="16"/>
          <w:szCs w:val="16"/>
          <w:color w:val="auto"/>
        </w:rPr>
      </w:pPr>
    </w:p>
    <w:p>
      <w:pPr>
        <w:ind w:left="1160" w:hanging="295"/>
        <w:spacing w:after="0"/>
        <w:tabs>
          <w:tab w:leader="none" w:pos="116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Value at Risk (VaR) -</w:t>
      </w:r>
    </w:p>
    <w:p>
      <w:pPr>
        <w:spacing w:after="0" w:line="177" w:lineRule="exact"/>
        <w:rPr>
          <w:rFonts w:ascii="Arial" w:cs="Arial" w:eastAsia="Arial" w:hAnsi="Arial"/>
          <w:sz w:val="16"/>
          <w:szCs w:val="16"/>
          <w:color w:val="auto"/>
        </w:rPr>
      </w:pPr>
    </w:p>
    <w:p>
      <w:pPr>
        <w:ind w:left="1160" w:right="220"/>
        <w:spacing w:after="0" w:line="255" w:lineRule="auto"/>
        <w:rPr>
          <w:rFonts w:ascii="Arial" w:cs="Arial" w:eastAsia="Arial" w:hAnsi="Arial"/>
          <w:sz w:val="16"/>
          <w:szCs w:val="16"/>
          <w:color w:val="auto"/>
        </w:rPr>
      </w:pPr>
      <w:r>
        <w:rPr>
          <w:rFonts w:ascii="Arial" w:cs="Arial" w:eastAsia="Arial" w:hAnsi="Arial"/>
          <w:sz w:val="16"/>
          <w:szCs w:val="16"/>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137" w:lineRule="exact"/>
        <w:rPr>
          <w:rFonts w:ascii="Arial" w:cs="Arial" w:eastAsia="Arial" w:hAnsi="Arial"/>
          <w:sz w:val="16"/>
          <w:szCs w:val="16"/>
          <w:color w:val="auto"/>
        </w:rPr>
      </w:pPr>
    </w:p>
    <w:p>
      <w:pPr>
        <w:ind w:left="1160" w:right="740"/>
        <w:spacing w:after="0" w:line="274" w:lineRule="auto"/>
        <w:rPr>
          <w:rFonts w:ascii="Arial" w:cs="Arial" w:eastAsia="Arial" w:hAnsi="Arial"/>
          <w:sz w:val="16"/>
          <w:szCs w:val="16"/>
          <w:color w:val="auto"/>
        </w:rPr>
      </w:pPr>
      <w:r>
        <w:rPr>
          <w:rFonts w:ascii="Arial" w:cs="Arial" w:eastAsia="Arial" w:hAnsi="Arial"/>
          <w:sz w:val="16"/>
          <w:szCs w:val="16"/>
          <w:color w:val="auto"/>
        </w:rPr>
        <w:t>Daily calculation of VaR is a statistically based estimate of the maximum potential loss on the current portfolio from adverse market movements.</w:t>
      </w:r>
    </w:p>
    <w:p>
      <w:pPr>
        <w:spacing w:after="0" w:line="122" w:lineRule="exact"/>
        <w:rPr>
          <w:rFonts w:ascii="Arial" w:cs="Arial" w:eastAsia="Arial" w:hAnsi="Arial"/>
          <w:sz w:val="16"/>
          <w:szCs w:val="16"/>
          <w:color w:val="auto"/>
        </w:rPr>
      </w:pPr>
    </w:p>
    <w:p>
      <w:pPr>
        <w:ind w:left="1160" w:right="300"/>
        <w:spacing w:after="0" w:line="255" w:lineRule="auto"/>
        <w:rPr>
          <w:rFonts w:ascii="Arial" w:cs="Arial" w:eastAsia="Arial" w:hAnsi="Arial"/>
          <w:sz w:val="16"/>
          <w:szCs w:val="16"/>
          <w:color w:val="auto"/>
        </w:rPr>
      </w:pPr>
      <w:r>
        <w:rPr>
          <w:rFonts w:ascii="Arial" w:cs="Arial" w:eastAsia="Arial" w:hAnsi="Arial"/>
          <w:sz w:val="16"/>
          <w:szCs w:val="16"/>
          <w:color w:val="auto"/>
        </w:rPr>
        <w:t>VaR expresses the “maximum” amount the Group might lose, but only to a certain level of confidence (99.0 percent). There is therefore a specified statistical probability (1.0 percent) that actual loss could be greater than the VaR estimate. The VaR model assumes a certain “holding period” until positions can be closed (1 - 10 days).</w:t>
      </w:r>
    </w:p>
    <w:p>
      <w:pPr>
        <w:spacing w:after="0" w:line="137" w:lineRule="exact"/>
        <w:rPr>
          <w:rFonts w:ascii="Arial" w:cs="Arial" w:eastAsia="Arial" w:hAnsi="Arial"/>
          <w:sz w:val="16"/>
          <w:szCs w:val="16"/>
          <w:color w:val="auto"/>
        </w:rPr>
      </w:pPr>
    </w:p>
    <w:p>
      <w:pPr>
        <w:ind w:left="1160"/>
        <w:spacing w:after="0" w:line="248" w:lineRule="auto"/>
        <w:rPr>
          <w:rFonts w:ascii="Arial" w:cs="Arial" w:eastAsia="Arial" w:hAnsi="Arial"/>
          <w:sz w:val="16"/>
          <w:szCs w:val="16"/>
          <w:color w:val="auto"/>
        </w:rPr>
      </w:pPr>
      <w:r>
        <w:rPr>
          <w:rFonts w:ascii="Arial" w:cs="Arial" w:eastAsia="Arial" w:hAnsi="Arial"/>
          <w:sz w:val="16"/>
          <w:szCs w:val="16"/>
          <w:color w:val="auto"/>
        </w:rPr>
        <w:t>The time horizon used to calculate VaR is one day; however, the one-day VAR is amplified to a 10 days time frame and calculated multiplying the one-day VaR by the square root of 10. This adjustment will be accurate only if the changes in the portfolio in the following days have a normal distribution independent and identically distributed; because of that, the result is multiplied by a non-normality adjustment factor. The limits and consumptions of the VaR are established on the basis of the risk appetite and the trading strategies of each subsidiary.</w:t>
      </w:r>
    </w:p>
    <w:p>
      <w:pPr>
        <w:spacing w:after="0" w:line="144" w:lineRule="exact"/>
        <w:rPr>
          <w:rFonts w:ascii="Arial" w:cs="Arial" w:eastAsia="Arial" w:hAnsi="Arial"/>
          <w:sz w:val="16"/>
          <w:szCs w:val="16"/>
          <w:color w:val="auto"/>
        </w:rPr>
      </w:pPr>
    </w:p>
    <w:p>
      <w:pPr>
        <w:ind w:left="1160" w:right="200"/>
        <w:spacing w:after="0" w:line="255" w:lineRule="auto"/>
        <w:rPr>
          <w:rFonts w:ascii="Arial" w:cs="Arial" w:eastAsia="Arial" w:hAnsi="Arial"/>
          <w:sz w:val="16"/>
          <w:szCs w:val="16"/>
          <w:color w:val="auto"/>
        </w:rPr>
      </w:pPr>
      <w:r>
        <w:rPr>
          <w:rFonts w:ascii="Arial" w:cs="Arial" w:eastAsia="Arial" w:hAnsi="Arial"/>
          <w:sz w:val="16"/>
          <w:szCs w:val="16"/>
          <w:color w:val="auto"/>
        </w:rPr>
        <w:t>The evaluation of the movements of the trading portfolio has been based on annual historical information and 72 market risk factors, which are detailed following: 21 market curves, 31 stock prices, 17 mutual fund values and 2 series of volatility. The Group directly applies these historical changes in rates to each position in its current portfolio (method known as historical simulation).</w:t>
      </w:r>
    </w:p>
    <w:p>
      <w:pPr>
        <w:spacing w:after="0" w:line="137" w:lineRule="exact"/>
        <w:rPr>
          <w:rFonts w:ascii="Arial" w:cs="Arial" w:eastAsia="Arial" w:hAnsi="Arial"/>
          <w:sz w:val="16"/>
          <w:szCs w:val="16"/>
          <w:color w:val="auto"/>
        </w:rPr>
      </w:pPr>
    </w:p>
    <w:p>
      <w:pPr>
        <w:ind w:left="1160" w:right="100"/>
        <w:spacing w:after="0" w:line="274" w:lineRule="auto"/>
        <w:rPr>
          <w:rFonts w:ascii="Arial" w:cs="Arial" w:eastAsia="Arial" w:hAnsi="Arial"/>
          <w:sz w:val="16"/>
          <w:szCs w:val="16"/>
          <w:color w:val="auto"/>
        </w:rPr>
      </w:pPr>
      <w:r>
        <w:rPr>
          <w:rFonts w:ascii="Arial" w:cs="Arial" w:eastAsia="Arial" w:hAnsi="Arial"/>
          <w:sz w:val="16"/>
          <w:szCs w:val="16"/>
          <w:color w:val="auto"/>
        </w:rPr>
        <w:t>The Group Management considers that the market risk factors, incorporated in their VaR model, are adequate to measure the market risk to which its trading portfolio is exposed.</w:t>
      </w:r>
    </w:p>
    <w:p>
      <w:pPr>
        <w:spacing w:after="0" w:line="279" w:lineRule="exact"/>
        <w:rPr>
          <w:rFonts w:ascii="Arial" w:cs="Arial" w:eastAsia="Arial" w:hAnsi="Arial"/>
          <w:sz w:val="16"/>
          <w:szCs w:val="16"/>
          <w:color w:val="auto"/>
        </w:rPr>
      </w:pPr>
    </w:p>
    <w:p>
      <w:pPr>
        <w:ind w:left="5480" w:hanging="88"/>
        <w:spacing w:after="0"/>
        <w:tabs>
          <w:tab w:leader="none" w:pos="5480" w:val="left"/>
        </w:tabs>
        <w:numPr>
          <w:ilvl w:val="2"/>
          <w:numId w:val="186"/>
        </w:numPr>
        <w:rPr>
          <w:rFonts w:ascii="Arial" w:cs="Arial" w:eastAsia="Arial" w:hAnsi="Arial"/>
          <w:sz w:val="16"/>
          <w:szCs w:val="16"/>
          <w:color w:val="auto"/>
        </w:rPr>
      </w:pPr>
      <w:r>
        <w:rPr>
          <w:rFonts w:ascii="Arial" w:cs="Arial" w:eastAsia="Arial" w:hAnsi="Arial"/>
          <w:sz w:val="16"/>
          <w:szCs w:val="16"/>
          <w:color w:val="auto"/>
        </w:rPr>
        <w:t>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80"/>
          </w:cols>
          <w:pgMar w:left="320" w:top="292" w:right="399" w:bottom="1440" w:gutter="0" w:footer="0" w:header="0"/>
        </w:sectPr>
      </w:pPr>
    </w:p>
    <w:bookmarkStart w:id="155" w:name="page156"/>
    <w:bookmarkEnd w:id="155"/>
    <w:p>
      <w:pPr>
        <w:ind w:left="580" w:right="80"/>
        <w:spacing w:after="0" w:line="245" w:lineRule="auto"/>
        <w:rPr>
          <w:sz w:val="20"/>
          <w:szCs w:val="20"/>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may occur, on average under normal market conditions, not more than once every hundred days. VaR limits have been established to control and keep track of all the risks taken. These risks arise from the size of the positions and/or the volatility of the risk factors embedded in each financial instrument. Regular reports are prepared for the Treasury Risk Committee and ALM, the Risk Management Committee and Senior Management.</w:t>
      </w:r>
    </w:p>
    <w:p>
      <w:pPr>
        <w:spacing w:after="0" w:line="146" w:lineRule="exact"/>
        <w:rPr>
          <w:sz w:val="20"/>
          <w:szCs w:val="20"/>
          <w:color w:val="auto"/>
        </w:rPr>
      </w:pPr>
    </w:p>
    <w:p>
      <w:pPr>
        <w:ind w:left="580"/>
        <w:spacing w:after="0" w:line="255" w:lineRule="auto"/>
        <w:rPr>
          <w:sz w:val="20"/>
          <w:szCs w:val="20"/>
          <w:color w:val="auto"/>
        </w:rPr>
      </w:pPr>
      <w:r>
        <w:rPr>
          <w:rFonts w:ascii="Arial" w:cs="Arial" w:eastAsia="Arial" w:hAnsi="Arial"/>
          <w:sz w:val="16"/>
          <w:szCs w:val="16"/>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Treasury Risks and ALM Corporate Committee.</w:t>
      </w:r>
    </w:p>
    <w:p>
      <w:pPr>
        <w:spacing w:after="0" w:line="137" w:lineRule="exact"/>
        <w:rPr>
          <w:sz w:val="20"/>
          <w:szCs w:val="20"/>
          <w:color w:val="auto"/>
        </w:rPr>
      </w:pPr>
    </w:p>
    <w:p>
      <w:pPr>
        <w:ind w:left="580" w:right="360"/>
        <w:spacing w:after="0" w:line="274" w:lineRule="auto"/>
        <w:rPr>
          <w:sz w:val="20"/>
          <w:szCs w:val="20"/>
          <w:color w:val="auto"/>
        </w:rPr>
      </w:pPr>
      <w:r>
        <w:rPr>
          <w:rFonts w:ascii="Arial" w:cs="Arial" w:eastAsia="Arial" w:hAnsi="Arial"/>
          <w:sz w:val="16"/>
          <w:szCs w:val="16"/>
          <w:color w:val="auto"/>
        </w:rPr>
        <w:t>In VaR calculation, the effects of the exchange rate are not included because said effects are measured in the net monetary position, see Note 30.2(b)(ii).</w:t>
      </w:r>
    </w:p>
    <w:p>
      <w:pPr>
        <w:spacing w:after="0" w:line="123" w:lineRule="exact"/>
        <w:rPr>
          <w:sz w:val="20"/>
          <w:szCs w:val="20"/>
          <w:color w:val="auto"/>
        </w:rPr>
      </w:pPr>
    </w:p>
    <w:p>
      <w:pPr>
        <w:ind w:left="580" w:right="60"/>
        <w:spacing w:after="0" w:line="274" w:lineRule="auto"/>
        <w:rPr>
          <w:sz w:val="20"/>
          <w:szCs w:val="20"/>
          <w:color w:val="auto"/>
        </w:rPr>
      </w:pPr>
      <w:r>
        <w:rPr>
          <w:rFonts w:ascii="Arial" w:cs="Arial" w:eastAsia="Arial" w:hAnsi="Arial"/>
          <w:sz w:val="16"/>
          <w:szCs w:val="16"/>
          <w:color w:val="auto"/>
        </w:rPr>
        <w:t>The VaR of the Group remained stable as of December 31, 2025. During the period, the VaR remained within the limits of the appetite for risk established by the Risk Management of each subsidiary.</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7080" w:type="dxa"/>
            <w:vAlign w:val="bottom"/>
            <w:gridSpan w:val="2"/>
          </w:tcPr>
          <w:p>
            <w:pPr>
              <w:spacing w:after="0"/>
              <w:rPr>
                <w:sz w:val="20"/>
                <w:szCs w:val="20"/>
                <w:color w:val="auto"/>
              </w:rPr>
            </w:pPr>
            <w:r>
              <w:rPr>
                <w:rFonts w:ascii="Arial" w:cs="Arial" w:eastAsia="Arial" w:hAnsi="Arial"/>
                <w:sz w:val="16"/>
                <w:szCs w:val="16"/>
                <w:color w:val="auto"/>
              </w:rPr>
              <w:t>As of December 31, 2025 and 2024, the Group’s VaR by risk type is as follows: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58"/>
        </w:trPr>
        <w:tc>
          <w:tcPr>
            <w:tcW w:w="7080" w:type="dxa"/>
            <w:vAlign w:val="bottom"/>
            <w:gridSpan w:val="2"/>
          </w:tcPr>
          <w:p>
            <w:pPr>
              <w:ind w:left="6380"/>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24"/>
                <w:szCs w:val="24"/>
                <w:color w:val="auto"/>
              </w:rPr>
            </w:pPr>
          </w:p>
        </w:tc>
        <w:tc>
          <w:tcPr>
            <w:tcW w:w="172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2024</w:t>
            </w:r>
          </w:p>
        </w:tc>
      </w:tr>
      <w:tr>
        <w:trPr>
          <w:trHeight w:val="214"/>
        </w:trPr>
        <w:tc>
          <w:tcPr>
            <w:tcW w:w="6320" w:type="dxa"/>
            <w:vAlign w:val="bottom"/>
          </w:tcPr>
          <w:p>
            <w:pPr>
              <w:spacing w:after="0"/>
              <w:rPr>
                <w:sz w:val="18"/>
                <w:szCs w:val="18"/>
                <w:color w:val="auto"/>
              </w:rPr>
            </w:pPr>
          </w:p>
        </w:tc>
        <w:tc>
          <w:tcPr>
            <w:tcW w:w="7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r>
      <w:tr>
        <w:trPr>
          <w:trHeight w:val="305"/>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Interest rate risk</w:t>
            </w:r>
          </w:p>
        </w:tc>
        <w:tc>
          <w:tcPr>
            <w:tcW w:w="760" w:type="dxa"/>
            <w:vAlign w:val="bottom"/>
          </w:tcPr>
          <w:p>
            <w:pPr>
              <w:jc w:val="right"/>
              <w:spacing w:after="0"/>
              <w:rPr>
                <w:sz w:val="20"/>
                <w:szCs w:val="20"/>
                <w:color w:val="auto"/>
              </w:rPr>
            </w:pPr>
            <w:r>
              <w:rPr>
                <w:rFonts w:ascii="Arial" w:cs="Arial" w:eastAsia="Arial" w:hAnsi="Arial"/>
                <w:sz w:val="16"/>
                <w:szCs w:val="16"/>
                <w:color w:val="auto"/>
              </w:rPr>
              <w:t>27,569</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29,138</w:t>
            </w:r>
          </w:p>
        </w:tc>
      </w:tr>
      <w:tr>
        <w:trPr>
          <w:trHeight w:val="181"/>
        </w:trPr>
        <w:tc>
          <w:tcPr>
            <w:tcW w:w="7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Price risk</w:t>
            </w: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1,631</w:t>
            </w:r>
          </w:p>
        </w:tc>
        <w:tc>
          <w:tcPr>
            <w:tcW w:w="17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933</w:t>
            </w:r>
          </w:p>
        </w:tc>
      </w:tr>
      <w:tr>
        <w:trPr>
          <w:trHeight w:val="181"/>
        </w:trPr>
        <w:tc>
          <w:tcPr>
            <w:tcW w:w="70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Volatility risk</w:t>
            </w: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286</w:t>
            </w:r>
          </w:p>
        </w:tc>
        <w:tc>
          <w:tcPr>
            <w:tcW w:w="17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462</w:t>
            </w:r>
          </w:p>
        </w:tc>
      </w:tr>
      <w:tr>
        <w:trPr>
          <w:trHeight w:val="198"/>
        </w:trPr>
        <w:tc>
          <w:tcPr>
            <w:tcW w:w="6320" w:type="dxa"/>
            <w:vAlign w:val="bottom"/>
          </w:tcPr>
          <w:p>
            <w:pPr>
              <w:ind w:left="40"/>
              <w:spacing w:after="0"/>
              <w:rPr>
                <w:sz w:val="20"/>
                <w:szCs w:val="20"/>
                <w:color w:val="auto"/>
              </w:rPr>
            </w:pPr>
            <w:r>
              <w:rPr>
                <w:rFonts w:ascii="Arial" w:cs="Arial" w:eastAsia="Arial" w:hAnsi="Arial"/>
                <w:sz w:val="16"/>
                <w:szCs w:val="16"/>
                <w:color w:val="auto"/>
              </w:rPr>
              <w:t>Diversification effect</w:t>
            </w: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200" w:type="dxa"/>
            <w:vAlign w:val="bottom"/>
          </w:tcPr>
          <w:p>
            <w:pPr>
              <w:spacing w:after="0"/>
              <w:rPr>
                <w:sz w:val="17"/>
                <w:szCs w:val="17"/>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(1,685)</w:t>
            </w:r>
          </w:p>
        </w:tc>
      </w:tr>
      <w:tr>
        <w:trPr>
          <w:trHeight w:val="189"/>
        </w:trPr>
        <w:tc>
          <w:tcPr>
            <w:tcW w:w="6320" w:type="dxa"/>
            <w:vAlign w:val="bottom"/>
          </w:tcPr>
          <w:p>
            <w:pPr>
              <w:ind w:left="40"/>
              <w:spacing w:after="0"/>
              <w:rPr>
                <w:sz w:val="20"/>
                <w:szCs w:val="20"/>
                <w:color w:val="auto"/>
              </w:rPr>
            </w:pPr>
            <w:r>
              <w:rPr>
                <w:rFonts w:ascii="Arial" w:cs="Arial" w:eastAsia="Arial" w:hAnsi="Arial"/>
                <w:sz w:val="16"/>
                <w:szCs w:val="16"/>
                <w:color w:val="auto"/>
              </w:rPr>
              <w:t>Consolidated VaR by type of risk</w:t>
            </w: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28,875</w:t>
            </w:r>
          </w:p>
        </w:tc>
        <w:tc>
          <w:tcPr>
            <w:tcW w:w="200" w:type="dxa"/>
            <w:vAlign w:val="bottom"/>
          </w:tcPr>
          <w:p>
            <w:pPr>
              <w:spacing w:after="0"/>
              <w:rPr>
                <w:sz w:val="16"/>
                <w:szCs w:val="16"/>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28,848</w:t>
            </w:r>
          </w:p>
        </w:tc>
      </w:tr>
    </w:tbl>
    <w:p>
      <w:pPr>
        <w:spacing w:after="0" w:line="152" w:lineRule="exact"/>
        <w:rPr>
          <w:sz w:val="20"/>
          <w:szCs w:val="20"/>
          <w:color w:val="auto"/>
        </w:rPr>
      </w:pPr>
    </w:p>
    <w:p>
      <w:pPr>
        <w:ind w:left="580" w:right="380"/>
        <w:spacing w:after="0" w:line="255" w:lineRule="auto"/>
        <w:rPr>
          <w:sz w:val="20"/>
          <w:szCs w:val="20"/>
          <w:color w:val="auto"/>
        </w:rPr>
      </w:pPr>
      <w:r>
        <w:rPr>
          <w:rFonts w:ascii="Arial" w:cs="Arial" w:eastAsia="Arial" w:hAnsi="Arial"/>
          <w:sz w:val="16"/>
          <w:szCs w:val="16"/>
          <w:color w:val="auto"/>
        </w:rPr>
        <w:t>On the other hand, those instruments that are accounted for at fair value through profit or loss and that are not intended for trading are included in the rate and price sensitivity analysis in the following section. See table of earnings sensitivity at risk, net economic value and price sensitivity.</w:t>
      </w:r>
    </w:p>
    <w:p>
      <w:pPr>
        <w:spacing w:after="0" w:line="13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b)</w:t>
        <w:tab/>
        <w:t>Banking Book -</w:t>
      </w:r>
    </w:p>
    <w:p>
      <w:pPr>
        <w:spacing w:after="0" w:line="178" w:lineRule="exact"/>
        <w:rPr>
          <w:sz w:val="20"/>
          <w:szCs w:val="20"/>
          <w:color w:val="auto"/>
        </w:rPr>
      </w:pPr>
    </w:p>
    <w:p>
      <w:pPr>
        <w:ind w:left="280" w:right="80"/>
        <w:spacing w:after="0" w:line="255" w:lineRule="auto"/>
        <w:rPr>
          <w:sz w:val="20"/>
          <w:szCs w:val="20"/>
          <w:color w:val="auto"/>
        </w:rPr>
      </w:pPr>
      <w:r>
        <w:rPr>
          <w:rFonts w:ascii="Arial" w:cs="Arial" w:eastAsia="Arial" w:hAnsi="Arial"/>
          <w:sz w:val="16"/>
          <w:szCs w:val="16"/>
          <w:color w:val="auto"/>
        </w:rPr>
        <w:t>The non-trading portfolios or, belonging to the banking book (“banking book”), are exposed to different risks, since they are sensitive to movements in market rates, which may result in a negative impact on the value of the assets. with respect to its liabilities, and therefore, in its net worth.</w:t>
      </w:r>
    </w:p>
    <w:p>
      <w:pPr>
        <w:spacing w:after="0" w:line="137"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5"/>
          <w:szCs w:val="15"/>
          <w:color w:val="auto"/>
        </w:rPr>
        <w:t>Interest rate risk -</w:t>
      </w:r>
    </w:p>
    <w:p>
      <w:pPr>
        <w:spacing w:after="0" w:line="178" w:lineRule="exact"/>
        <w:rPr>
          <w:sz w:val="20"/>
          <w:szCs w:val="20"/>
          <w:color w:val="auto"/>
        </w:rPr>
      </w:pPr>
    </w:p>
    <w:p>
      <w:pPr>
        <w:ind w:left="280" w:right="80"/>
        <w:spacing w:after="0" w:line="255" w:lineRule="auto"/>
        <w:rPr>
          <w:sz w:val="20"/>
          <w:szCs w:val="20"/>
          <w:color w:val="auto"/>
        </w:rPr>
      </w:pPr>
      <w:r>
        <w:rPr>
          <w:rFonts w:ascii="Arial" w:cs="Arial" w:eastAsia="Arial" w:hAnsi="Arial"/>
          <w:sz w:val="16"/>
          <w:szCs w:val="16"/>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137" w:lineRule="exact"/>
        <w:rPr>
          <w:sz w:val="20"/>
          <w:szCs w:val="20"/>
          <w:color w:val="auto"/>
        </w:rPr>
      </w:pPr>
    </w:p>
    <w:p>
      <w:pPr>
        <w:ind w:left="280" w:right="320"/>
        <w:spacing w:after="0" w:line="274" w:lineRule="auto"/>
        <w:rPr>
          <w:sz w:val="20"/>
          <w:szCs w:val="20"/>
          <w:color w:val="auto"/>
        </w:rPr>
      </w:pPr>
      <w:r>
        <w:rPr>
          <w:rFonts w:ascii="Arial" w:cs="Arial" w:eastAsia="Arial" w:hAnsi="Arial"/>
          <w:sz w:val="16"/>
          <w:szCs w:val="16"/>
          <w:color w:val="auto"/>
        </w:rPr>
        <w:t>The Risk Committee sets the guidelines regarding the level of unmatched repricing of interest rates that can be tolerated, which is periodically monitored through ALCO.</w:t>
      </w:r>
    </w:p>
    <w:p>
      <w:pPr>
        <w:spacing w:after="0" w:line="123" w:lineRule="exact"/>
        <w:rPr>
          <w:sz w:val="20"/>
          <w:szCs w:val="20"/>
          <w:color w:val="auto"/>
        </w:rPr>
      </w:pPr>
    </w:p>
    <w:p>
      <w:pPr>
        <w:ind w:left="280" w:right="340"/>
        <w:spacing w:after="0" w:line="274" w:lineRule="auto"/>
        <w:rPr>
          <w:sz w:val="20"/>
          <w:szCs w:val="20"/>
          <w:color w:val="auto"/>
        </w:rPr>
      </w:pPr>
      <w:r>
        <w:rPr>
          <w:rFonts w:ascii="Arial" w:cs="Arial" w:eastAsia="Arial" w:hAnsi="Arial"/>
          <w:sz w:val="16"/>
          <w:szCs w:val="16"/>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280"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- 151 -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0"/>
          </w:cols>
          <w:pgMar w:left="900" w:top="124" w:right="339" w:bottom="1440" w:gutter="0" w:footer="0" w:header="0"/>
        </w:sectPr>
      </w:pPr>
    </w:p>
    <w:bookmarkStart w:id="156" w:name="page157"/>
    <w:bookmarkEnd w:id="156"/>
    <w:p>
      <w:pPr>
        <w:ind w:right="140"/>
        <w:spacing w:after="0" w:line="245" w:lineRule="auto"/>
        <w:rPr>
          <w:sz w:val="20"/>
          <w:szCs w:val="20"/>
          <w:color w:val="auto"/>
        </w:rPr>
      </w:pPr>
      <w:r>
        <w:rPr>
          <w:rFonts w:ascii="Arial" w:cs="Arial" w:eastAsia="Arial" w:hAnsi="Arial"/>
          <w:sz w:val="16"/>
          <w:szCs w:val="16"/>
          <w:color w:val="auto"/>
        </w:rPr>
        <w:t>In this regard, Group companies that are exposed to the interest rate risk are those that have yields based on interest, such as credits, investments and technical reserves. Interest rate risk management in Banco de Crédito del Perú, Banco de Crédito de Bolivia, Mibanco - Banco de la Microempresa, Mibanco - Banco de la Microempresa de Colombia, ASB Bank Corp and Pacífico Seguros, is carried out by performing a repricing gap analysis, sensitivity analysis of the financial margin (GER) and sensitivity analysis of the net economic value (VEN). These calculations consider different rate shocks, which are generated through different scenario simulations and consider periods of high volatility.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Analysis of repricing gap -</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repricing gap analysis is intended to measure the risk exposure of interest rate for repricing periods, in which both balance and out of balance assets and liabilities are grouped. This allows identifying those sections in which the rate variations would have a potential impact.</w:t>
      </w: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- 152 -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0"/>
          </w:cols>
          <w:pgMar w:left="1180" w:top="124" w:right="359" w:bottom="1440" w:gutter="0" w:footer="0" w:header="0"/>
        </w:sectPr>
      </w:pPr>
    </w:p>
    <w:bookmarkStart w:id="157" w:name="page158"/>
    <w:bookmarkEnd w:id="157"/>
    <w:p>
      <w:pPr>
        <w:ind w:left="4" w:right="20"/>
        <w:spacing w:after="0" w:line="273" w:lineRule="auto"/>
        <w:rPr>
          <w:sz w:val="20"/>
          <w:szCs w:val="20"/>
          <w:color w:val="auto"/>
        </w:rPr>
      </w:pPr>
      <w:r>
        <w:rPr>
          <w:rFonts w:ascii="Arial" w:cs="Arial" w:eastAsia="Arial" w:hAnsi="Arial"/>
          <w:sz w:val="16"/>
          <w:szCs w:val="16"/>
          <w:color w:val="auto"/>
        </w:rPr>
        <w:t>The table below summarizes the Group’s exposure to interest rate risks. It includes the Group’s financial instruments at carrying amounts, categorized by the earlier of contractual re-pricing or maturity dates, what occurs first:</w:t>
      </w:r>
    </w:p>
    <w:p>
      <w:pPr>
        <w:spacing w:after="0" w:line="140" w:lineRule="exact"/>
        <w:rPr>
          <w:sz w:val="20"/>
          <w:szCs w:val="20"/>
          <w:color w:val="auto"/>
        </w:rPr>
      </w:pPr>
    </w:p>
    <w:tbl>
      <w:tblPr>
        <w:tblLayout w:type="fixed"/>
        <w:tblInd w:w="44"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Up to 1</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to 3</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3 to 12</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to 5</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More than</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Non-interest</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0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month</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months</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months</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5 years</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bearing</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26"/>
        </w:trPr>
        <w:tc>
          <w:tcPr>
            <w:tcW w:w="24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Cash and cash collateral, reverse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repurchase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agreements and securities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borrowing</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37,746,584</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759,032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1,095,107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2,167,637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2,882,800</w:t>
            </w: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6,570,497</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51,221,657</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Investments (*)</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2,206,670</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4,454,362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7,626,855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8,288,755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25,180,743</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90,321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47,847,706</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Loans, net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21,146,870</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18,801,001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44,294,644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45,817,210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13,917,135</w:t>
            </w:r>
          </w:p>
        </w:tc>
        <w:tc>
          <w:tcPr>
            <w:tcW w:w="1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(1,661,856)</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142,315,004</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Financial assets designated at fair</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value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through profit or loss</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992,429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992,429</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Reinsurance and insurance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contract assets</w:t>
            </w:r>
          </w:p>
        </w:tc>
        <w:tc>
          <w:tcPr>
            <w:tcW w:w="900" w:type="dxa"/>
            <w:vAlign w:val="bottom"/>
          </w:tcPr>
          <w:p>
            <w:pPr>
              <w:jc w:val="right"/>
              <w:spacing w:after="0"/>
              <w:rPr>
                <w:sz w:val="20"/>
                <w:szCs w:val="20"/>
                <w:color w:val="auto"/>
              </w:rPr>
            </w:pPr>
            <w:r>
              <w:rPr>
                <w:rFonts w:ascii="Arial" w:cs="Arial" w:eastAsia="Arial" w:hAnsi="Arial"/>
                <w:sz w:val="14"/>
                <w:szCs w:val="14"/>
                <w:color w:val="auto"/>
              </w:rPr>
              <w:t>708,560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708,560</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4"/>
                <w:szCs w:val="14"/>
                <w:color w:val="auto"/>
              </w:rPr>
              <w:t>Other assets (**)</w:t>
            </w:r>
          </w:p>
        </w:tc>
        <w:tc>
          <w:tcPr>
            <w:tcW w:w="900" w:type="dxa"/>
            <w:vAlign w:val="bottom"/>
          </w:tcPr>
          <w:p>
            <w:pPr>
              <w:jc w:val="right"/>
              <w:spacing w:after="0"/>
              <w:rPr>
                <w:sz w:val="20"/>
                <w:szCs w:val="20"/>
                <w:color w:val="auto"/>
              </w:rPr>
            </w:pPr>
            <w:r>
              <w:rPr>
                <w:rFonts w:ascii="Arial" w:cs="Arial" w:eastAsia="Arial" w:hAnsi="Arial"/>
                <w:sz w:val="14"/>
                <w:szCs w:val="14"/>
                <w:color w:val="auto"/>
              </w:rPr>
              <w:t>544,074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133,545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72,840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4,708,147</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5,459,938</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0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62,352,758</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24,147,940</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53,017,938</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56,273,602</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42,053,518</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10,699,538</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248,545,294</w:t>
            </w:r>
          </w:p>
        </w:tc>
        <w:tc>
          <w:tcPr>
            <w:tcW w:w="0" w:type="dxa"/>
            <w:vAlign w:val="bottom"/>
          </w:tcPr>
          <w:p>
            <w:pPr>
              <w:spacing w:after="0"/>
              <w:rPr>
                <w:sz w:val="1"/>
                <w:szCs w:val="1"/>
                <w:color w:val="auto"/>
              </w:rPr>
            </w:pPr>
          </w:p>
        </w:tc>
      </w:tr>
      <w:tr>
        <w:trPr>
          <w:trHeight w:val="318"/>
        </w:trPr>
        <w:tc>
          <w:tcPr>
            <w:tcW w:w="240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20"/>
                <w:szCs w:val="20"/>
                <w:color w:val="auto"/>
              </w:rPr>
            </w:pPr>
            <w:r>
              <w:rPr>
                <w:rFonts w:ascii="Arial" w:cs="Arial" w:eastAsia="Arial" w:hAnsi="Arial"/>
                <w:sz w:val="14"/>
                <w:szCs w:val="14"/>
                <w:color w:val="auto"/>
              </w:rPr>
              <w:t>Deposits and obligations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26,910,364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22,259,382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28,940,310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52,514,477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39,448,884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328,216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170,401,633</w:t>
            </w:r>
          </w:p>
        </w:tc>
        <w:tc>
          <w:tcPr>
            <w:tcW w:w="0" w:type="dxa"/>
            <w:vAlign w:val="bottom"/>
          </w:tcPr>
          <w:p>
            <w:pPr>
              <w:spacing w:after="0"/>
              <w:rPr>
                <w:sz w:val="1"/>
                <w:szCs w:val="1"/>
                <w:color w:val="auto"/>
              </w:rPr>
            </w:pPr>
          </w:p>
        </w:tc>
      </w:tr>
      <w:tr>
        <w:trPr>
          <w:trHeight w:val="328"/>
        </w:trPr>
        <w:tc>
          <w:tcPr>
            <w:tcW w:w="2400" w:type="dxa"/>
            <w:vAlign w:val="bottom"/>
          </w:tcPr>
          <w:p>
            <w:pPr>
              <w:spacing w:after="0"/>
              <w:rPr>
                <w:sz w:val="20"/>
                <w:szCs w:val="20"/>
                <w:color w:val="auto"/>
              </w:rPr>
            </w:pPr>
            <w:r>
              <w:rPr>
                <w:rFonts w:ascii="Arial" w:cs="Arial" w:eastAsia="Arial" w:hAnsi="Arial"/>
                <w:sz w:val="14"/>
                <w:szCs w:val="14"/>
                <w:color w:val="auto"/>
              </w:rPr>
              <w:t>Payables from repurchase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agreements and securities lending</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and due to banks and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correspondents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6,438,412</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5,628,624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1,145,888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2,654,255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2,894,222</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157,624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18,919,025</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Insurance and reinsurance contract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tcPr>
          <w:p>
            <w:pPr>
              <w:jc w:val="right"/>
              <w:spacing w:after="0"/>
              <w:rPr>
                <w:sz w:val="20"/>
                <w:szCs w:val="20"/>
                <w:color w:val="auto"/>
              </w:rPr>
            </w:pPr>
            <w:r>
              <w:rPr>
                <w:rFonts w:ascii="Arial" w:cs="Arial" w:eastAsia="Arial" w:hAnsi="Arial"/>
                <w:sz w:val="14"/>
                <w:szCs w:val="14"/>
                <w:color w:val="auto"/>
              </w:rPr>
              <w:t>136,545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210,611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599,093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2,460,841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7,610,781</w:t>
            </w: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3,246,284</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14,264,155</w:t>
            </w:r>
          </w:p>
        </w:tc>
        <w:tc>
          <w:tcPr>
            <w:tcW w:w="0" w:type="dxa"/>
            <w:vAlign w:val="bottom"/>
          </w:tcPr>
          <w:p>
            <w:pPr>
              <w:spacing w:after="0"/>
              <w:rPr>
                <w:sz w:val="1"/>
                <w:szCs w:val="1"/>
                <w:color w:val="auto"/>
              </w:rPr>
            </w:pPr>
          </w:p>
        </w:tc>
      </w:tr>
      <w:tr>
        <w:trPr>
          <w:trHeight w:val="328"/>
        </w:trPr>
        <w:tc>
          <w:tcPr>
            <w:tcW w:w="2400" w:type="dxa"/>
            <w:vAlign w:val="bottom"/>
          </w:tcPr>
          <w:p>
            <w:pPr>
              <w:spacing w:after="0"/>
              <w:rPr>
                <w:sz w:val="20"/>
                <w:szCs w:val="20"/>
                <w:color w:val="auto"/>
              </w:rPr>
            </w:pPr>
            <w:r>
              <w:rPr>
                <w:rFonts w:ascii="Arial" w:cs="Arial" w:eastAsia="Arial" w:hAnsi="Arial"/>
                <w:sz w:val="14"/>
                <w:szCs w:val="14"/>
                <w:color w:val="auto"/>
              </w:rPr>
              <w:t>Financial liabilities at fair value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through profit or loss</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1,055,893</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1,055,893</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Bonds and notes issued</w:t>
            </w:r>
          </w:p>
        </w:tc>
        <w:tc>
          <w:tcPr>
            <w:tcW w:w="900" w:type="dxa"/>
            <w:vAlign w:val="bottom"/>
          </w:tcPr>
          <w:p>
            <w:pPr>
              <w:jc w:val="right"/>
              <w:spacing w:after="0"/>
              <w:rPr>
                <w:sz w:val="20"/>
                <w:szCs w:val="20"/>
                <w:color w:val="auto"/>
              </w:rPr>
            </w:pPr>
            <w:r>
              <w:rPr>
                <w:rFonts w:ascii="Arial" w:cs="Arial" w:eastAsia="Arial" w:hAnsi="Arial"/>
                <w:sz w:val="14"/>
                <w:szCs w:val="14"/>
                <w:color w:val="auto"/>
              </w:rPr>
              <w:t>226,853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423,133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2,866,745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7,532,602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2,707,559</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268,643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14,025,535</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Other liabilities (**)</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1,219,594</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129,525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4,678,502</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6,062,912</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4"/>
                <w:szCs w:val="14"/>
                <w:color w:val="auto"/>
              </w:rPr>
              <w:t>Equity</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39,096,109</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39,096,109</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20"/>
                <w:szCs w:val="20"/>
                <w:color w:val="auto"/>
              </w:rPr>
            </w:pPr>
            <w:r>
              <w:rPr>
                <w:rFonts w:ascii="Arial" w:cs="Arial" w:eastAsia="Arial" w:hAnsi="Arial"/>
                <w:sz w:val="14"/>
                <w:szCs w:val="14"/>
                <w:b w:val="1"/>
                <w:bCs w:val="1"/>
                <w:color w:val="auto"/>
              </w:rPr>
              <w:t>Total liabilities and equity</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34,931,768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28,546,986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33,562,079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65,162,187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52,790,971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48,831,271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263,825,262</w:t>
            </w:r>
          </w:p>
        </w:tc>
        <w:tc>
          <w:tcPr>
            <w:tcW w:w="0" w:type="dxa"/>
            <w:vAlign w:val="bottom"/>
          </w:tcPr>
          <w:p>
            <w:pPr>
              <w:spacing w:after="0"/>
              <w:rPr>
                <w:sz w:val="1"/>
                <w:szCs w:val="1"/>
                <w:color w:val="auto"/>
              </w:rPr>
            </w:pPr>
          </w:p>
        </w:tc>
      </w:tr>
      <w:tr>
        <w:trPr>
          <w:trHeight w:val="318"/>
        </w:trPr>
        <w:tc>
          <w:tcPr>
            <w:tcW w:w="2400" w:type="dxa"/>
            <w:vAlign w:val="bottom"/>
          </w:tcPr>
          <w:p>
            <w:pPr>
              <w:spacing w:after="0"/>
              <w:rPr>
                <w:sz w:val="20"/>
                <w:szCs w:val="20"/>
                <w:color w:val="auto"/>
              </w:rPr>
            </w:pPr>
            <w:r>
              <w:rPr>
                <w:rFonts w:ascii="Arial" w:cs="Arial" w:eastAsia="Arial" w:hAnsi="Arial"/>
                <w:sz w:val="14"/>
                <w:szCs w:val="14"/>
                <w:b w:val="1"/>
                <w:bCs w:val="1"/>
                <w:color w:val="auto"/>
              </w:rPr>
              <w:t>Off-balance-sheet accounts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Derivative financial assets</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353,115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823,935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1,177,050</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4"/>
                <w:szCs w:val="14"/>
                <w:color w:val="auto"/>
              </w:rPr>
              <w:t>Derivative financial liabilities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504,450</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184,965</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502,585</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1,192,000</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(504,450)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353,115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638,970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(502,585)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(14,950)</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20"/>
                <w:szCs w:val="20"/>
                <w:color w:val="auto"/>
              </w:rPr>
            </w:pPr>
            <w:r>
              <w:rPr>
                <w:rFonts w:ascii="Arial" w:cs="Arial" w:eastAsia="Arial" w:hAnsi="Arial"/>
                <w:sz w:val="14"/>
                <w:szCs w:val="14"/>
                <w:b w:val="1"/>
                <w:bCs w:val="1"/>
                <w:color w:val="auto"/>
              </w:rPr>
              <w:t>Marginal gap</w:t>
            </w:r>
          </w:p>
        </w:tc>
        <w:tc>
          <w:tcPr>
            <w:tcW w:w="10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26,916,540</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(4,045,931)</w:t>
            </w: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20,094,829</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(9,391,170)</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(10,737,453)</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(38,131,733)</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(15,294,918)</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20"/>
                <w:szCs w:val="20"/>
                <w:color w:val="auto"/>
              </w:rPr>
            </w:pPr>
            <w:r>
              <w:rPr>
                <w:rFonts w:ascii="Arial" w:cs="Arial" w:eastAsia="Arial" w:hAnsi="Arial"/>
                <w:sz w:val="14"/>
                <w:szCs w:val="14"/>
                <w:color w:val="auto"/>
              </w:rPr>
              <w:t>Accumulated gap</w:t>
            </w: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26,916,540</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22,870,609</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42,965,438</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33,574,268</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22,836,815</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(15,294,918)</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84" w:right="20" w:hanging="284"/>
        <w:spacing w:after="0" w:line="274" w:lineRule="auto"/>
        <w:tabs>
          <w:tab w:leader="none" w:pos="28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123" w:lineRule="exact"/>
        <w:rPr>
          <w:sz w:val="20"/>
          <w:szCs w:val="20"/>
          <w:color w:val="auto"/>
        </w:rPr>
      </w:pPr>
    </w:p>
    <w:p>
      <w:pPr>
        <w:ind w:left="284" w:hanging="284"/>
        <w:spacing w:after="0" w:line="274" w:lineRule="auto"/>
        <w:tabs>
          <w:tab w:leader="none" w:pos="28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Other assets and Other liabilities include only financial instruments, excluding accounts receivable and accounts payable, respectively, arising from trading derivatives.</w:t>
      </w:r>
    </w:p>
    <w:p>
      <w:pPr>
        <w:spacing w:after="0" w:line="279" w:lineRule="exact"/>
        <w:rPr>
          <w:rFonts w:ascii="Arial" w:cs="Arial" w:eastAsia="Arial" w:hAnsi="Arial"/>
          <w:sz w:val="16"/>
          <w:szCs w:val="16"/>
          <w:color w:val="auto"/>
        </w:rPr>
      </w:pPr>
    </w:p>
    <w:p>
      <w:pPr>
        <w:ind w:left="4904" w:hanging="88"/>
        <w:spacing w:after="0"/>
        <w:tabs>
          <w:tab w:leader="none" w:pos="490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153 -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124" w:right="319" w:bottom="1440" w:gutter="0" w:footer="0" w:header="0"/>
        </w:sectPr>
      </w:pPr>
    </w:p>
    <w:bookmarkStart w:id="158" w:name="page159"/>
    <w:bookmarkEnd w:id="158"/>
    <w:tbl>
      <w:tblPr>
        <w:tblLayout w:type="fixed"/>
        <w:tblInd w:w="44"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Up to 1</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3</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3 to 12</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5</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More than</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month</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months</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months</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bearing</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02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2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S/(000)</w:t>
            </w:r>
          </w:p>
        </w:tc>
        <w:tc>
          <w:tcPr>
            <w:tcW w:w="0" w:type="dxa"/>
            <w:vAlign w:val="bottom"/>
          </w:tcPr>
          <w:p>
            <w:pPr>
              <w:spacing w:after="0"/>
              <w:rPr>
                <w:sz w:val="1"/>
                <w:szCs w:val="1"/>
                <w:color w:val="auto"/>
              </w:rPr>
            </w:pPr>
          </w:p>
        </w:tc>
      </w:tr>
      <w:tr>
        <w:trPr>
          <w:trHeight w:val="126"/>
        </w:trPr>
        <w:tc>
          <w:tcPr>
            <w:tcW w:w="24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Cash and cash collateral, reverse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repurchase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agreements and securities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borrowing</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35,573,543</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1,085,329</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1,609,783</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2,012,826</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2,342,288</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6,064,604</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48,688,373</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Investments (*)</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1,548,776</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3,604,634</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10,192,970</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12,690,421</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20,926,450</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147,264</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49,110,515</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Loans, net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19,023,450</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17,337,262</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40,333,482</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46,077,476</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16,239,454</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(1,273,828)</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137,737,296</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Financial assets designated at fair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value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through profit or loss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932,734</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932,734</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Reinsurance and insurance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contract assets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841,170</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841,170</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4"/>
                <w:szCs w:val="14"/>
                <w:color w:val="auto"/>
              </w:rPr>
              <w:t>Other assets (**)</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110,454</w:t>
            </w: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74,073</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3,675,254</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3,859,781</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57,097,393</w:t>
            </w:r>
          </w:p>
        </w:tc>
        <w:tc>
          <w:tcPr>
            <w:tcW w:w="1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22,027,225</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52,136,235</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60,780,723</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39,582,265</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9,546,028</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241,169,869</w:t>
            </w:r>
          </w:p>
        </w:tc>
        <w:tc>
          <w:tcPr>
            <w:tcW w:w="0" w:type="dxa"/>
            <w:vAlign w:val="bottom"/>
          </w:tcPr>
          <w:p>
            <w:pPr>
              <w:spacing w:after="0"/>
              <w:rPr>
                <w:sz w:val="1"/>
                <w:szCs w:val="1"/>
                <w:color w:val="auto"/>
              </w:rPr>
            </w:pPr>
          </w:p>
        </w:tc>
      </w:tr>
      <w:tr>
        <w:trPr>
          <w:trHeight w:val="318"/>
        </w:trPr>
        <w:tc>
          <w:tcPr>
            <w:tcW w:w="240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20"/>
                <w:szCs w:val="20"/>
                <w:color w:val="auto"/>
              </w:rPr>
            </w:pPr>
            <w:r>
              <w:rPr>
                <w:rFonts w:ascii="Arial" w:cs="Arial" w:eastAsia="Arial" w:hAnsi="Arial"/>
                <w:sz w:val="14"/>
                <w:szCs w:val="14"/>
                <w:color w:val="auto"/>
              </w:rPr>
              <w:t>Deposits and obligations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30,965,685</w:t>
            </w:r>
          </w:p>
        </w:tc>
        <w:tc>
          <w:tcPr>
            <w:tcW w:w="10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20,248,915</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35,585,502</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47,713,442</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26,875,898</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452,624</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161,842,066</w:t>
            </w:r>
          </w:p>
        </w:tc>
        <w:tc>
          <w:tcPr>
            <w:tcW w:w="0" w:type="dxa"/>
            <w:vAlign w:val="bottom"/>
          </w:tcPr>
          <w:p>
            <w:pPr>
              <w:spacing w:after="0"/>
              <w:rPr>
                <w:sz w:val="1"/>
                <w:szCs w:val="1"/>
                <w:color w:val="auto"/>
              </w:rPr>
            </w:pPr>
          </w:p>
        </w:tc>
      </w:tr>
      <w:tr>
        <w:trPr>
          <w:trHeight w:val="328"/>
        </w:trPr>
        <w:tc>
          <w:tcPr>
            <w:tcW w:w="2400" w:type="dxa"/>
            <w:vAlign w:val="bottom"/>
          </w:tcPr>
          <w:p>
            <w:pPr>
              <w:spacing w:after="0"/>
              <w:rPr>
                <w:sz w:val="20"/>
                <w:szCs w:val="20"/>
                <w:color w:val="auto"/>
              </w:rPr>
            </w:pPr>
            <w:r>
              <w:rPr>
                <w:rFonts w:ascii="Arial" w:cs="Arial" w:eastAsia="Arial" w:hAnsi="Arial"/>
                <w:sz w:val="14"/>
                <w:szCs w:val="14"/>
                <w:color w:val="auto"/>
              </w:rPr>
              <w:t>Payables from repurchase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agreements and securities lending</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and due to banks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correspondents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3,371,128</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6,893,979</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4,410,854</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1,749,262</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3,074,502</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315,370</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19,815,095</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Insurance and reinsurance contract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liability</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121,965</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189,997</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582,662</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2,149,411</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7,271,617</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3,106,633</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13,422,285</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Financial liabilities at fair value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through</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profit or loss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151,485</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151,485</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Bonds and notes issued</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2,913,005</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2,108,291</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3,977,975</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5,284,838</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2,787,909</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196,425</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17,268,443</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Other liabilities (**)</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442,572</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101,587</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5,220,609</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5,764,772</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4"/>
                <w:szCs w:val="14"/>
                <w:color w:val="auto"/>
              </w:rPr>
              <w:t>Equity</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34,977,234</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34,977,234</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20"/>
                <w:szCs w:val="20"/>
                <w:color w:val="auto"/>
              </w:rPr>
            </w:pPr>
            <w:r>
              <w:rPr>
                <w:rFonts w:ascii="Arial" w:cs="Arial" w:eastAsia="Arial" w:hAnsi="Arial"/>
                <w:sz w:val="14"/>
                <w:szCs w:val="14"/>
                <w:b w:val="1"/>
                <w:bCs w:val="1"/>
                <w:color w:val="auto"/>
              </w:rPr>
              <w:t>Total liabilities and equity</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37,814,355</w:t>
            </w:r>
          </w:p>
        </w:tc>
        <w:tc>
          <w:tcPr>
            <w:tcW w:w="1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29,441,182</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44,556,993</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56,896,957</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40,111,513</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44,420,380</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253,241,380</w:t>
            </w:r>
          </w:p>
        </w:tc>
        <w:tc>
          <w:tcPr>
            <w:tcW w:w="0" w:type="dxa"/>
            <w:vAlign w:val="bottom"/>
          </w:tcPr>
          <w:p>
            <w:pPr>
              <w:spacing w:after="0"/>
              <w:rPr>
                <w:sz w:val="1"/>
                <w:szCs w:val="1"/>
                <w:color w:val="auto"/>
              </w:rPr>
            </w:pPr>
          </w:p>
        </w:tc>
      </w:tr>
      <w:tr>
        <w:trPr>
          <w:trHeight w:val="318"/>
        </w:trPr>
        <w:tc>
          <w:tcPr>
            <w:tcW w:w="2400" w:type="dxa"/>
            <w:vAlign w:val="bottom"/>
          </w:tcPr>
          <w:p>
            <w:pPr>
              <w:spacing w:after="0"/>
              <w:rPr>
                <w:sz w:val="20"/>
                <w:szCs w:val="20"/>
                <w:color w:val="auto"/>
              </w:rPr>
            </w:pPr>
            <w:r>
              <w:rPr>
                <w:rFonts w:ascii="Arial" w:cs="Arial" w:eastAsia="Arial" w:hAnsi="Arial"/>
                <w:sz w:val="14"/>
                <w:szCs w:val="14"/>
                <w:b w:val="1"/>
                <w:bCs w:val="1"/>
                <w:color w:val="auto"/>
              </w:rPr>
              <w:t>Off-balance-sheet accounts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20"/>
                <w:szCs w:val="20"/>
                <w:color w:val="auto"/>
              </w:rPr>
            </w:pPr>
            <w:r>
              <w:rPr>
                <w:rFonts w:ascii="Arial" w:cs="Arial" w:eastAsia="Arial" w:hAnsi="Arial"/>
                <w:sz w:val="14"/>
                <w:szCs w:val="14"/>
                <w:color w:val="auto"/>
              </w:rPr>
              <w:t>Derivative financial assets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865,949</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508,140</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592,591</w:t>
            </w: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564,599</w:t>
            </w: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2,531,279</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4"/>
                <w:szCs w:val="14"/>
                <w:color w:val="auto"/>
              </w:rPr>
              <w:t>Derivative financial liabilities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1,382,049</w:t>
            </w:r>
          </w:p>
        </w:tc>
        <w:tc>
          <w:tcPr>
            <w:tcW w:w="10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112,920</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354,289</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658,699</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2,507,957</w:t>
            </w:r>
          </w:p>
        </w:tc>
        <w:tc>
          <w:tcPr>
            <w:tcW w:w="0" w:type="dxa"/>
            <w:vAlign w:val="bottom"/>
          </w:tcPr>
          <w:p>
            <w:pPr>
              <w:spacing w:after="0"/>
              <w:rPr>
                <w:sz w:val="1"/>
                <w:szCs w:val="1"/>
                <w:color w:val="auto"/>
              </w:rPr>
            </w:pPr>
          </w:p>
        </w:tc>
      </w:tr>
      <w:tr>
        <w:trPr>
          <w:trHeight w:val="173"/>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Marginal gap</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(516,100)</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395,220</w:t>
            </w:r>
          </w:p>
        </w:tc>
        <w:tc>
          <w:tcPr>
            <w:tcW w:w="1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238,302</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(94,100)</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23,322</w:t>
            </w:r>
          </w:p>
        </w:tc>
        <w:tc>
          <w:tcPr>
            <w:tcW w:w="0" w:type="dxa"/>
            <w:vAlign w:val="bottom"/>
          </w:tcPr>
          <w:p>
            <w:pPr>
              <w:spacing w:after="0"/>
              <w:rPr>
                <w:sz w:val="1"/>
                <w:szCs w:val="1"/>
                <w:color w:val="auto"/>
              </w:rPr>
            </w:pPr>
          </w:p>
        </w:tc>
      </w:tr>
      <w:tr>
        <w:trPr>
          <w:trHeight w:val="173"/>
        </w:trPr>
        <w:tc>
          <w:tcPr>
            <w:tcW w:w="2400" w:type="dxa"/>
            <w:vAlign w:val="bottom"/>
            <w:vMerge w:val="continue"/>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18,766,938</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(7,018,737)</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7,817,544</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3,789,666</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(529,248)</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(34,874,352)</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(12,048,189)</w:t>
            </w:r>
          </w:p>
        </w:tc>
        <w:tc>
          <w:tcPr>
            <w:tcW w:w="0" w:type="dxa"/>
            <w:vAlign w:val="bottom"/>
          </w:tcPr>
          <w:p>
            <w:pPr>
              <w:spacing w:after="0"/>
              <w:rPr>
                <w:sz w:val="1"/>
                <w:szCs w:val="1"/>
                <w:color w:val="auto"/>
              </w:rPr>
            </w:pPr>
          </w:p>
        </w:tc>
      </w:tr>
      <w:tr>
        <w:trPr>
          <w:trHeight w:val="177"/>
        </w:trPr>
        <w:tc>
          <w:tcPr>
            <w:tcW w:w="2400" w:type="dxa"/>
            <w:vAlign w:val="bottom"/>
          </w:tcPr>
          <w:p>
            <w:pPr>
              <w:spacing w:after="0"/>
              <w:rPr>
                <w:sz w:val="20"/>
                <w:szCs w:val="20"/>
                <w:color w:val="auto"/>
              </w:rPr>
            </w:pPr>
            <w:r>
              <w:rPr>
                <w:rFonts w:ascii="Arial" w:cs="Arial" w:eastAsia="Arial" w:hAnsi="Arial"/>
                <w:sz w:val="14"/>
                <w:szCs w:val="14"/>
                <w:color w:val="auto"/>
              </w:rPr>
              <w:t>Accumulated gap</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18,766,938</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11,748,201</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19,565,745</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23,355,411</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22,826,163</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(12,048,189)</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84" w:right="20" w:hanging="284"/>
        <w:spacing w:after="0" w:line="274" w:lineRule="auto"/>
        <w:tabs>
          <w:tab w:leader="none" w:pos="28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123" w:lineRule="exact"/>
        <w:rPr>
          <w:sz w:val="20"/>
          <w:szCs w:val="20"/>
          <w:color w:val="auto"/>
        </w:rPr>
      </w:pPr>
    </w:p>
    <w:p>
      <w:pPr>
        <w:ind w:left="284" w:hanging="284"/>
        <w:spacing w:after="0" w:line="274" w:lineRule="auto"/>
        <w:tabs>
          <w:tab w:leader="none" w:pos="28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Other assets and Other liabilities include only financial instruments, excluding accounts receivable and accounts payable, respectively, arising from trading derivatives.</w:t>
      </w:r>
    </w:p>
    <w:p>
      <w:pPr>
        <w:spacing w:after="0" w:line="279" w:lineRule="exact"/>
        <w:rPr>
          <w:rFonts w:ascii="Arial" w:cs="Arial" w:eastAsia="Arial" w:hAnsi="Arial"/>
          <w:sz w:val="16"/>
          <w:szCs w:val="16"/>
          <w:color w:val="auto"/>
        </w:rPr>
      </w:pPr>
    </w:p>
    <w:p>
      <w:pPr>
        <w:ind w:left="4904" w:hanging="88"/>
        <w:spacing w:after="0"/>
        <w:tabs>
          <w:tab w:leader="none" w:pos="490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140" w:right="31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t>Sensitivity to changes in interest rates -</w:t>
      </w:r>
    </w:p>
    <w:p>
      <w:pPr>
        <w:spacing w:after="0" w:line="17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sensitivity analysis of a reasonable possible change in interest rates on the banking book comprises an assessment of the sensitivity of the financial margins that seeks to measure the potential changes in the interest accruals over a period of time and the expected movement of the interest rate curves, as well as the sensitivity of the net economic value, which is a long-term metric measured as the difference arising between the Net Economic Value of assets and liabilities before and after a variation in interest rates.</w:t>
      </w:r>
    </w:p>
    <w:p>
      <w:pPr>
        <w:spacing w:after="0" w:line="144" w:lineRule="exact"/>
        <w:rPr>
          <w:sz w:val="20"/>
          <w:szCs w:val="20"/>
          <w:color w:val="auto"/>
        </w:rPr>
      </w:pPr>
    </w:p>
    <w:p>
      <w:pPr>
        <w:jc w:val="both"/>
        <w:ind w:right="60"/>
        <w:spacing w:after="0" w:line="255" w:lineRule="auto"/>
        <w:rPr>
          <w:sz w:val="20"/>
          <w:szCs w:val="20"/>
          <w:color w:val="auto"/>
        </w:rPr>
      </w:pPr>
      <w:r>
        <w:rPr>
          <w:rFonts w:ascii="Arial" w:cs="Arial" w:eastAsia="Arial" w:hAnsi="Arial"/>
          <w:sz w:val="16"/>
          <w:szCs w:val="16"/>
          <w:color w:val="auto"/>
        </w:rPr>
        <w:t>The sensitivity of the financial margin is the effect of the assumed changes in interest rates on the net financial interest income before income tax and non-controlling interest for one year, based on non-trading financial assets and financial liabilities held as of December 31, 2025, and 2024, including the effect of derivative instruments.</w:t>
      </w:r>
    </w:p>
    <w:p>
      <w:pPr>
        <w:spacing w:after="0" w:line="137"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color w:val="auto"/>
        </w:rPr>
        <w:t>The sensitivity of the Net Economic Value is calculated by reassessing the financial assets and liabilities sensitive to rates, except for the trading instruments, including the effect of any associated hedge, and derivative instruments designated as a cash flow hedge. Regarding rate risk management, no distinction is made by accounting category for the investments that are considered in these calculations.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the sensitivity analysis regarding changes in interest rates at December 31, 2025 and 2024 are presented below:</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ind w:left="40"/>
              <w:spacing w:after="0" w:line="156" w:lineRule="exact"/>
              <w:rPr>
                <w:sz w:val="20"/>
                <w:szCs w:val="20"/>
                <w:color w:val="auto"/>
              </w:rPr>
            </w:pPr>
            <w:r>
              <w:rPr>
                <w:rFonts w:ascii="Arial" w:cs="Arial" w:eastAsia="Arial" w:hAnsi="Arial"/>
                <w:sz w:val="16"/>
                <w:szCs w:val="16"/>
                <w:b w:val="1"/>
                <w:bCs w:val="1"/>
                <w:color w:val="auto"/>
              </w:rPr>
              <w:t>Changes in</w:t>
            </w: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6"/>
                <w:szCs w:val="16"/>
                <w:b w:val="1"/>
                <w:bCs w:val="1"/>
                <w:color w:val="auto"/>
              </w:rPr>
              <w:t>Sensitivity of</w:t>
            </w: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6"/>
                <w:szCs w:val="16"/>
                <w:b w:val="1"/>
                <w:bCs w:val="1"/>
                <w:color w:val="auto"/>
              </w:rPr>
              <w:t>Sensitivity of net</w:t>
            </w:r>
          </w:p>
        </w:tc>
        <w:tc>
          <w:tcPr>
            <w:tcW w:w="920" w:type="dxa"/>
            <w:vAlign w:val="bottom"/>
            <w:tcBorders>
              <w:top w:val="single" w:sz="8" w:color="auto"/>
            </w:tcBorders>
          </w:tcPr>
          <w:p>
            <w:pPr>
              <w:spacing w:after="0"/>
              <w:rPr>
                <w:sz w:val="13"/>
                <w:szCs w:val="13"/>
                <w:color w:val="auto"/>
              </w:rPr>
            </w:pPr>
          </w:p>
        </w:tc>
      </w:tr>
      <w:tr>
        <w:trPr>
          <w:trHeight w:val="198"/>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Currency</w:t>
            </w:r>
          </w:p>
        </w:tc>
        <w:tc>
          <w:tcPr>
            <w:tcW w:w="1520" w:type="dxa"/>
            <w:vAlign w:val="bottom"/>
          </w:tcPr>
          <w:p>
            <w:pPr>
              <w:ind w:left="40"/>
              <w:spacing w:after="0"/>
              <w:rPr>
                <w:sz w:val="20"/>
                <w:szCs w:val="20"/>
                <w:color w:val="auto"/>
              </w:rPr>
            </w:pPr>
            <w:r>
              <w:rPr>
                <w:rFonts w:ascii="Arial" w:cs="Arial" w:eastAsia="Arial" w:hAnsi="Arial"/>
                <w:sz w:val="16"/>
                <w:szCs w:val="16"/>
                <w:b w:val="1"/>
                <w:bCs w:val="1"/>
                <w:color w:val="auto"/>
              </w:rPr>
              <w:t>basis points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auto"/>
              </w:rPr>
              <w:t>net profit</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ind w:left="60"/>
              <w:spacing w:after="0"/>
              <w:rPr>
                <w:sz w:val="20"/>
                <w:szCs w:val="20"/>
                <w:color w:val="auto"/>
              </w:rPr>
            </w:pPr>
            <w:r>
              <w:rPr>
                <w:rFonts w:ascii="Arial" w:cs="Arial" w:eastAsia="Arial" w:hAnsi="Arial"/>
                <w:sz w:val="16"/>
                <w:szCs w:val="16"/>
                <w:b w:val="1"/>
                <w:bCs w:val="1"/>
                <w:color w:val="auto"/>
              </w:rPr>
              <w:t>economic value</w:t>
            </w:r>
          </w:p>
        </w:tc>
        <w:tc>
          <w:tcPr>
            <w:tcW w:w="920" w:type="dxa"/>
            <w:vAlign w:val="bottom"/>
          </w:tcPr>
          <w:p>
            <w:pPr>
              <w:spacing w:after="0"/>
              <w:rPr>
                <w:sz w:val="17"/>
                <w:szCs w:val="17"/>
                <w:color w:val="auto"/>
              </w:rPr>
            </w:pPr>
          </w:p>
        </w:tc>
      </w:tr>
      <w:tr>
        <w:trPr>
          <w:trHeight w:val="214"/>
        </w:trPr>
        <w:tc>
          <w:tcPr>
            <w:tcW w:w="2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920" w:type="dxa"/>
            <w:vAlign w:val="bottom"/>
            <w:tcBorders>
              <w:top w:val="single" w:sz="8" w:color="auto"/>
            </w:tcBorders>
          </w:tcPr>
          <w:p>
            <w:pPr>
              <w:spacing w:after="0"/>
              <w:rPr>
                <w:sz w:val="18"/>
                <w:szCs w:val="18"/>
                <w:color w:val="auto"/>
              </w:rPr>
            </w:pPr>
          </w:p>
        </w:tc>
      </w:tr>
      <w:tr>
        <w:trPr>
          <w:trHeight w:val="305"/>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Soles</w:t>
            </w:r>
          </w:p>
        </w:tc>
        <w:tc>
          <w:tcPr>
            <w:tcW w:w="152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51,429</w:t>
            </w:r>
          </w:p>
        </w:tc>
        <w:tc>
          <w:tcPr>
            <w:tcW w:w="14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297,149</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Soles</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75</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77,143</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445,724</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Soles</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100</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102,857</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594,298</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Soles</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150</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154,286</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891,447</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50</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173,047</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338,248</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75</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259,571</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507,372</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100</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346,095</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676,496</w:t>
            </w:r>
          </w:p>
        </w:tc>
      </w:tr>
      <w:tr>
        <w:trPr>
          <w:trHeight w:val="214"/>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U.S. Dollar</w:t>
            </w:r>
          </w:p>
        </w:tc>
        <w:tc>
          <w:tcPr>
            <w:tcW w:w="152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519,142</w:t>
            </w:r>
          </w:p>
        </w:tc>
        <w:tc>
          <w:tcPr>
            <w:tcW w:w="1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1,014,745</w:t>
            </w:r>
          </w:p>
        </w:tc>
      </w:tr>
      <w:tr>
        <w:trPr>
          <w:trHeight w:val="346"/>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6"/>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ind w:left="40"/>
              <w:spacing w:after="0" w:line="156" w:lineRule="exact"/>
              <w:rPr>
                <w:sz w:val="20"/>
                <w:szCs w:val="20"/>
                <w:color w:val="auto"/>
              </w:rPr>
            </w:pPr>
            <w:r>
              <w:rPr>
                <w:rFonts w:ascii="Arial" w:cs="Arial" w:eastAsia="Arial" w:hAnsi="Arial"/>
                <w:sz w:val="16"/>
                <w:szCs w:val="16"/>
                <w:b w:val="1"/>
                <w:bCs w:val="1"/>
                <w:color w:val="auto"/>
              </w:rPr>
              <w:t>Changes in</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ind w:left="60"/>
              <w:spacing w:after="0" w:line="156" w:lineRule="exact"/>
              <w:rPr>
                <w:sz w:val="20"/>
                <w:szCs w:val="20"/>
                <w:color w:val="auto"/>
              </w:rPr>
            </w:pPr>
            <w:r>
              <w:rPr>
                <w:rFonts w:ascii="Arial" w:cs="Arial" w:eastAsia="Arial" w:hAnsi="Arial"/>
                <w:sz w:val="16"/>
                <w:szCs w:val="16"/>
                <w:b w:val="1"/>
                <w:bCs w:val="1"/>
                <w:color w:val="auto"/>
              </w:rPr>
              <w:t>Sensitivity of</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ind w:left="60"/>
              <w:spacing w:after="0" w:line="156" w:lineRule="exact"/>
              <w:rPr>
                <w:sz w:val="20"/>
                <w:szCs w:val="20"/>
                <w:color w:val="auto"/>
              </w:rPr>
            </w:pPr>
            <w:r>
              <w:rPr>
                <w:rFonts w:ascii="Arial" w:cs="Arial" w:eastAsia="Arial" w:hAnsi="Arial"/>
                <w:sz w:val="16"/>
                <w:szCs w:val="16"/>
                <w:b w:val="1"/>
                <w:bCs w:val="1"/>
                <w:color w:val="auto"/>
              </w:rPr>
              <w:t>Sensitivity of net</w:t>
            </w:r>
          </w:p>
        </w:tc>
        <w:tc>
          <w:tcPr>
            <w:tcW w:w="920" w:type="dxa"/>
            <w:vAlign w:val="bottom"/>
          </w:tcPr>
          <w:p>
            <w:pPr>
              <w:spacing w:after="0"/>
              <w:rPr>
                <w:sz w:val="13"/>
                <w:szCs w:val="13"/>
                <w:color w:val="auto"/>
              </w:rPr>
            </w:pPr>
          </w:p>
        </w:tc>
      </w:tr>
      <w:tr>
        <w:trPr>
          <w:trHeight w:val="210"/>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Currency</w:t>
            </w:r>
          </w:p>
        </w:tc>
        <w:tc>
          <w:tcPr>
            <w:tcW w:w="1520" w:type="dxa"/>
            <w:vAlign w:val="bottom"/>
          </w:tcPr>
          <w:p>
            <w:pPr>
              <w:ind w:left="40"/>
              <w:spacing w:after="0"/>
              <w:rPr>
                <w:sz w:val="20"/>
                <w:szCs w:val="20"/>
                <w:color w:val="auto"/>
              </w:rPr>
            </w:pPr>
            <w:r>
              <w:rPr>
                <w:rFonts w:ascii="Arial" w:cs="Arial" w:eastAsia="Arial" w:hAnsi="Arial"/>
                <w:sz w:val="16"/>
                <w:szCs w:val="16"/>
                <w:b w:val="1"/>
                <w:bCs w:val="1"/>
                <w:color w:val="auto"/>
              </w:rPr>
              <w:t>basis points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auto"/>
              </w:rPr>
              <w:t>net profit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6"/>
                <w:szCs w:val="16"/>
                <w:b w:val="1"/>
                <w:bCs w:val="1"/>
                <w:color w:val="auto"/>
              </w:rPr>
              <w:t>economic value</w:t>
            </w:r>
          </w:p>
        </w:tc>
        <w:tc>
          <w:tcPr>
            <w:tcW w:w="920" w:type="dxa"/>
            <w:vAlign w:val="bottom"/>
          </w:tcPr>
          <w:p>
            <w:pPr>
              <w:spacing w:after="0"/>
              <w:rPr>
                <w:sz w:val="18"/>
                <w:szCs w:val="18"/>
                <w:color w:val="auto"/>
              </w:rPr>
            </w:pPr>
          </w:p>
        </w:tc>
      </w:tr>
      <w:tr>
        <w:trPr>
          <w:trHeight w:val="214"/>
        </w:trPr>
        <w:tc>
          <w:tcPr>
            <w:tcW w:w="2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920" w:type="dxa"/>
            <w:vAlign w:val="bottom"/>
            <w:tcBorders>
              <w:top w:val="single" w:sz="8" w:color="auto"/>
            </w:tcBorders>
          </w:tcPr>
          <w:p>
            <w:pPr>
              <w:spacing w:after="0"/>
              <w:rPr>
                <w:sz w:val="18"/>
                <w:szCs w:val="18"/>
                <w:color w:val="auto"/>
              </w:rPr>
            </w:pPr>
          </w:p>
        </w:tc>
      </w:tr>
      <w:tr>
        <w:trPr>
          <w:trHeight w:val="305"/>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Soles</w:t>
            </w:r>
          </w:p>
        </w:tc>
        <w:tc>
          <w:tcPr>
            <w:tcW w:w="152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30,754</w:t>
            </w:r>
          </w:p>
        </w:tc>
        <w:tc>
          <w:tcPr>
            <w:tcW w:w="14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425,783</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Soles</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75</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46,132</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638,675</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Soles</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100</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61,509</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851,567</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Soles</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150</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92,263</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1,277,350</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50</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134,532</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191,211</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75</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201,798</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286,816</w:t>
            </w:r>
          </w:p>
        </w:tc>
      </w:tr>
      <w:tr>
        <w:trPr>
          <w:trHeight w:val="181"/>
        </w:trPr>
        <w:tc>
          <w:tcPr>
            <w:tcW w:w="262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U.S. Dollar</w:t>
            </w:r>
          </w:p>
        </w:tc>
        <w:tc>
          <w:tcPr>
            <w:tcW w:w="152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100</w:t>
            </w:r>
          </w:p>
        </w:tc>
        <w:tc>
          <w:tcPr>
            <w:tcW w:w="140" w:type="dxa"/>
            <w:vAlign w:val="bottom"/>
          </w:tcPr>
          <w:p>
            <w:pPr>
              <w:spacing w:after="0"/>
              <w:rPr>
                <w:sz w:val="15"/>
                <w:szCs w:val="15"/>
                <w:color w:val="auto"/>
              </w:rPr>
            </w:pPr>
          </w:p>
        </w:tc>
        <w:tc>
          <w:tcPr>
            <w:tcW w:w="142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269,064</w:t>
            </w:r>
          </w:p>
        </w:tc>
        <w:tc>
          <w:tcPr>
            <w:tcW w:w="14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382,421</w:t>
            </w:r>
          </w:p>
        </w:tc>
      </w:tr>
      <w:tr>
        <w:trPr>
          <w:trHeight w:val="214"/>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U.S. Dollar</w:t>
            </w:r>
          </w:p>
        </w:tc>
        <w:tc>
          <w:tcPr>
            <w:tcW w:w="152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403,595</w:t>
            </w:r>
          </w:p>
        </w:tc>
        <w:tc>
          <w:tcPr>
            <w:tcW w:w="1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573,632</w:t>
            </w:r>
          </w:p>
        </w:tc>
      </w:tr>
    </w:tbl>
    <w:p>
      <w:pPr>
        <w:spacing w:after="0" w:line="136"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w:t>
      </w:r>
    </w:p>
    <w:p>
      <w:pPr>
        <w:spacing w:after="0" w:line="294"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- 155 -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0"/>
          </w:cols>
          <w:pgMar w:left="900" w:top="124" w:right="339" w:bottom="1440" w:gutter="0" w:footer="0" w:header="0"/>
        </w:sectPr>
      </w:pPr>
    </w:p>
    <w:bookmarkStart w:id="160" w:name="page161"/>
    <w:bookmarkEnd w:id="160"/>
    <w:p>
      <w:pPr>
        <w:ind w:left="580" w:right="40"/>
        <w:spacing w:after="0" w:line="254" w:lineRule="auto"/>
        <w:rPr>
          <w:sz w:val="20"/>
          <w:szCs w:val="20"/>
          <w:color w:val="auto"/>
        </w:rPr>
      </w:pPr>
      <w:r>
        <w:rPr>
          <w:rFonts w:ascii="Arial" w:cs="Arial" w:eastAsia="Arial" w:hAnsi="Arial"/>
          <w:sz w:val="16"/>
          <w:szCs w:val="16"/>
          <w:color w:val="auto"/>
        </w:rPr>
        <w:t>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w:t>
      </w:r>
    </w:p>
    <w:p>
      <w:pPr>
        <w:spacing w:after="0" w:line="139" w:lineRule="exact"/>
        <w:rPr>
          <w:sz w:val="20"/>
          <w:szCs w:val="20"/>
          <w:color w:val="auto"/>
        </w:rPr>
      </w:pPr>
    </w:p>
    <w:p>
      <w:pPr>
        <w:ind w:left="580" w:right="120"/>
        <w:spacing w:after="0" w:line="255" w:lineRule="auto"/>
        <w:rPr>
          <w:sz w:val="20"/>
          <w:szCs w:val="20"/>
          <w:color w:val="auto"/>
        </w:rPr>
      </w:pPr>
      <w:r>
        <w:rPr>
          <w:rFonts w:ascii="Arial" w:cs="Arial" w:eastAsia="Arial" w:hAnsi="Arial"/>
          <w:sz w:val="16"/>
          <w:szCs w:val="16"/>
          <w:color w:val="auto"/>
        </w:rPr>
        <w:t>As of December 31, 2025 and 2024, investments in equity securities and funds that are non-trading, recorded at fair value through other comprehensive income and at fair value through profit or loss, respectively, are not considered as comprising investment securities for interest rate sensitivity calculation purposes; however, a 10.0, 25.0 and 30.0 percent of changes in market prices is conducted to these price-sensitivity securities.</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market price sensitivity tests as of December 31, 2025 and 2024 are presented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0" w:type="dxa"/>
            <w:vAlign w:val="bottom"/>
          </w:tcPr>
          <w:p>
            <w:pPr>
              <w:spacing w:after="0"/>
              <w:rPr>
                <w:sz w:val="17"/>
                <w:szCs w:val="17"/>
                <w:color w:val="auto"/>
              </w:rPr>
            </w:pPr>
          </w:p>
        </w:tc>
        <w:tc>
          <w:tcPr>
            <w:tcW w:w="26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Equity securities</w:t>
            </w:r>
          </w:p>
        </w:tc>
        <w:tc>
          <w:tcPr>
            <w:tcW w:w="1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349"/>
        </w:trPr>
        <w:tc>
          <w:tcPr>
            <w:tcW w:w="580" w:type="dxa"/>
            <w:vAlign w:val="bottom"/>
          </w:tcPr>
          <w:p>
            <w:pPr>
              <w:spacing w:after="0"/>
              <w:rPr>
                <w:sz w:val="24"/>
                <w:szCs w:val="24"/>
                <w:color w:val="auto"/>
              </w:rPr>
            </w:pPr>
          </w:p>
        </w:tc>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Measured at fair value through</w:t>
            </w:r>
          </w:p>
        </w:tc>
        <w:tc>
          <w:tcPr>
            <w:tcW w:w="1580" w:type="dxa"/>
            <w:vAlign w:val="bottom"/>
          </w:tcPr>
          <w:p>
            <w:pPr>
              <w:ind w:left="40"/>
              <w:spacing w:after="0"/>
              <w:rPr>
                <w:sz w:val="20"/>
                <w:szCs w:val="20"/>
                <w:color w:val="auto"/>
              </w:rPr>
            </w:pPr>
            <w:r>
              <w:rPr>
                <w:rFonts w:ascii="Arial" w:cs="Arial" w:eastAsia="Arial" w:hAnsi="Arial"/>
                <w:sz w:val="16"/>
                <w:szCs w:val="16"/>
                <w:b w:val="1"/>
                <w:bCs w:val="1"/>
                <w:color w:val="auto"/>
              </w:rPr>
              <w:t>Change in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580" w:type="dxa"/>
            <w:vAlign w:val="bottom"/>
          </w:tcPr>
          <w:p>
            <w:pPr>
              <w:ind w:left="40"/>
              <w:spacing w:after="0"/>
              <w:rPr>
                <w:sz w:val="20"/>
                <w:szCs w:val="20"/>
                <w:color w:val="auto"/>
              </w:rPr>
            </w:pPr>
            <w:r>
              <w:rPr>
                <w:rFonts w:ascii="Arial" w:cs="Arial" w:eastAsia="Arial" w:hAnsi="Arial"/>
                <w:sz w:val="16"/>
                <w:szCs w:val="16"/>
                <w:b w:val="1"/>
                <w:bCs w:val="1"/>
                <w:color w:val="auto"/>
              </w:rPr>
              <w:t>market prices</w:t>
            </w:r>
          </w:p>
        </w:tc>
        <w:tc>
          <w:tcPr>
            <w:tcW w:w="2120" w:type="dxa"/>
            <w:vAlign w:val="bottom"/>
            <w:gridSpan w:val="3"/>
          </w:tcPr>
          <w:p>
            <w:pPr>
              <w:ind w:left="1020"/>
              <w:spacing w:after="0"/>
              <w:rPr>
                <w:sz w:val="20"/>
                <w:szCs w:val="20"/>
                <w:color w:val="auto"/>
              </w:rPr>
            </w:pPr>
            <w:r>
              <w:rPr>
                <w:rFonts w:ascii="Arial" w:cs="Arial" w:eastAsia="Arial" w:hAnsi="Arial"/>
                <w:sz w:val="16"/>
                <w:szCs w:val="16"/>
                <w:b w:val="1"/>
                <w:bCs w:val="1"/>
                <w:color w:val="auto"/>
              </w:rPr>
              <w:t>2025</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7"/>
                <w:szCs w:val="17"/>
                <w:color w:val="auto"/>
              </w:rPr>
            </w:pPr>
          </w:p>
        </w:tc>
      </w:tr>
      <w:tr>
        <w:trPr>
          <w:trHeight w:val="156"/>
        </w:trPr>
        <w:tc>
          <w:tcPr>
            <w:tcW w:w="580" w:type="dxa"/>
            <w:vAlign w:val="bottom"/>
          </w:tcPr>
          <w:p>
            <w:pPr>
              <w:spacing w:after="0"/>
              <w:rPr>
                <w:sz w:val="13"/>
                <w:szCs w:val="13"/>
                <w:color w:val="auto"/>
              </w:rPr>
            </w:pPr>
          </w:p>
        </w:tc>
        <w:tc>
          <w:tcPr>
            <w:tcW w:w="2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ind w:left="40"/>
              <w:spacing w:after="0" w:line="156"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6"/>
                <w:szCs w:val="16"/>
                <w:b w:val="1"/>
                <w:bCs w:val="1"/>
                <w:color w:val="auto"/>
              </w:rPr>
              <w:t>S/(000)</w:t>
            </w: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6"/>
                <w:szCs w:val="16"/>
                <w:b w:val="1"/>
                <w:bCs w:val="1"/>
                <w:color w:val="auto"/>
              </w:rPr>
              <w:t>S/(000)</w:t>
            </w:r>
          </w:p>
        </w:tc>
        <w:tc>
          <w:tcPr>
            <w:tcW w:w="560" w:type="dxa"/>
            <w:vAlign w:val="bottom"/>
          </w:tcPr>
          <w:p>
            <w:pPr>
              <w:spacing w:after="0"/>
              <w:rPr>
                <w:sz w:val="13"/>
                <w:szCs w:val="13"/>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Equity securities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9,032</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14,726</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Equity securities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22,581</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36,816</w:t>
            </w:r>
          </w:p>
        </w:tc>
        <w:tc>
          <w:tcPr>
            <w:tcW w:w="560" w:type="dxa"/>
            <w:vAlign w:val="bottom"/>
          </w:tcPr>
          <w:p>
            <w:pPr>
              <w:spacing w:after="0"/>
              <w:rPr>
                <w:sz w:val="15"/>
                <w:szCs w:val="15"/>
                <w:color w:val="auto"/>
              </w:rPr>
            </w:pPr>
          </w:p>
        </w:tc>
      </w:tr>
      <w:tr>
        <w:trPr>
          <w:trHeight w:val="214"/>
        </w:trPr>
        <w:tc>
          <w:tcPr>
            <w:tcW w:w="58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Equity securities</w:t>
            </w:r>
          </w:p>
        </w:tc>
        <w:tc>
          <w:tcPr>
            <w:tcW w:w="15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1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27,097</w:t>
            </w:r>
          </w:p>
        </w:tc>
        <w:tc>
          <w:tcPr>
            <w:tcW w:w="100" w:type="dxa"/>
            <w:vAlign w:val="bottom"/>
          </w:tcPr>
          <w:p>
            <w:pPr>
              <w:spacing w:after="0"/>
              <w:rPr>
                <w:sz w:val="18"/>
                <w:szCs w:val="18"/>
                <w:color w:val="auto"/>
              </w:rPr>
            </w:pPr>
          </w:p>
        </w:tc>
        <w:tc>
          <w:tcPr>
            <w:tcW w:w="2420" w:type="dxa"/>
            <w:vAlign w:val="bottom"/>
          </w:tcPr>
          <w:p>
            <w:pPr>
              <w:jc w:val="right"/>
              <w:ind w:right="20"/>
              <w:spacing w:after="0"/>
              <w:rPr>
                <w:sz w:val="20"/>
                <w:szCs w:val="20"/>
                <w:color w:val="auto"/>
              </w:rPr>
            </w:pPr>
            <w:r>
              <w:rPr>
                <w:rFonts w:ascii="Arial" w:cs="Arial" w:eastAsia="Arial" w:hAnsi="Arial"/>
                <w:sz w:val="16"/>
                <w:szCs w:val="16"/>
                <w:color w:val="auto"/>
              </w:rPr>
              <w:t>44,179</w:t>
            </w:r>
          </w:p>
        </w:tc>
        <w:tc>
          <w:tcPr>
            <w:tcW w:w="560" w:type="dxa"/>
            <w:vAlign w:val="bottom"/>
          </w:tcPr>
          <w:p>
            <w:pPr>
              <w:spacing w:after="0"/>
              <w:rPr>
                <w:sz w:val="18"/>
                <w:szCs w:val="18"/>
                <w:color w:val="auto"/>
              </w:rPr>
            </w:pPr>
          </w:p>
        </w:tc>
      </w:tr>
      <w:tr>
        <w:trPr>
          <w:trHeight w:val="334"/>
        </w:trPr>
        <w:tc>
          <w:tcPr>
            <w:tcW w:w="580" w:type="dxa"/>
            <w:vAlign w:val="bottom"/>
          </w:tcPr>
          <w:p>
            <w:pPr>
              <w:spacing w:after="0"/>
              <w:rPr>
                <w:sz w:val="24"/>
                <w:szCs w:val="24"/>
                <w:color w:val="auto"/>
              </w:rPr>
            </w:pPr>
          </w:p>
        </w:tc>
        <w:tc>
          <w:tcPr>
            <w:tcW w:w="26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Funds</w:t>
            </w: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2640" w:type="dxa"/>
            <w:vAlign w:val="bottom"/>
            <w:gridSpan w:val="2"/>
          </w:tcPr>
          <w:p>
            <w:pPr>
              <w:ind w:left="40"/>
              <w:spacing w:after="0" w:line="156" w:lineRule="exact"/>
              <w:rPr>
                <w:sz w:val="20"/>
                <w:szCs w:val="20"/>
                <w:color w:val="auto"/>
              </w:rPr>
            </w:pPr>
            <w:r>
              <w:rPr>
                <w:rFonts w:ascii="Arial" w:cs="Arial" w:eastAsia="Arial" w:hAnsi="Arial"/>
                <w:sz w:val="16"/>
                <w:szCs w:val="16"/>
                <w:b w:val="1"/>
                <w:bCs w:val="1"/>
                <w:color w:val="auto"/>
              </w:rPr>
              <w:t>Measured at fair value through</w:t>
            </w:r>
          </w:p>
        </w:tc>
        <w:tc>
          <w:tcPr>
            <w:tcW w:w="1580" w:type="dxa"/>
            <w:vAlign w:val="bottom"/>
          </w:tcPr>
          <w:p>
            <w:pPr>
              <w:ind w:left="40"/>
              <w:spacing w:after="0" w:line="156" w:lineRule="exact"/>
              <w:rPr>
                <w:sz w:val="20"/>
                <w:szCs w:val="20"/>
                <w:color w:val="auto"/>
              </w:rPr>
            </w:pPr>
            <w:r>
              <w:rPr>
                <w:rFonts w:ascii="Arial" w:cs="Arial" w:eastAsia="Arial" w:hAnsi="Arial"/>
                <w:sz w:val="16"/>
                <w:szCs w:val="16"/>
                <w:b w:val="1"/>
                <w:bCs w:val="1"/>
                <w:color w:val="auto"/>
              </w:rPr>
              <w:t>Change in</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98"/>
        </w:trPr>
        <w:tc>
          <w:tcPr>
            <w:tcW w:w="580" w:type="dxa"/>
            <w:vAlign w:val="bottom"/>
          </w:tcPr>
          <w:p>
            <w:pPr>
              <w:spacing w:after="0"/>
              <w:rPr>
                <w:sz w:val="17"/>
                <w:szCs w:val="17"/>
                <w:color w:val="auto"/>
              </w:rPr>
            </w:pPr>
          </w:p>
        </w:tc>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profit or loss</w:t>
            </w:r>
          </w:p>
        </w:tc>
        <w:tc>
          <w:tcPr>
            <w:tcW w:w="1580" w:type="dxa"/>
            <w:vAlign w:val="bottom"/>
          </w:tcPr>
          <w:p>
            <w:pPr>
              <w:ind w:left="40"/>
              <w:spacing w:after="0"/>
              <w:rPr>
                <w:sz w:val="20"/>
                <w:szCs w:val="20"/>
                <w:color w:val="auto"/>
              </w:rPr>
            </w:pPr>
            <w:r>
              <w:rPr>
                <w:rFonts w:ascii="Arial" w:cs="Arial" w:eastAsia="Arial" w:hAnsi="Arial"/>
                <w:sz w:val="16"/>
                <w:szCs w:val="16"/>
                <w:b w:val="1"/>
                <w:bCs w:val="1"/>
                <w:color w:val="auto"/>
              </w:rPr>
              <w:t>market prices</w:t>
            </w:r>
          </w:p>
        </w:tc>
        <w:tc>
          <w:tcPr>
            <w:tcW w:w="2120" w:type="dxa"/>
            <w:vAlign w:val="bottom"/>
            <w:gridSpan w:val="3"/>
          </w:tcPr>
          <w:p>
            <w:pPr>
              <w:ind w:left="1020"/>
              <w:spacing w:after="0"/>
              <w:rPr>
                <w:sz w:val="20"/>
                <w:szCs w:val="20"/>
                <w:color w:val="auto"/>
              </w:rPr>
            </w:pPr>
            <w:r>
              <w:rPr>
                <w:rFonts w:ascii="Arial" w:cs="Arial" w:eastAsia="Arial" w:hAnsi="Arial"/>
                <w:sz w:val="16"/>
                <w:szCs w:val="16"/>
                <w:b w:val="1"/>
                <w:bCs w:val="1"/>
                <w:color w:val="auto"/>
              </w:rPr>
              <w:t>2025</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7"/>
                <w:szCs w:val="17"/>
                <w:color w:val="auto"/>
              </w:rPr>
            </w:pPr>
          </w:p>
        </w:tc>
      </w:tr>
      <w:tr>
        <w:trPr>
          <w:trHeight w:val="156"/>
        </w:trPr>
        <w:tc>
          <w:tcPr>
            <w:tcW w:w="580" w:type="dxa"/>
            <w:vAlign w:val="bottom"/>
          </w:tcPr>
          <w:p>
            <w:pPr>
              <w:spacing w:after="0"/>
              <w:rPr>
                <w:sz w:val="13"/>
                <w:szCs w:val="13"/>
                <w:color w:val="auto"/>
              </w:rPr>
            </w:pPr>
          </w:p>
        </w:tc>
        <w:tc>
          <w:tcPr>
            <w:tcW w:w="2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ind w:left="40"/>
              <w:spacing w:after="0" w:line="156"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6"/>
                <w:szCs w:val="16"/>
                <w:b w:val="1"/>
                <w:bCs w:val="1"/>
                <w:color w:val="auto"/>
              </w:rPr>
              <w:t>S/(000)</w:t>
            </w: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6"/>
                <w:szCs w:val="16"/>
                <w:b w:val="1"/>
                <w:bCs w:val="1"/>
                <w:color w:val="auto"/>
              </w:rPr>
              <w:t>S/(000)</w:t>
            </w:r>
          </w:p>
        </w:tc>
        <w:tc>
          <w:tcPr>
            <w:tcW w:w="560" w:type="dxa"/>
            <w:vAlign w:val="bottom"/>
          </w:tcPr>
          <w:p>
            <w:pPr>
              <w:spacing w:after="0"/>
              <w:rPr>
                <w:sz w:val="13"/>
                <w:szCs w:val="13"/>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Participation in mutual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70,494</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62,216</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Participation in mutual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176,234</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155,539</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Participation in mutual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211,481</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186,647</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Restricted mutual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33,616</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31,820</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Restricted mutual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84,040</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79,549</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Restricted mutual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100,848</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95,459</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Participation in RAL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12,539</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43,250</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Participation in RAL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31,348</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108,126</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Participation in RAL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37,618</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129,751</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149,817</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140,196</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374,542</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350,489</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Investment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449,451</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420,587</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Exchange Trade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3,410</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3,931</w:t>
            </w:r>
          </w:p>
        </w:tc>
        <w:tc>
          <w:tcPr>
            <w:tcW w:w="560" w:type="dxa"/>
            <w:vAlign w:val="bottom"/>
          </w:tcPr>
          <w:p>
            <w:pPr>
              <w:spacing w:after="0"/>
              <w:rPr>
                <w:sz w:val="15"/>
                <w:szCs w:val="15"/>
                <w:color w:val="auto"/>
              </w:rPr>
            </w:pPr>
          </w:p>
        </w:tc>
      </w:tr>
      <w:tr>
        <w:trPr>
          <w:trHeight w:val="181"/>
        </w:trPr>
        <w:tc>
          <w:tcPr>
            <w:tcW w:w="580" w:type="dxa"/>
            <w:vAlign w:val="bottom"/>
          </w:tcPr>
          <w:p>
            <w:pPr>
              <w:spacing w:after="0"/>
              <w:rPr>
                <w:sz w:val="15"/>
                <w:szCs w:val="15"/>
                <w:color w:val="auto"/>
              </w:rPr>
            </w:pPr>
          </w:p>
        </w:tc>
        <w:tc>
          <w:tcPr>
            <w:tcW w:w="264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Exchange Trade Funds</w:t>
            </w:r>
          </w:p>
        </w:tc>
        <w:tc>
          <w:tcPr>
            <w:tcW w:w="1580" w:type="dxa"/>
            <w:vAlign w:val="bottom"/>
          </w:tcPr>
          <w:p>
            <w:pPr>
              <w:spacing w:after="0"/>
              <w:rPr>
                <w:sz w:val="15"/>
                <w:szCs w:val="15"/>
                <w:color w:val="auto"/>
              </w:rPr>
            </w:pPr>
          </w:p>
        </w:tc>
        <w:tc>
          <w:tcPr>
            <w:tcW w:w="9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w:t>
            </w:r>
          </w:p>
        </w:tc>
        <w:tc>
          <w:tcPr>
            <w:tcW w:w="116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8,524</w:t>
            </w:r>
          </w:p>
        </w:tc>
        <w:tc>
          <w:tcPr>
            <w:tcW w:w="100" w:type="dxa"/>
            <w:vAlign w:val="bottom"/>
          </w:tcPr>
          <w:p>
            <w:pPr>
              <w:spacing w:after="0"/>
              <w:rPr>
                <w:sz w:val="15"/>
                <w:szCs w:val="15"/>
                <w:color w:val="auto"/>
              </w:rPr>
            </w:pPr>
          </w:p>
        </w:tc>
        <w:tc>
          <w:tcPr>
            <w:tcW w:w="2420" w:type="dxa"/>
            <w:vAlign w:val="bottom"/>
          </w:tcPr>
          <w:p>
            <w:pPr>
              <w:jc w:val="right"/>
              <w:ind w:right="20"/>
              <w:spacing w:after="0" w:line="181" w:lineRule="exact"/>
              <w:rPr>
                <w:sz w:val="20"/>
                <w:szCs w:val="20"/>
                <w:color w:val="auto"/>
              </w:rPr>
            </w:pPr>
            <w:r>
              <w:rPr>
                <w:rFonts w:ascii="Arial" w:cs="Arial" w:eastAsia="Arial" w:hAnsi="Arial"/>
                <w:sz w:val="16"/>
                <w:szCs w:val="16"/>
                <w:color w:val="auto"/>
              </w:rPr>
              <w:t>9,827</w:t>
            </w:r>
          </w:p>
        </w:tc>
        <w:tc>
          <w:tcPr>
            <w:tcW w:w="560" w:type="dxa"/>
            <w:vAlign w:val="bottom"/>
          </w:tcPr>
          <w:p>
            <w:pPr>
              <w:spacing w:after="0"/>
              <w:rPr>
                <w:sz w:val="15"/>
                <w:szCs w:val="15"/>
                <w:color w:val="auto"/>
              </w:rPr>
            </w:pPr>
          </w:p>
        </w:tc>
      </w:tr>
      <w:tr>
        <w:trPr>
          <w:trHeight w:val="214"/>
        </w:trPr>
        <w:tc>
          <w:tcPr>
            <w:tcW w:w="58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Exchange Trade Funds</w:t>
            </w:r>
          </w:p>
        </w:tc>
        <w:tc>
          <w:tcPr>
            <w:tcW w:w="15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1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2420" w:type="dxa"/>
            <w:vAlign w:val="bottom"/>
          </w:tcPr>
          <w:p>
            <w:pPr>
              <w:jc w:val="right"/>
              <w:ind w:right="20"/>
              <w:spacing w:after="0"/>
              <w:rPr>
                <w:sz w:val="20"/>
                <w:szCs w:val="20"/>
                <w:color w:val="auto"/>
              </w:rPr>
            </w:pPr>
            <w:r>
              <w:rPr>
                <w:rFonts w:ascii="Arial" w:cs="Arial" w:eastAsia="Arial" w:hAnsi="Arial"/>
                <w:sz w:val="16"/>
                <w:szCs w:val="16"/>
                <w:color w:val="auto"/>
              </w:rPr>
              <w:t>11,793</w:t>
            </w:r>
          </w:p>
        </w:tc>
        <w:tc>
          <w:tcPr>
            <w:tcW w:w="560" w:type="dxa"/>
            <w:vAlign w:val="bottom"/>
          </w:tcPr>
          <w:p>
            <w:pPr>
              <w:spacing w:after="0"/>
              <w:rPr>
                <w:sz w:val="18"/>
                <w:szCs w:val="18"/>
                <w:color w:val="auto"/>
              </w:rPr>
            </w:pPr>
          </w:p>
        </w:tc>
      </w:tr>
      <w:tr>
        <w:trPr>
          <w:trHeight w:val="519"/>
        </w:trPr>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20" w:type="dxa"/>
            <w:vAlign w:val="bottom"/>
            <w:gridSpan w:val="3"/>
          </w:tcPr>
          <w:p>
            <w:pPr>
              <w:jc w:val="right"/>
              <w:ind w:right="980"/>
              <w:spacing w:after="0"/>
              <w:rPr>
                <w:sz w:val="20"/>
                <w:szCs w:val="20"/>
                <w:color w:val="auto"/>
              </w:rPr>
            </w:pPr>
            <w:r>
              <w:rPr>
                <w:rFonts w:ascii="Arial" w:cs="Arial" w:eastAsia="Arial" w:hAnsi="Arial"/>
                <w:sz w:val="16"/>
                <w:szCs w:val="16"/>
                <w:color w:val="auto"/>
              </w:rPr>
              <w:t>- 156 -</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
        </w:trPr>
        <w:tc>
          <w:tcPr>
            <w:tcW w:w="5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61" w:name="page162"/>
    <w:bookmarkEnd w:id="161"/>
    <w:p>
      <w:pPr>
        <w:ind w:left="295" w:hanging="295"/>
        <w:spacing w:after="0"/>
        <w:tabs>
          <w:tab w:leader="none" w:pos="29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Foreign currency exchange risk –</w:t>
      </w:r>
    </w:p>
    <w:p>
      <w:pPr>
        <w:spacing w:after="0" w:line="177" w:lineRule="exact"/>
        <w:rPr>
          <w:rFonts w:ascii="Arial" w:cs="Arial" w:eastAsia="Arial" w:hAnsi="Arial"/>
          <w:sz w:val="16"/>
          <w:szCs w:val="16"/>
          <w:color w:val="auto"/>
        </w:rPr>
      </w:pPr>
    </w:p>
    <w:p>
      <w:pPr>
        <w:ind w:left="295" w:right="100"/>
        <w:spacing w:after="0" w:line="274" w:lineRule="auto"/>
        <w:rPr>
          <w:rFonts w:ascii="Arial" w:cs="Arial" w:eastAsia="Arial" w:hAnsi="Arial"/>
          <w:sz w:val="16"/>
          <w:szCs w:val="16"/>
          <w:color w:val="auto"/>
        </w:rPr>
      </w:pPr>
      <w:r>
        <w:rPr>
          <w:rFonts w:ascii="Arial" w:cs="Arial" w:eastAsia="Arial" w:hAnsi="Arial"/>
          <w:sz w:val="16"/>
          <w:szCs w:val="16"/>
          <w:color w:val="auto"/>
        </w:rPr>
        <w:t>The Group is exposed to fluctuations in foreign currency exchange rates, which impact net open monetary positions and equity positions in a different currency than the group's functional currency.</w:t>
      </w:r>
    </w:p>
    <w:p>
      <w:pPr>
        <w:spacing w:after="0" w:line="122" w:lineRule="exact"/>
        <w:rPr>
          <w:rFonts w:ascii="Arial" w:cs="Arial" w:eastAsia="Arial" w:hAnsi="Arial"/>
          <w:sz w:val="16"/>
          <w:szCs w:val="16"/>
          <w:color w:val="auto"/>
        </w:rPr>
      </w:pPr>
    </w:p>
    <w:p>
      <w:pPr>
        <w:ind w:left="295"/>
        <w:spacing w:after="0" w:line="245" w:lineRule="auto"/>
        <w:rPr>
          <w:rFonts w:ascii="Arial" w:cs="Arial" w:eastAsia="Arial" w:hAnsi="Arial"/>
          <w:sz w:val="16"/>
          <w:szCs w:val="16"/>
          <w:color w:val="auto"/>
        </w:rPr>
      </w:pPr>
      <w:r>
        <w:rPr>
          <w:rFonts w:ascii="Arial" w:cs="Arial" w:eastAsia="Arial" w:hAnsi="Arial"/>
          <w:sz w:val="16"/>
          <w:szCs w:val="16"/>
          <w:color w:val="auto"/>
        </w:rPr>
        <w:t>The group's monetary position is made up of the net open position of monetary assets, monetary liabilities and off-balance sheet items expressed in foreign currency for which the entity itself assumes the risk; as well as the equity position generated by the investment in the group's subsidiaries whose functional currency is different from soles. In the first case, any appreciation/depreciation of the foreign currency would affect the consolidated income statement, on the contrary, in the case of the equity position, any appreciation/depreciation of the foreign currency will be recognized in the consolidated statement of comprehensive income.</w:t>
      </w:r>
    </w:p>
    <w:p>
      <w:pPr>
        <w:spacing w:after="0" w:line="146" w:lineRule="exact"/>
        <w:rPr>
          <w:rFonts w:ascii="Arial" w:cs="Arial" w:eastAsia="Arial" w:hAnsi="Arial"/>
          <w:sz w:val="16"/>
          <w:szCs w:val="16"/>
          <w:color w:val="auto"/>
        </w:rPr>
      </w:pPr>
    </w:p>
    <w:p>
      <w:pPr>
        <w:ind w:left="295"/>
        <w:spacing w:after="0" w:line="245" w:lineRule="auto"/>
        <w:rPr>
          <w:rFonts w:ascii="Arial" w:cs="Arial" w:eastAsia="Arial" w:hAnsi="Arial"/>
          <w:sz w:val="16"/>
          <w:szCs w:val="16"/>
          <w:color w:val="auto"/>
        </w:rPr>
      </w:pPr>
      <w:r>
        <w:rPr>
          <w:rFonts w:ascii="Arial" w:cs="Arial" w:eastAsia="Arial" w:hAnsi="Arial"/>
          <w:sz w:val="16"/>
          <w:szCs w:val="16"/>
          <w:color w:val="auto"/>
        </w:rPr>
        <w:t>The Group manages foreign currency exchange risk, which affects the consolidated statement of income, by monitoring and controlling currency positions exposed to movements in exchange rates. The market risk units of each subsidiary establish limits for said positions, which are approved by their own committees, and monitor and follow up the limits considering their foreign exchange trading positions, their most structural foreign exchange positions, as well as their sensitivities. Additionally, there is a monetary position limit at the Credicorp level, which is monitored and reported to the Group's Risk Committee.</w:t>
      </w:r>
    </w:p>
    <w:p>
      <w:pPr>
        <w:spacing w:after="0" w:line="146" w:lineRule="exact"/>
        <w:rPr>
          <w:rFonts w:ascii="Arial" w:cs="Arial" w:eastAsia="Arial" w:hAnsi="Arial"/>
          <w:sz w:val="16"/>
          <w:szCs w:val="16"/>
          <w:color w:val="auto"/>
        </w:rPr>
      </w:pPr>
    </w:p>
    <w:p>
      <w:pPr>
        <w:ind w:left="295" w:right="440"/>
        <w:spacing w:after="0" w:line="274" w:lineRule="auto"/>
        <w:rPr>
          <w:rFonts w:ascii="Arial" w:cs="Arial" w:eastAsia="Arial" w:hAnsi="Arial"/>
          <w:sz w:val="16"/>
          <w:szCs w:val="16"/>
          <w:color w:val="auto"/>
        </w:rPr>
      </w:pPr>
      <w:r>
        <w:rPr>
          <w:rFonts w:ascii="Arial" w:cs="Arial" w:eastAsia="Arial" w:hAnsi="Arial"/>
          <w:sz w:val="16"/>
          <w:szCs w:val="16"/>
          <w:color w:val="auto"/>
        </w:rPr>
        <w:t>On the other hand, the Group manages foreign currency exchange risk whose fluctuation is recognized in other comprehensive income, monitoring and controlling equity positions and their sensitivities, which are reported to the Group's Risk Committee.</w:t>
      </w:r>
    </w:p>
    <w:p>
      <w:pPr>
        <w:spacing w:after="0" w:line="122" w:lineRule="exact"/>
        <w:rPr>
          <w:rFonts w:ascii="Arial" w:cs="Arial" w:eastAsia="Arial" w:hAnsi="Arial"/>
          <w:sz w:val="16"/>
          <w:szCs w:val="16"/>
          <w:color w:val="auto"/>
        </w:rPr>
      </w:pPr>
    </w:p>
    <w:p>
      <w:pPr>
        <w:ind w:left="295"/>
        <w:spacing w:after="0"/>
        <w:rPr>
          <w:rFonts w:ascii="Arial" w:cs="Arial" w:eastAsia="Arial" w:hAnsi="Arial"/>
          <w:sz w:val="16"/>
          <w:szCs w:val="16"/>
          <w:color w:val="auto"/>
        </w:rPr>
      </w:pPr>
      <w:r>
        <w:rPr>
          <w:rFonts w:ascii="Arial" w:cs="Arial" w:eastAsia="Arial" w:hAnsi="Arial"/>
          <w:sz w:val="16"/>
          <w:szCs w:val="16"/>
          <w:color w:val="auto"/>
        </w:rPr>
        <w:t>Net foreign exchange gains/losses recognized in the consolidated statement of income are disclosed in the following items:</w:t>
      </w:r>
    </w:p>
    <w:p>
      <w:pPr>
        <w:spacing w:after="0" w:line="177" w:lineRule="exact"/>
        <w:rPr>
          <w:rFonts w:ascii="Arial" w:cs="Arial" w:eastAsia="Arial" w:hAnsi="Arial"/>
          <w:sz w:val="16"/>
          <w:szCs w:val="16"/>
          <w:color w:val="auto"/>
        </w:rPr>
      </w:pPr>
    </w:p>
    <w:p>
      <w:pPr>
        <w:ind w:left="575" w:hanging="285"/>
        <w:spacing w:after="0"/>
        <w:tabs>
          <w:tab w:leader="none" w:pos="57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Net gain on foreign exchange transactions.</w:t>
      </w:r>
    </w:p>
    <w:p>
      <w:pPr>
        <w:spacing w:after="0" w:line="12" w:lineRule="exact"/>
        <w:rPr>
          <w:rFonts w:ascii="Arial" w:cs="Arial" w:eastAsia="Arial" w:hAnsi="Arial"/>
          <w:sz w:val="16"/>
          <w:szCs w:val="16"/>
          <w:color w:val="auto"/>
        </w:rPr>
      </w:pPr>
    </w:p>
    <w:p>
      <w:pPr>
        <w:ind w:left="575" w:hanging="285"/>
        <w:spacing w:after="0" w:line="236" w:lineRule="auto"/>
        <w:tabs>
          <w:tab w:leader="none" w:pos="57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Net gain on derivatives held for trading.</w:t>
      </w:r>
    </w:p>
    <w:p>
      <w:pPr>
        <w:ind w:left="575" w:hanging="285"/>
        <w:spacing w:after="0"/>
        <w:tabs>
          <w:tab w:leader="none" w:pos="57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Net exchange difference result.</w:t>
      </w:r>
    </w:p>
    <w:p>
      <w:pPr>
        <w:spacing w:after="0" w:line="162" w:lineRule="exact"/>
        <w:rPr>
          <w:sz w:val="20"/>
          <w:szCs w:val="20"/>
          <w:color w:val="auto"/>
        </w:rPr>
      </w:pPr>
    </w:p>
    <w:p>
      <w:pPr>
        <w:ind w:left="295" w:right="240"/>
        <w:spacing w:after="0" w:line="274" w:lineRule="auto"/>
        <w:rPr>
          <w:sz w:val="20"/>
          <w:szCs w:val="20"/>
          <w:color w:val="auto"/>
        </w:rPr>
      </w:pPr>
      <w:r>
        <w:rPr>
          <w:rFonts w:ascii="Arial" w:cs="Arial" w:eastAsia="Arial" w:hAnsi="Arial"/>
          <w:sz w:val="16"/>
          <w:szCs w:val="16"/>
          <w:color w:val="auto"/>
        </w:rPr>
        <w:t>As of December 31, 2025, the foreign currency in which the Group has the greatest exposure is the U.S. Dollar. The free market-exchange rate for purchase and sale transactions of each U.S. Dollar as of December 31, 2025 was S/3.363 (S/3.764 as of December 31, 2024).</w:t>
      </w:r>
    </w:p>
    <w:p>
      <w:pPr>
        <w:spacing w:after="0" w:line="280" w:lineRule="exact"/>
        <w:rPr>
          <w:sz w:val="20"/>
          <w:szCs w:val="20"/>
          <w:color w:val="auto"/>
        </w:rPr>
      </w:pPr>
    </w:p>
    <w:p>
      <w:pPr>
        <w:ind w:left="4535"/>
        <w:spacing w:after="0"/>
        <w:rPr>
          <w:sz w:val="20"/>
          <w:szCs w:val="20"/>
          <w:color w:val="auto"/>
        </w:rPr>
      </w:pPr>
      <w:r>
        <w:rPr>
          <w:rFonts w:ascii="Arial" w:cs="Arial" w:eastAsia="Arial" w:hAnsi="Arial"/>
          <w:sz w:val="16"/>
          <w:szCs w:val="16"/>
          <w:color w:val="auto"/>
        </w:rPr>
        <w:t>- 157 -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39370</wp:posOffset>
            </wp:positionV>
            <wp:extent cx="714692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75"/>
          </w:cols>
          <w:pgMar w:left="1185" w:top="124" w:right="339" w:bottom="1440" w:gutter="0" w:footer="0" w:header="0"/>
        </w:sectPr>
      </w:pPr>
    </w:p>
    <w:bookmarkStart w:id="162" w:name="page163"/>
    <w:bookmarkEnd w:id="162"/>
    <w:p>
      <w:pPr>
        <w:ind w:right="480"/>
        <w:spacing w:after="0" w:line="273" w:lineRule="auto"/>
        <w:rPr>
          <w:sz w:val="20"/>
          <w:szCs w:val="20"/>
          <w:color w:val="auto"/>
        </w:rPr>
      </w:pPr>
      <w:r>
        <w:rPr>
          <w:rFonts w:ascii="Arial" w:cs="Arial" w:eastAsia="Arial" w:hAnsi="Arial"/>
          <w:sz w:val="16"/>
          <w:szCs w:val="16"/>
          <w:color w:val="auto"/>
        </w:rPr>
        <w:t>Foreign currency transactions are made at market exchange rates of the countries where Credicorp’s Subsidiaries are established. As of December 31,2025 and 2024, the net open monetary position with effect on results and the equity position of the Group was as follows: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3520" w:type="dxa"/>
            <w:vAlign w:val="bottom"/>
          </w:tcPr>
          <w:p>
            <w:pPr>
              <w:spacing w:after="0"/>
              <w:rPr>
                <w:sz w:val="17"/>
                <w:szCs w:val="17"/>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60"/>
              <w:spacing w:after="0" w:line="168" w:lineRule="exact"/>
              <w:rPr>
                <w:sz w:val="20"/>
                <w:szCs w:val="20"/>
                <w:color w:val="auto"/>
              </w:rPr>
            </w:pPr>
            <w:r>
              <w:rPr>
                <w:rFonts w:ascii="Arial" w:cs="Arial" w:eastAsia="Arial" w:hAnsi="Arial"/>
                <w:sz w:val="16"/>
                <w:szCs w:val="16"/>
                <w:b w:val="1"/>
                <w:bCs w:val="1"/>
                <w:color w:val="auto"/>
              </w:rPr>
              <w:t>Other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60"/>
              <w:spacing w:after="0" w:line="168" w:lineRule="exact"/>
              <w:rPr>
                <w:sz w:val="20"/>
                <w:szCs w:val="20"/>
                <w:color w:val="auto"/>
              </w:rPr>
            </w:pPr>
            <w:r>
              <w:rPr>
                <w:rFonts w:ascii="Arial" w:cs="Arial" w:eastAsia="Arial" w:hAnsi="Arial"/>
                <w:sz w:val="16"/>
                <w:szCs w:val="16"/>
                <w:b w:val="1"/>
                <w:bCs w:val="1"/>
                <w:color w:val="auto"/>
              </w:rPr>
              <w:t>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U.S. Dollar</w:t>
            </w: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currencies</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U.S. Dollar</w:t>
            </w: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currencies</w:t>
            </w:r>
          </w:p>
        </w:tc>
        <w:tc>
          <w:tcPr>
            <w:tcW w:w="102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10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0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0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r>
        <w:trPr>
          <w:trHeight w:val="305"/>
        </w:trPr>
        <w:tc>
          <w:tcPr>
            <w:tcW w:w="3520" w:type="dxa"/>
            <w:vAlign w:val="bottom"/>
          </w:tcPr>
          <w:p>
            <w:pPr>
              <w:spacing w:after="0"/>
              <w:rPr>
                <w:sz w:val="20"/>
                <w:szCs w:val="20"/>
                <w:color w:val="auto"/>
              </w:rPr>
            </w:pPr>
            <w:r>
              <w:rPr>
                <w:rFonts w:ascii="Arial" w:cs="Arial" w:eastAsia="Arial" w:hAnsi="Arial"/>
                <w:sz w:val="16"/>
                <w:szCs w:val="16"/>
                <w:color w:val="auto"/>
              </w:rPr>
              <w:t>Total monetary assets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92,302,409</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403,672</w:t>
            </w:r>
          </w:p>
        </w:tc>
        <w:tc>
          <w:tcPr>
            <w:tcW w:w="10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92,706,081</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93,696,321</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435,107</w:t>
            </w:r>
          </w:p>
        </w:tc>
        <w:tc>
          <w:tcPr>
            <w:tcW w:w="10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94,131,428</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6"/>
                <w:szCs w:val="16"/>
                <w:color w:val="auto"/>
              </w:rPr>
              <w:t>Total monetary liabilities</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(82,319,334)</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(78,107)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(82,397,441)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(86,859,546)</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(104,858)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(86,964,404)</w:t>
            </w:r>
          </w:p>
        </w:tc>
        <w:tc>
          <w:tcPr>
            <w:tcW w:w="0" w:type="dxa"/>
            <w:vAlign w:val="bottom"/>
          </w:tcPr>
          <w:p>
            <w:pPr>
              <w:spacing w:after="0"/>
              <w:rPr>
                <w:sz w:val="1"/>
                <w:szCs w:val="1"/>
                <w:color w:val="auto"/>
              </w:rPr>
            </w:pPr>
          </w:p>
        </w:tc>
      </w:tr>
      <w:tr>
        <w:trPr>
          <w:trHeight w:val="168"/>
        </w:trPr>
        <w:tc>
          <w:tcPr>
            <w:tcW w:w="3520" w:type="dxa"/>
            <w:vAlign w:val="bottom"/>
            <w:vMerge w:val="restart"/>
          </w:tcPr>
          <w:p>
            <w:pPr>
              <w:spacing w:after="0"/>
              <w:rPr>
                <w:sz w:val="20"/>
                <w:szCs w:val="20"/>
                <w:color w:val="auto"/>
              </w:rPr>
            </w:pPr>
            <w:r>
              <w:rPr>
                <w:rFonts w:ascii="Arial" w:cs="Arial" w:eastAsia="Arial" w:hAnsi="Arial"/>
                <w:sz w:val="16"/>
                <w:szCs w:val="16"/>
                <w:color w:val="auto"/>
              </w:rPr>
              <w:t>Currency derivatives</w:t>
            </w:r>
          </w:p>
        </w:tc>
        <w:tc>
          <w:tcPr>
            <w:tcW w:w="10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9,983,075</w:t>
            </w:r>
          </w:p>
        </w:tc>
        <w:tc>
          <w:tcPr>
            <w:tcW w:w="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6"/>
                <w:szCs w:val="16"/>
                <w:color w:val="auto"/>
              </w:rPr>
              <w:t>325,565</w:t>
            </w:r>
          </w:p>
        </w:tc>
        <w:tc>
          <w:tcPr>
            <w:tcW w:w="100" w:type="dxa"/>
            <w:vAlign w:val="bottom"/>
          </w:tcPr>
          <w:p>
            <w:pPr>
              <w:spacing w:after="0"/>
              <w:rPr>
                <w:sz w:val="14"/>
                <w:szCs w:val="14"/>
                <w:color w:val="auto"/>
              </w:rPr>
            </w:pPr>
          </w:p>
        </w:tc>
        <w:tc>
          <w:tcPr>
            <w:tcW w:w="1020" w:type="dxa"/>
            <w:vAlign w:val="bottom"/>
          </w:tcPr>
          <w:p>
            <w:pPr>
              <w:jc w:val="right"/>
              <w:ind w:right="20"/>
              <w:spacing w:after="0" w:line="168" w:lineRule="exact"/>
              <w:rPr>
                <w:sz w:val="20"/>
                <w:szCs w:val="20"/>
                <w:color w:val="auto"/>
              </w:rPr>
            </w:pPr>
            <w:r>
              <w:rPr>
                <w:rFonts w:ascii="Arial" w:cs="Arial" w:eastAsia="Arial" w:hAnsi="Arial"/>
                <w:sz w:val="16"/>
                <w:szCs w:val="16"/>
                <w:color w:val="auto"/>
              </w:rPr>
              <w:t>10,308,640</w:t>
            </w:r>
          </w:p>
        </w:tc>
        <w:tc>
          <w:tcPr>
            <w:tcW w:w="1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6"/>
                <w:szCs w:val="16"/>
                <w:color w:val="auto"/>
              </w:rPr>
              <w:t>6,836,775</w:t>
            </w:r>
          </w:p>
        </w:tc>
        <w:tc>
          <w:tcPr>
            <w:tcW w:w="1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6"/>
                <w:szCs w:val="16"/>
                <w:color w:val="auto"/>
              </w:rPr>
              <w:t>330,249</w:t>
            </w:r>
          </w:p>
        </w:tc>
        <w:tc>
          <w:tcPr>
            <w:tcW w:w="100" w:type="dxa"/>
            <w:vAlign w:val="bottom"/>
          </w:tcPr>
          <w:p>
            <w:pPr>
              <w:spacing w:after="0"/>
              <w:rPr>
                <w:sz w:val="14"/>
                <w:szCs w:val="14"/>
                <w:color w:val="auto"/>
              </w:rPr>
            </w:pPr>
          </w:p>
        </w:tc>
        <w:tc>
          <w:tcPr>
            <w:tcW w:w="1020" w:type="dxa"/>
            <w:vAlign w:val="bottom"/>
          </w:tcPr>
          <w:p>
            <w:pPr>
              <w:jc w:val="right"/>
              <w:ind w:right="20"/>
              <w:spacing w:after="0" w:line="168" w:lineRule="exact"/>
              <w:rPr>
                <w:sz w:val="20"/>
                <w:szCs w:val="20"/>
                <w:color w:val="auto"/>
              </w:rPr>
            </w:pPr>
            <w:r>
              <w:rPr>
                <w:rFonts w:ascii="Arial" w:cs="Arial" w:eastAsia="Arial" w:hAnsi="Arial"/>
                <w:sz w:val="16"/>
                <w:szCs w:val="16"/>
                <w:color w:val="auto"/>
              </w:rPr>
              <w:t>7,167,024</w:t>
            </w:r>
          </w:p>
        </w:tc>
        <w:tc>
          <w:tcPr>
            <w:tcW w:w="0" w:type="dxa"/>
            <w:vAlign w:val="bottom"/>
          </w:tcPr>
          <w:p>
            <w:pPr>
              <w:spacing w:after="0"/>
              <w:rPr>
                <w:sz w:val="1"/>
                <w:szCs w:val="1"/>
                <w:color w:val="auto"/>
              </w:rPr>
            </w:pPr>
          </w:p>
        </w:tc>
      </w:tr>
      <w:tr>
        <w:trPr>
          <w:trHeight w:val="190"/>
        </w:trPr>
        <w:tc>
          <w:tcPr>
            <w:tcW w:w="352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color w:val="auto"/>
              </w:rPr>
              <w:t>(9,163,066)</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174,608</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20"/>
              <w:spacing w:after="0" w:line="181" w:lineRule="exact"/>
              <w:rPr>
                <w:sz w:val="20"/>
                <w:szCs w:val="20"/>
                <w:color w:val="auto"/>
              </w:rPr>
            </w:pPr>
            <w:r>
              <w:rPr>
                <w:rFonts w:ascii="Arial" w:cs="Arial" w:eastAsia="Arial" w:hAnsi="Arial"/>
                <w:sz w:val="16"/>
                <w:szCs w:val="16"/>
                <w:color w:val="auto"/>
              </w:rPr>
              <w:t>(8,988,458)</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(6,142,485)</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144,889</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20"/>
              <w:spacing w:after="0" w:line="181" w:lineRule="exact"/>
              <w:rPr>
                <w:sz w:val="20"/>
                <w:szCs w:val="20"/>
                <w:color w:val="auto"/>
              </w:rPr>
            </w:pPr>
            <w:r>
              <w:rPr>
                <w:rFonts w:ascii="Arial" w:cs="Arial" w:eastAsia="Arial" w:hAnsi="Arial"/>
                <w:sz w:val="16"/>
                <w:szCs w:val="16"/>
                <w:color w:val="auto"/>
              </w:rPr>
              <w:t>(5,997,596)</w:t>
            </w:r>
          </w:p>
        </w:tc>
        <w:tc>
          <w:tcPr>
            <w:tcW w:w="0" w:type="dxa"/>
            <w:vAlign w:val="bottom"/>
          </w:tcPr>
          <w:p>
            <w:pPr>
              <w:spacing w:after="0"/>
              <w:rPr>
                <w:sz w:val="1"/>
                <w:szCs w:val="1"/>
                <w:color w:val="auto"/>
              </w:rPr>
            </w:pPr>
          </w:p>
        </w:tc>
      </w:tr>
      <w:tr>
        <w:trPr>
          <w:trHeight w:val="152"/>
        </w:trPr>
        <w:tc>
          <w:tcPr>
            <w:tcW w:w="3520" w:type="dxa"/>
            <w:vAlign w:val="bottom"/>
          </w:tcPr>
          <w:p>
            <w:pPr>
              <w:spacing w:after="0" w:line="152" w:lineRule="exact"/>
              <w:rPr>
                <w:sz w:val="20"/>
                <w:szCs w:val="20"/>
                <w:color w:val="auto"/>
              </w:rPr>
            </w:pPr>
            <w:r>
              <w:rPr>
                <w:rFonts w:ascii="Arial" w:cs="Arial" w:eastAsia="Arial" w:hAnsi="Arial"/>
                <w:sz w:val="16"/>
                <w:szCs w:val="16"/>
                <w:b w:val="1"/>
                <w:bCs w:val="1"/>
                <w:color w:val="auto"/>
              </w:rPr>
              <w:t>Net monetary position with effect on</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6"/>
                <w:szCs w:val="16"/>
                <w:b w:val="1"/>
                <w:bCs w:val="1"/>
                <w:color w:val="auto"/>
              </w:rPr>
              <w:t>consolidated statement of income</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820,009</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500,173</w:t>
            </w:r>
          </w:p>
        </w:tc>
        <w:tc>
          <w:tcPr>
            <w:tcW w:w="1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1,320,182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694,290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475,138</w:t>
            </w:r>
          </w:p>
        </w:tc>
        <w:tc>
          <w:tcPr>
            <w:tcW w:w="1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1,169,428</w:t>
            </w:r>
          </w:p>
        </w:tc>
        <w:tc>
          <w:tcPr>
            <w:tcW w:w="0" w:type="dxa"/>
            <w:vAlign w:val="bottom"/>
          </w:tcPr>
          <w:p>
            <w:pPr>
              <w:spacing w:after="0"/>
              <w:rPr>
                <w:sz w:val="1"/>
                <w:szCs w:val="1"/>
                <w:color w:val="auto"/>
              </w:rPr>
            </w:pPr>
          </w:p>
        </w:tc>
      </w:tr>
      <w:tr>
        <w:trPr>
          <w:trHeight w:val="362"/>
        </w:trPr>
        <w:tc>
          <w:tcPr>
            <w:tcW w:w="3520" w:type="dxa"/>
            <w:vAlign w:val="bottom"/>
          </w:tcPr>
          <w:p>
            <w:pPr>
              <w:spacing w:after="0"/>
              <w:rPr>
                <w:sz w:val="20"/>
                <w:szCs w:val="20"/>
                <w:color w:val="auto"/>
              </w:rPr>
            </w:pPr>
            <w:r>
              <w:rPr>
                <w:rFonts w:ascii="Arial" w:cs="Arial" w:eastAsia="Arial" w:hAnsi="Arial"/>
                <w:sz w:val="16"/>
                <w:szCs w:val="16"/>
                <w:b w:val="1"/>
                <w:bCs w:val="1"/>
                <w:color w:val="auto"/>
              </w:rPr>
              <w:t>Net monetary position with effect on equity</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1,157,602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2,355,753</w:t>
            </w:r>
          </w:p>
        </w:tc>
        <w:tc>
          <w:tcPr>
            <w:tcW w:w="10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3,513,355</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754,769</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2,291,428</w:t>
            </w:r>
          </w:p>
        </w:tc>
        <w:tc>
          <w:tcPr>
            <w:tcW w:w="10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3,046,197</w:t>
            </w:r>
          </w:p>
        </w:tc>
        <w:tc>
          <w:tcPr>
            <w:tcW w:w="0" w:type="dxa"/>
            <w:vAlign w:val="bottom"/>
          </w:tcPr>
          <w:p>
            <w:pPr>
              <w:spacing w:after="0"/>
              <w:rPr>
                <w:sz w:val="1"/>
                <w:szCs w:val="1"/>
                <w:color w:val="auto"/>
              </w:rPr>
            </w:pPr>
          </w:p>
        </w:tc>
      </w:tr>
      <w:tr>
        <w:trPr>
          <w:trHeight w:val="169"/>
        </w:trPr>
        <w:tc>
          <w:tcPr>
            <w:tcW w:w="3520" w:type="dxa"/>
            <w:vAlign w:val="bottom"/>
            <w:vMerge w:val="restart"/>
          </w:tcPr>
          <w:p>
            <w:pPr>
              <w:spacing w:after="0"/>
              <w:rPr>
                <w:sz w:val="20"/>
                <w:szCs w:val="20"/>
                <w:color w:val="auto"/>
              </w:rPr>
            </w:pPr>
            <w:r>
              <w:rPr>
                <w:rFonts w:ascii="Arial" w:cs="Arial" w:eastAsia="Arial" w:hAnsi="Arial"/>
                <w:sz w:val="16"/>
                <w:szCs w:val="16"/>
                <w:b w:val="1"/>
                <w:bCs w:val="1"/>
                <w:color w:val="auto"/>
              </w:rPr>
              <w:t>Net monetary position</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52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ind w:right="40"/>
              <w:spacing w:after="0" w:line="173" w:lineRule="exact"/>
              <w:rPr>
                <w:sz w:val="20"/>
                <w:szCs w:val="20"/>
                <w:color w:val="auto"/>
              </w:rPr>
            </w:pPr>
            <w:r>
              <w:rPr>
                <w:rFonts w:ascii="Arial" w:cs="Arial" w:eastAsia="Arial" w:hAnsi="Arial"/>
                <w:sz w:val="16"/>
                <w:szCs w:val="16"/>
                <w:color w:val="auto"/>
              </w:rPr>
              <w:t>1,977,611</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2,855,926</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4,833,537</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1,449,059</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2,766,566</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4,215,625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00" w:right="80"/>
        <w:spacing w:after="0" w:line="248" w:lineRule="auto"/>
        <w:rPr>
          <w:sz w:val="20"/>
          <w:szCs w:val="20"/>
          <w:color w:val="auto"/>
        </w:rPr>
      </w:pPr>
      <w:r>
        <w:rPr>
          <w:rFonts w:ascii="Arial" w:cs="Arial" w:eastAsia="Arial" w:hAnsi="Arial"/>
          <w:sz w:val="16"/>
          <w:szCs w:val="16"/>
          <w:color w:val="auto"/>
        </w:rPr>
        <w:t>As of December 31, 2025, the monetary position with effect on equity in other currencies consists mainly of the equity of subsidiaries in Bolivianos for S/799.2 million, in Colombian pesos for S/1,031.4 million, in Chilean pesos for S/522.5 million, among other minor amounts. As of December 31, 2024, the monetary position with effect on equity was in Bolivianos S/962.7 million, in Colombian pesos S/901.3 million, in Chilean pesos S/425.7 million, among other minor items.</w:t>
      </w:r>
    </w:p>
    <w:p>
      <w:pPr>
        <w:spacing w:after="0" w:line="144" w:lineRule="exact"/>
        <w:rPr>
          <w:sz w:val="20"/>
          <w:szCs w:val="20"/>
          <w:color w:val="auto"/>
        </w:rPr>
      </w:pPr>
    </w:p>
    <w:p>
      <w:pPr>
        <w:ind w:left="300"/>
        <w:spacing w:after="0" w:line="245" w:lineRule="auto"/>
        <w:rPr>
          <w:sz w:val="20"/>
          <w:szCs w:val="20"/>
          <w:color w:val="auto"/>
        </w:rPr>
      </w:pPr>
      <w:r>
        <w:rPr>
          <w:rFonts w:ascii="Arial" w:cs="Arial" w:eastAsia="Arial" w:hAnsi="Arial"/>
          <w:sz w:val="16"/>
          <w:szCs w:val="16"/>
          <w:color w:val="auto"/>
        </w:rPr>
        <w:t>Starting in March 2025, Management has decided to use, for the conversion of its investments in companies incorporated in Bolivia, the exchange rate applied by financial institutions, as published on March 14, 2025 in Circular No. 857/2025 issued by the Financial System Supervisory Authority of Bolivia (ASFI), as this determines the value at which Bolivian financial institutions can buy/sell U.S. Dollars. This update has resulted in a decrease in the Group’s consolidated statement of financial position of S/2,315.2 million in assets, S/2,193.8 million in liabilities, and S/121.5 million in equity as of December 31, 2025.</w:t>
      </w:r>
    </w:p>
    <w:p>
      <w:pPr>
        <w:spacing w:after="0" w:line="303"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- 158 -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60"/>
          </w:cols>
          <w:pgMar w:left="600" w:top="124" w:right="339" w:bottom="1440" w:gutter="0" w:footer="0" w:header="0"/>
        </w:sectPr>
      </w:pPr>
    </w:p>
    <w:bookmarkStart w:id="163" w:name="page164"/>
    <w:bookmarkEnd w:id="163"/>
    <w:p>
      <w:pPr>
        <w:ind w:left="580" w:right="160"/>
        <w:spacing w:after="0" w:line="273" w:lineRule="auto"/>
        <w:rPr>
          <w:sz w:val="20"/>
          <w:szCs w:val="20"/>
          <w:color w:val="auto"/>
        </w:rPr>
      </w:pPr>
      <w:r>
        <w:rPr>
          <w:rFonts w:ascii="Arial" w:cs="Arial" w:eastAsia="Arial" w:hAnsi="Arial"/>
          <w:sz w:val="16"/>
          <w:szCs w:val="16"/>
          <w:color w:val="auto"/>
        </w:rPr>
        <w:t>The following tables show the sensitivity analysis of the main currencies to which the Group is exposed, and which affect the consolidated statement of income and other comprehensive income as of December 31, 2025 and 2024.</w:t>
      </w:r>
    </w:p>
    <w:p>
      <w:pPr>
        <w:spacing w:after="0" w:line="124" w:lineRule="exact"/>
        <w:rPr>
          <w:sz w:val="20"/>
          <w:szCs w:val="20"/>
          <w:color w:val="auto"/>
        </w:rPr>
      </w:pPr>
    </w:p>
    <w:p>
      <w:pPr>
        <w:ind w:left="580" w:right="520"/>
        <w:spacing w:after="0" w:line="255" w:lineRule="auto"/>
        <w:rPr>
          <w:sz w:val="20"/>
          <w:szCs w:val="20"/>
          <w:color w:val="auto"/>
        </w:rPr>
      </w:pPr>
      <w:r>
        <w:rPr>
          <w:rFonts w:ascii="Arial" w:cs="Arial" w:eastAsia="Arial" w:hAnsi="Arial"/>
          <w:sz w:val="16"/>
          <w:szCs w:val="16"/>
          <w:color w:val="auto"/>
        </w:rPr>
        <w:t>The analysis determines the effect of a reasonably possible variation of the exchange rate against Sol for each of the currencies independently, considering all other variables constant. A negative amount shows a potential net reduction in the consolidated income statement and other comprehensive income, while a positive amount reflects a potential increase.</w:t>
      </w:r>
    </w:p>
    <w:p>
      <w:pPr>
        <w:spacing w:after="0" w:line="137" w:lineRule="exact"/>
        <w:rPr>
          <w:sz w:val="20"/>
          <w:szCs w:val="20"/>
          <w:color w:val="auto"/>
        </w:rPr>
      </w:pPr>
    </w:p>
    <w:p>
      <w:pPr>
        <w:ind w:left="580" w:right="320"/>
        <w:spacing w:after="0" w:line="274" w:lineRule="auto"/>
        <w:rPr>
          <w:sz w:val="20"/>
          <w:szCs w:val="20"/>
          <w:color w:val="auto"/>
        </w:rPr>
      </w:pPr>
      <w:r>
        <w:rPr>
          <w:rFonts w:ascii="Arial" w:cs="Arial" w:eastAsia="Arial" w:hAnsi="Arial"/>
          <w:sz w:val="16"/>
          <w:szCs w:val="16"/>
          <w:color w:val="auto"/>
        </w:rPr>
        <w:t>The sensitivity analysis of the foreign currency position with an effect on the consolidated income statement as of December 31, 2025 and 2024 is shown below, with the U.S. Dollar as the main currency of exposure:</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 in</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1"/>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40"/>
              <w:spacing w:after="0" w:line="181" w:lineRule="exact"/>
              <w:rPr>
                <w:sz w:val="20"/>
                <w:szCs w:val="20"/>
                <w:color w:val="auto"/>
              </w:rPr>
            </w:pPr>
            <w:r>
              <w:rPr>
                <w:rFonts w:ascii="Arial" w:cs="Arial" w:eastAsia="Arial" w:hAnsi="Arial"/>
                <w:sz w:val="16"/>
                <w:szCs w:val="16"/>
                <w:b w:val="1"/>
                <w:bCs w:val="1"/>
                <w:color w:val="auto"/>
              </w:rPr>
              <w:t>currency</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670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Currency rate sensitivity</w:t>
            </w: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rates</w:t>
            </w:r>
          </w:p>
        </w:tc>
        <w:tc>
          <w:tcPr>
            <w:tcW w:w="1100" w:type="dxa"/>
            <w:vAlign w:val="bottom"/>
          </w:tcPr>
          <w:p>
            <w:pPr>
              <w:ind w:left="6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2024</w:t>
            </w:r>
          </w:p>
        </w:tc>
      </w:tr>
      <w:tr>
        <w:trPr>
          <w:trHeight w:val="172"/>
        </w:trPr>
        <w:tc>
          <w:tcPr>
            <w:tcW w:w="6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ind w:left="40"/>
              <w:spacing w:after="0" w:line="17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100" w:type="dxa"/>
            <w:vAlign w:val="bottom"/>
            <w:tcBorders>
              <w:top w:val="single" w:sz="8" w:color="auto"/>
            </w:tcBorders>
          </w:tcPr>
          <w:p>
            <w:pPr>
              <w:ind w:left="60"/>
              <w:spacing w:after="0" w:line="17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4"/>
                <w:szCs w:val="14"/>
                <w:color w:val="auto"/>
              </w:rPr>
            </w:pPr>
          </w:p>
        </w:tc>
        <w:tc>
          <w:tcPr>
            <w:tcW w:w="1100" w:type="dxa"/>
            <w:vAlign w:val="bottom"/>
            <w:tcBorders>
              <w:top w:val="single" w:sz="8" w:color="auto"/>
            </w:tcBorders>
          </w:tcPr>
          <w:p>
            <w:pPr>
              <w:ind w:left="40"/>
              <w:spacing w:after="0" w:line="172"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80" w:type="dxa"/>
            <w:vAlign w:val="bottom"/>
          </w:tcPr>
          <w:p>
            <w:pPr>
              <w:ind w:left="620"/>
              <w:spacing w:after="0" w:line="165" w:lineRule="exact"/>
              <w:rPr>
                <w:sz w:val="20"/>
                <w:szCs w:val="20"/>
                <w:color w:val="auto"/>
              </w:rPr>
            </w:pPr>
            <w:r>
              <w:rPr>
                <w:rFonts w:ascii="Arial" w:cs="Arial" w:eastAsia="Arial" w:hAnsi="Arial"/>
                <w:sz w:val="16"/>
                <w:szCs w:val="16"/>
                <w:color w:val="auto"/>
              </w:rPr>
              <w:t>Depreciation -</w:t>
            </w:r>
          </w:p>
        </w:tc>
        <w:tc>
          <w:tcPr>
            <w:tcW w:w="4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1"/>
        </w:trPr>
        <w:tc>
          <w:tcPr>
            <w:tcW w:w="4080" w:type="dxa"/>
            <w:vAlign w:val="bottom"/>
          </w:tcPr>
          <w:p>
            <w:pPr>
              <w:ind w:left="620"/>
              <w:spacing w:after="0" w:line="181" w:lineRule="exact"/>
              <w:rPr>
                <w:sz w:val="20"/>
                <w:szCs w:val="20"/>
                <w:color w:val="auto"/>
              </w:rPr>
            </w:pPr>
            <w:r>
              <w:rPr>
                <w:rFonts w:ascii="Arial" w:cs="Arial" w:eastAsia="Arial" w:hAnsi="Arial"/>
                <w:sz w:val="16"/>
                <w:szCs w:val="16"/>
                <w:color w:val="auto"/>
              </w:rPr>
              <w:t>Soles in relation to U.S. Dollar</w:t>
            </w:r>
          </w:p>
        </w:tc>
        <w:tc>
          <w:tcPr>
            <w:tcW w:w="4260" w:type="dxa"/>
            <w:vAlign w:val="bottom"/>
          </w:tcPr>
          <w:p>
            <w:pPr>
              <w:jc w:val="center"/>
              <w:ind w:left="296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280"/>
              <w:spacing w:after="0" w:line="181" w:lineRule="exact"/>
              <w:rPr>
                <w:sz w:val="20"/>
                <w:szCs w:val="20"/>
                <w:color w:val="auto"/>
              </w:rPr>
            </w:pPr>
            <w:r>
              <w:rPr>
                <w:rFonts w:ascii="Arial" w:cs="Arial" w:eastAsia="Arial" w:hAnsi="Arial"/>
                <w:sz w:val="16"/>
                <w:szCs w:val="16"/>
                <w:color w:val="auto"/>
              </w:rPr>
              <w:t>39,048</w:t>
            </w:r>
          </w:p>
        </w:tc>
        <w:tc>
          <w:tcPr>
            <w:tcW w:w="1500" w:type="dxa"/>
            <w:vAlign w:val="bottom"/>
          </w:tcPr>
          <w:p>
            <w:pPr>
              <w:jc w:val="right"/>
              <w:ind w:right="580"/>
              <w:spacing w:after="0" w:line="181" w:lineRule="exact"/>
              <w:rPr>
                <w:sz w:val="20"/>
                <w:szCs w:val="20"/>
                <w:color w:val="auto"/>
              </w:rPr>
            </w:pPr>
            <w:r>
              <w:rPr>
                <w:rFonts w:ascii="Arial" w:cs="Arial" w:eastAsia="Arial" w:hAnsi="Arial"/>
                <w:sz w:val="16"/>
                <w:szCs w:val="16"/>
                <w:color w:val="auto"/>
              </w:rPr>
              <w:t>33,061</w:t>
            </w:r>
          </w:p>
        </w:tc>
      </w:tr>
      <w:tr>
        <w:trPr>
          <w:trHeight w:val="214"/>
        </w:trPr>
        <w:tc>
          <w:tcPr>
            <w:tcW w:w="4080" w:type="dxa"/>
            <w:vAlign w:val="bottom"/>
          </w:tcPr>
          <w:p>
            <w:pPr>
              <w:ind w:left="620"/>
              <w:spacing w:after="0"/>
              <w:rPr>
                <w:sz w:val="20"/>
                <w:szCs w:val="20"/>
                <w:color w:val="auto"/>
              </w:rPr>
            </w:pPr>
            <w:r>
              <w:rPr>
                <w:rFonts w:ascii="Arial" w:cs="Arial" w:eastAsia="Arial" w:hAnsi="Arial"/>
                <w:sz w:val="16"/>
                <w:szCs w:val="16"/>
                <w:color w:val="auto"/>
              </w:rPr>
              <w:t>Soles in relation to U.S. Dollar</w:t>
            </w:r>
          </w:p>
        </w:tc>
        <w:tc>
          <w:tcPr>
            <w:tcW w:w="4260" w:type="dxa"/>
            <w:vAlign w:val="bottom"/>
          </w:tcPr>
          <w:p>
            <w:pPr>
              <w:jc w:val="center"/>
              <w:ind w:left="296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280"/>
              <w:spacing w:after="0"/>
              <w:rPr>
                <w:sz w:val="20"/>
                <w:szCs w:val="20"/>
                <w:color w:val="auto"/>
              </w:rPr>
            </w:pPr>
            <w:r>
              <w:rPr>
                <w:rFonts w:ascii="Arial" w:cs="Arial" w:eastAsia="Arial" w:hAnsi="Arial"/>
                <w:sz w:val="16"/>
                <w:szCs w:val="16"/>
                <w:color w:val="auto"/>
              </w:rPr>
              <w:t>74,546</w:t>
            </w:r>
          </w:p>
        </w:tc>
        <w:tc>
          <w:tcPr>
            <w:tcW w:w="1500" w:type="dxa"/>
            <w:vAlign w:val="bottom"/>
          </w:tcPr>
          <w:p>
            <w:pPr>
              <w:jc w:val="right"/>
              <w:ind w:right="580"/>
              <w:spacing w:after="0"/>
              <w:rPr>
                <w:sz w:val="20"/>
                <w:szCs w:val="20"/>
                <w:color w:val="auto"/>
              </w:rPr>
            </w:pPr>
            <w:r>
              <w:rPr>
                <w:rFonts w:ascii="Arial" w:cs="Arial" w:eastAsia="Arial" w:hAnsi="Arial"/>
                <w:sz w:val="16"/>
                <w:szCs w:val="16"/>
                <w:color w:val="auto"/>
              </w:rPr>
              <w:t>63,117</w:t>
            </w:r>
          </w:p>
        </w:tc>
      </w:tr>
      <w:tr>
        <w:trPr>
          <w:trHeight w:val="329"/>
        </w:trPr>
        <w:tc>
          <w:tcPr>
            <w:tcW w:w="4080" w:type="dxa"/>
            <w:vAlign w:val="bottom"/>
          </w:tcPr>
          <w:p>
            <w:pPr>
              <w:ind w:left="620"/>
              <w:spacing w:after="0"/>
              <w:rPr>
                <w:sz w:val="20"/>
                <w:szCs w:val="20"/>
                <w:color w:val="auto"/>
              </w:rPr>
            </w:pPr>
            <w:r>
              <w:rPr>
                <w:rFonts w:ascii="Arial" w:cs="Arial" w:eastAsia="Arial" w:hAnsi="Arial"/>
                <w:sz w:val="16"/>
                <w:szCs w:val="16"/>
                <w:color w:val="auto"/>
              </w:rPr>
              <w:t>Appreciation -</w:t>
            </w:r>
          </w:p>
        </w:tc>
        <w:tc>
          <w:tcPr>
            <w:tcW w:w="4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1"/>
        </w:trPr>
        <w:tc>
          <w:tcPr>
            <w:tcW w:w="4080" w:type="dxa"/>
            <w:vAlign w:val="bottom"/>
          </w:tcPr>
          <w:p>
            <w:pPr>
              <w:ind w:left="620"/>
              <w:spacing w:after="0" w:line="181" w:lineRule="exact"/>
              <w:rPr>
                <w:sz w:val="20"/>
                <w:szCs w:val="20"/>
                <w:color w:val="auto"/>
              </w:rPr>
            </w:pPr>
            <w:r>
              <w:rPr>
                <w:rFonts w:ascii="Arial" w:cs="Arial" w:eastAsia="Arial" w:hAnsi="Arial"/>
                <w:sz w:val="16"/>
                <w:szCs w:val="16"/>
                <w:color w:val="auto"/>
              </w:rPr>
              <w:t>Soles in relation to U.S. Dollar</w:t>
            </w:r>
          </w:p>
        </w:tc>
        <w:tc>
          <w:tcPr>
            <w:tcW w:w="4260" w:type="dxa"/>
            <w:vAlign w:val="bottom"/>
          </w:tcPr>
          <w:p>
            <w:pPr>
              <w:jc w:val="center"/>
              <w:ind w:left="296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220"/>
              <w:spacing w:after="0" w:line="181" w:lineRule="exact"/>
              <w:rPr>
                <w:sz w:val="20"/>
                <w:szCs w:val="20"/>
                <w:color w:val="auto"/>
              </w:rPr>
            </w:pPr>
            <w:r>
              <w:rPr>
                <w:rFonts w:ascii="Arial" w:cs="Arial" w:eastAsia="Arial" w:hAnsi="Arial"/>
                <w:sz w:val="16"/>
                <w:szCs w:val="16"/>
                <w:color w:val="auto"/>
              </w:rPr>
              <w:t>(43,158)</w:t>
            </w:r>
          </w:p>
        </w:tc>
        <w:tc>
          <w:tcPr>
            <w:tcW w:w="1500" w:type="dxa"/>
            <w:vAlign w:val="bottom"/>
          </w:tcPr>
          <w:p>
            <w:pPr>
              <w:jc w:val="right"/>
              <w:ind w:right="520"/>
              <w:spacing w:after="0" w:line="181" w:lineRule="exact"/>
              <w:rPr>
                <w:sz w:val="20"/>
                <w:szCs w:val="20"/>
                <w:color w:val="auto"/>
              </w:rPr>
            </w:pPr>
            <w:r>
              <w:rPr>
                <w:rFonts w:ascii="Arial" w:cs="Arial" w:eastAsia="Arial" w:hAnsi="Arial"/>
                <w:sz w:val="16"/>
                <w:szCs w:val="16"/>
                <w:color w:val="auto"/>
              </w:rPr>
              <w:t>(36,542)</w:t>
            </w:r>
          </w:p>
        </w:tc>
      </w:tr>
      <w:tr>
        <w:trPr>
          <w:trHeight w:val="214"/>
        </w:trPr>
        <w:tc>
          <w:tcPr>
            <w:tcW w:w="4080" w:type="dxa"/>
            <w:vAlign w:val="bottom"/>
          </w:tcPr>
          <w:p>
            <w:pPr>
              <w:ind w:left="620"/>
              <w:spacing w:after="0"/>
              <w:rPr>
                <w:sz w:val="20"/>
                <w:szCs w:val="20"/>
                <w:color w:val="auto"/>
              </w:rPr>
            </w:pPr>
            <w:r>
              <w:rPr>
                <w:rFonts w:ascii="Arial" w:cs="Arial" w:eastAsia="Arial" w:hAnsi="Arial"/>
                <w:sz w:val="16"/>
                <w:szCs w:val="16"/>
                <w:color w:val="auto"/>
              </w:rPr>
              <w:t>Soles in relation to U.S. Dollar</w:t>
            </w:r>
          </w:p>
        </w:tc>
        <w:tc>
          <w:tcPr>
            <w:tcW w:w="4260" w:type="dxa"/>
            <w:vAlign w:val="bottom"/>
          </w:tcPr>
          <w:p>
            <w:pPr>
              <w:jc w:val="center"/>
              <w:ind w:left="296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220"/>
              <w:spacing w:after="0"/>
              <w:rPr>
                <w:sz w:val="20"/>
                <w:szCs w:val="20"/>
                <w:color w:val="auto"/>
              </w:rPr>
            </w:pPr>
            <w:r>
              <w:rPr>
                <w:rFonts w:ascii="Arial" w:cs="Arial" w:eastAsia="Arial" w:hAnsi="Arial"/>
                <w:sz w:val="16"/>
                <w:szCs w:val="16"/>
                <w:color w:val="auto"/>
              </w:rPr>
              <w:t>(91,112)</w:t>
            </w:r>
          </w:p>
        </w:tc>
        <w:tc>
          <w:tcPr>
            <w:tcW w:w="1500" w:type="dxa"/>
            <w:vAlign w:val="bottom"/>
          </w:tcPr>
          <w:p>
            <w:pPr>
              <w:jc w:val="right"/>
              <w:ind w:right="520"/>
              <w:spacing w:after="0"/>
              <w:rPr>
                <w:sz w:val="20"/>
                <w:szCs w:val="20"/>
                <w:color w:val="auto"/>
              </w:rPr>
            </w:pPr>
            <w:r>
              <w:rPr>
                <w:rFonts w:ascii="Arial" w:cs="Arial" w:eastAsia="Arial" w:hAnsi="Arial"/>
                <w:sz w:val="16"/>
                <w:szCs w:val="16"/>
                <w:color w:val="auto"/>
              </w:rPr>
              <w:t>(77,143)</w:t>
            </w:r>
          </w:p>
        </w:tc>
      </w:tr>
      <w:tr>
        <w:trPr>
          <w:trHeight w:val="507"/>
        </w:trPr>
        <w:tc>
          <w:tcPr>
            <w:tcW w:w="4080" w:type="dxa"/>
            <w:vAlign w:val="bottom"/>
          </w:tcPr>
          <w:p>
            <w:pPr>
              <w:spacing w:after="0"/>
              <w:rPr>
                <w:sz w:val="24"/>
                <w:szCs w:val="24"/>
                <w:color w:val="auto"/>
              </w:rPr>
            </w:pPr>
          </w:p>
        </w:tc>
        <w:tc>
          <w:tcPr>
            <w:tcW w:w="4260" w:type="dxa"/>
            <w:vAlign w:val="bottom"/>
          </w:tcPr>
          <w:p>
            <w:pPr>
              <w:jc w:val="right"/>
              <w:ind w:right="2400"/>
              <w:spacing w:after="0"/>
              <w:rPr>
                <w:sz w:val="20"/>
                <w:szCs w:val="20"/>
                <w:color w:val="auto"/>
              </w:rPr>
            </w:pPr>
            <w:r>
              <w:rPr>
                <w:rFonts w:ascii="Arial" w:cs="Arial" w:eastAsia="Arial" w:hAnsi="Arial"/>
                <w:sz w:val="16"/>
                <w:szCs w:val="16"/>
                <w:color w:val="auto"/>
              </w:rPr>
              <w:t>- 159 -</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
        </w:trPr>
        <w:tc>
          <w:tcPr>
            <w:tcW w:w="408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64" w:name="page165"/>
    <w:bookmarkEnd w:id="164"/>
    <w:p>
      <w:pPr>
        <w:jc w:val="both"/>
        <w:ind w:left="580" w:right="180"/>
        <w:spacing w:after="0" w:line="254" w:lineRule="auto"/>
        <w:rPr>
          <w:sz w:val="20"/>
          <w:szCs w:val="20"/>
          <w:color w:val="auto"/>
        </w:rPr>
      </w:pPr>
      <w:r>
        <w:rPr>
          <w:rFonts w:ascii="Arial" w:cs="Arial" w:eastAsia="Arial" w:hAnsi="Arial"/>
          <w:sz w:val="16"/>
          <w:szCs w:val="16"/>
          <w:color w:val="auto"/>
        </w:rPr>
        <w:t>The following is a sensitivity analysis of the foreign exchange position with effect on the consolidated statement of comprehensive income, with the U.S. Dollar, Boliviano, Colombian peso and Chilean peso as the main currencies of exposure. This analysis is shown as of December 31, 2025 and 2024:</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 in</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1"/>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40"/>
              <w:spacing w:after="0" w:line="181" w:lineRule="exact"/>
              <w:rPr>
                <w:sz w:val="20"/>
                <w:szCs w:val="20"/>
                <w:color w:val="auto"/>
              </w:rPr>
            </w:pPr>
            <w:r>
              <w:rPr>
                <w:rFonts w:ascii="Arial" w:cs="Arial" w:eastAsia="Arial" w:hAnsi="Arial"/>
                <w:sz w:val="16"/>
                <w:szCs w:val="16"/>
                <w:b w:val="1"/>
                <w:bCs w:val="1"/>
                <w:color w:val="auto"/>
              </w:rPr>
              <w:t>currency</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670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Currency rate sensitivity</w:t>
            </w: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rates</w:t>
            </w:r>
          </w:p>
        </w:tc>
        <w:tc>
          <w:tcPr>
            <w:tcW w:w="1000" w:type="dxa"/>
            <w:vAlign w:val="bottom"/>
          </w:tcPr>
          <w:p>
            <w:pPr>
              <w:ind w:left="6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000" w:type="dxa"/>
            <w:vAlign w:val="bottom"/>
          </w:tcPr>
          <w:p>
            <w:pPr>
              <w:ind w:left="40"/>
              <w:spacing w:after="0"/>
              <w:rPr>
                <w:sz w:val="20"/>
                <w:szCs w:val="20"/>
                <w:color w:val="auto"/>
              </w:rPr>
            </w:pPr>
            <w:r>
              <w:rPr>
                <w:rFonts w:ascii="Arial" w:cs="Arial" w:eastAsia="Arial" w:hAnsi="Arial"/>
                <w:sz w:val="16"/>
                <w:szCs w:val="16"/>
                <w:b w:val="1"/>
                <w:bCs w:val="1"/>
                <w:color w:val="auto"/>
              </w:rPr>
              <w:t>2024</w:t>
            </w:r>
          </w:p>
        </w:tc>
      </w:tr>
      <w:tr>
        <w:trPr>
          <w:trHeight w:val="214"/>
        </w:trPr>
        <w:tc>
          <w:tcPr>
            <w:tcW w:w="6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r>
    </w:tbl>
    <w:p>
      <w:pPr>
        <w:spacing w:after="0" w:line="12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780" w:type="dxa"/>
            <w:vAlign w:val="bottom"/>
          </w:tcPr>
          <w:p>
            <w:pPr>
              <w:spacing w:after="0"/>
              <w:rPr>
                <w:sz w:val="20"/>
                <w:szCs w:val="20"/>
                <w:color w:val="auto"/>
              </w:rPr>
            </w:pPr>
            <w:r>
              <w:rPr>
                <w:rFonts w:ascii="Arial" w:cs="Arial" w:eastAsia="Arial" w:hAnsi="Arial"/>
                <w:sz w:val="16"/>
                <w:szCs w:val="16"/>
                <w:color w:val="auto"/>
              </w:rPr>
              <w:t>Depreciation -</w:t>
            </w:r>
          </w:p>
        </w:tc>
        <w:tc>
          <w:tcPr>
            <w:tcW w:w="2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6"/>
                <w:szCs w:val="16"/>
                <w:color w:val="auto"/>
              </w:rPr>
              <w:t>Soles in relation to U.S. Dollar</w:t>
            </w:r>
          </w:p>
        </w:tc>
        <w:tc>
          <w:tcPr>
            <w:tcW w:w="2900" w:type="dxa"/>
            <w:vAlign w:val="bottom"/>
          </w:tcPr>
          <w:p>
            <w:pPr>
              <w:jc w:val="center"/>
              <w:ind w:left="168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240"/>
              <w:spacing w:after="0" w:line="181" w:lineRule="exact"/>
              <w:rPr>
                <w:sz w:val="20"/>
                <w:szCs w:val="20"/>
                <w:color w:val="auto"/>
              </w:rPr>
            </w:pPr>
            <w:r>
              <w:rPr>
                <w:rFonts w:ascii="Arial" w:cs="Arial" w:eastAsia="Arial" w:hAnsi="Arial"/>
                <w:sz w:val="16"/>
                <w:szCs w:val="16"/>
                <w:color w:val="auto"/>
              </w:rPr>
              <w:t>55,124</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35,941</w:t>
            </w:r>
          </w:p>
        </w:tc>
      </w:tr>
      <w:tr>
        <w:trPr>
          <w:trHeight w:val="214"/>
        </w:trPr>
        <w:tc>
          <w:tcPr>
            <w:tcW w:w="4780" w:type="dxa"/>
            <w:vAlign w:val="bottom"/>
          </w:tcPr>
          <w:p>
            <w:pPr>
              <w:spacing w:after="0"/>
              <w:rPr>
                <w:sz w:val="20"/>
                <w:szCs w:val="20"/>
                <w:color w:val="auto"/>
              </w:rPr>
            </w:pPr>
            <w:r>
              <w:rPr>
                <w:rFonts w:ascii="Arial" w:cs="Arial" w:eastAsia="Arial" w:hAnsi="Arial"/>
                <w:sz w:val="16"/>
                <w:szCs w:val="16"/>
                <w:color w:val="auto"/>
              </w:rPr>
              <w:t>Soles in relation to U.S. Dollar</w:t>
            </w:r>
          </w:p>
        </w:tc>
        <w:tc>
          <w:tcPr>
            <w:tcW w:w="2900" w:type="dxa"/>
            <w:vAlign w:val="bottom"/>
          </w:tcPr>
          <w:p>
            <w:pPr>
              <w:jc w:val="center"/>
              <w:ind w:left="168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105,237</w:t>
            </w:r>
          </w:p>
        </w:tc>
        <w:tc>
          <w:tcPr>
            <w:tcW w:w="940" w:type="dxa"/>
            <w:vAlign w:val="bottom"/>
          </w:tcPr>
          <w:p>
            <w:pPr>
              <w:jc w:val="right"/>
              <w:spacing w:after="0"/>
              <w:rPr>
                <w:sz w:val="20"/>
                <w:szCs w:val="20"/>
                <w:color w:val="auto"/>
              </w:rPr>
            </w:pPr>
            <w:r>
              <w:rPr>
                <w:rFonts w:ascii="Arial" w:cs="Arial" w:eastAsia="Arial" w:hAnsi="Arial"/>
                <w:sz w:val="16"/>
                <w:szCs w:val="16"/>
                <w:color w:val="auto"/>
              </w:rPr>
              <w:t>68,615</w:t>
            </w:r>
          </w:p>
        </w:tc>
      </w:tr>
      <w:tr>
        <w:trPr>
          <w:trHeight w:val="329"/>
        </w:trPr>
        <w:tc>
          <w:tcPr>
            <w:tcW w:w="4780" w:type="dxa"/>
            <w:vAlign w:val="bottom"/>
          </w:tcPr>
          <w:p>
            <w:pPr>
              <w:spacing w:after="0"/>
              <w:rPr>
                <w:sz w:val="20"/>
                <w:szCs w:val="20"/>
                <w:color w:val="auto"/>
              </w:rPr>
            </w:pPr>
            <w:r>
              <w:rPr>
                <w:rFonts w:ascii="Arial" w:cs="Arial" w:eastAsia="Arial" w:hAnsi="Arial"/>
                <w:sz w:val="16"/>
                <w:szCs w:val="16"/>
                <w:color w:val="auto"/>
              </w:rPr>
              <w:t>Appreciation -</w:t>
            </w: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6"/>
                <w:szCs w:val="16"/>
                <w:color w:val="auto"/>
              </w:rPr>
              <w:t>Soles in relation to U.S. Dollar</w:t>
            </w:r>
          </w:p>
        </w:tc>
        <w:tc>
          <w:tcPr>
            <w:tcW w:w="2900" w:type="dxa"/>
            <w:vAlign w:val="bottom"/>
          </w:tcPr>
          <w:p>
            <w:pPr>
              <w:jc w:val="center"/>
              <w:ind w:left="168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180"/>
              <w:spacing w:after="0" w:line="181" w:lineRule="exact"/>
              <w:rPr>
                <w:sz w:val="20"/>
                <w:szCs w:val="20"/>
                <w:color w:val="auto"/>
              </w:rPr>
            </w:pPr>
            <w:r>
              <w:rPr>
                <w:rFonts w:ascii="Arial" w:cs="Arial" w:eastAsia="Arial" w:hAnsi="Arial"/>
                <w:sz w:val="16"/>
                <w:szCs w:val="16"/>
                <w:color w:val="auto"/>
              </w:rPr>
              <w:t>(60,926)</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(39,725)</w:t>
            </w:r>
          </w:p>
        </w:tc>
      </w:tr>
      <w:tr>
        <w:trPr>
          <w:trHeight w:val="214"/>
        </w:trPr>
        <w:tc>
          <w:tcPr>
            <w:tcW w:w="4780" w:type="dxa"/>
            <w:vAlign w:val="bottom"/>
          </w:tcPr>
          <w:p>
            <w:pPr>
              <w:spacing w:after="0"/>
              <w:rPr>
                <w:sz w:val="20"/>
                <w:szCs w:val="20"/>
                <w:color w:val="auto"/>
              </w:rPr>
            </w:pPr>
            <w:r>
              <w:rPr>
                <w:rFonts w:ascii="Arial" w:cs="Arial" w:eastAsia="Arial" w:hAnsi="Arial"/>
                <w:sz w:val="16"/>
                <w:szCs w:val="16"/>
                <w:color w:val="auto"/>
              </w:rPr>
              <w:t>Soles in relation to U.S. Dollar</w:t>
            </w:r>
          </w:p>
        </w:tc>
        <w:tc>
          <w:tcPr>
            <w:tcW w:w="2900" w:type="dxa"/>
            <w:vAlign w:val="bottom"/>
          </w:tcPr>
          <w:p>
            <w:pPr>
              <w:jc w:val="center"/>
              <w:ind w:left="168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180"/>
              <w:spacing w:after="0"/>
              <w:rPr>
                <w:sz w:val="20"/>
                <w:szCs w:val="20"/>
                <w:color w:val="auto"/>
              </w:rPr>
            </w:pPr>
            <w:r>
              <w:rPr>
                <w:rFonts w:ascii="Arial" w:cs="Arial" w:eastAsia="Arial" w:hAnsi="Arial"/>
                <w:sz w:val="16"/>
                <w:szCs w:val="16"/>
                <w:color w:val="auto"/>
              </w:rPr>
              <w:t>(128,622)</w:t>
            </w:r>
          </w:p>
        </w:tc>
        <w:tc>
          <w:tcPr>
            <w:tcW w:w="940" w:type="dxa"/>
            <w:vAlign w:val="bottom"/>
          </w:tcPr>
          <w:p>
            <w:pPr>
              <w:jc w:val="right"/>
              <w:spacing w:after="0"/>
              <w:rPr>
                <w:sz w:val="20"/>
                <w:szCs w:val="20"/>
                <w:color w:val="auto"/>
              </w:rPr>
            </w:pPr>
            <w:r>
              <w:rPr>
                <w:rFonts w:ascii="Arial" w:cs="Arial" w:eastAsia="Arial" w:hAnsi="Arial"/>
                <w:sz w:val="16"/>
                <w:szCs w:val="16"/>
                <w:color w:val="auto"/>
              </w:rPr>
              <w:t>(83,863)</w:t>
            </w:r>
          </w:p>
        </w:tc>
      </w:tr>
      <w:tr>
        <w:trPr>
          <w:trHeight w:val="510"/>
        </w:trPr>
        <w:tc>
          <w:tcPr>
            <w:tcW w:w="4780" w:type="dxa"/>
            <w:vAlign w:val="bottom"/>
          </w:tcPr>
          <w:p>
            <w:pPr>
              <w:spacing w:after="0"/>
              <w:rPr>
                <w:sz w:val="20"/>
                <w:szCs w:val="20"/>
                <w:color w:val="auto"/>
              </w:rPr>
            </w:pPr>
            <w:r>
              <w:rPr>
                <w:rFonts w:ascii="Arial" w:cs="Arial" w:eastAsia="Arial" w:hAnsi="Arial"/>
                <w:sz w:val="16"/>
                <w:szCs w:val="16"/>
                <w:color w:val="auto"/>
              </w:rPr>
              <w:t>Depreciation -</w:t>
            </w: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6"/>
                <w:szCs w:val="16"/>
                <w:color w:val="auto"/>
              </w:rPr>
              <w:t>Soles in relation to Boliviano</w:t>
            </w:r>
          </w:p>
        </w:tc>
        <w:tc>
          <w:tcPr>
            <w:tcW w:w="2900" w:type="dxa"/>
            <w:vAlign w:val="bottom"/>
          </w:tcPr>
          <w:p>
            <w:pPr>
              <w:jc w:val="center"/>
              <w:ind w:left="168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240"/>
              <w:spacing w:after="0" w:line="181" w:lineRule="exact"/>
              <w:rPr>
                <w:sz w:val="20"/>
                <w:szCs w:val="20"/>
                <w:color w:val="auto"/>
              </w:rPr>
            </w:pPr>
            <w:r>
              <w:rPr>
                <w:rFonts w:ascii="Arial" w:cs="Arial" w:eastAsia="Arial" w:hAnsi="Arial"/>
                <w:sz w:val="16"/>
                <w:szCs w:val="16"/>
                <w:color w:val="auto"/>
              </w:rPr>
              <w:t>38,056</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45,842</w:t>
            </w:r>
          </w:p>
        </w:tc>
      </w:tr>
      <w:tr>
        <w:trPr>
          <w:trHeight w:val="214"/>
        </w:trPr>
        <w:tc>
          <w:tcPr>
            <w:tcW w:w="4780" w:type="dxa"/>
            <w:vAlign w:val="bottom"/>
          </w:tcPr>
          <w:p>
            <w:pPr>
              <w:spacing w:after="0"/>
              <w:rPr>
                <w:sz w:val="20"/>
                <w:szCs w:val="20"/>
                <w:color w:val="auto"/>
              </w:rPr>
            </w:pPr>
            <w:r>
              <w:rPr>
                <w:rFonts w:ascii="Arial" w:cs="Arial" w:eastAsia="Arial" w:hAnsi="Arial"/>
                <w:sz w:val="16"/>
                <w:szCs w:val="16"/>
                <w:color w:val="auto"/>
              </w:rPr>
              <w:t>Soles in relation to Boliviano</w:t>
            </w:r>
          </w:p>
        </w:tc>
        <w:tc>
          <w:tcPr>
            <w:tcW w:w="2900" w:type="dxa"/>
            <w:vAlign w:val="bottom"/>
          </w:tcPr>
          <w:p>
            <w:pPr>
              <w:jc w:val="center"/>
              <w:ind w:left="168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72,652</w:t>
            </w:r>
          </w:p>
        </w:tc>
        <w:tc>
          <w:tcPr>
            <w:tcW w:w="940" w:type="dxa"/>
            <w:vAlign w:val="bottom"/>
          </w:tcPr>
          <w:p>
            <w:pPr>
              <w:jc w:val="right"/>
              <w:spacing w:after="0"/>
              <w:rPr>
                <w:sz w:val="20"/>
                <w:szCs w:val="20"/>
                <w:color w:val="auto"/>
              </w:rPr>
            </w:pPr>
            <w:r>
              <w:rPr>
                <w:rFonts w:ascii="Arial" w:cs="Arial" w:eastAsia="Arial" w:hAnsi="Arial"/>
                <w:sz w:val="16"/>
                <w:szCs w:val="16"/>
                <w:color w:val="auto"/>
              </w:rPr>
              <w:t>87,516</w:t>
            </w:r>
          </w:p>
        </w:tc>
      </w:tr>
      <w:tr>
        <w:trPr>
          <w:trHeight w:val="329"/>
        </w:trPr>
        <w:tc>
          <w:tcPr>
            <w:tcW w:w="4780" w:type="dxa"/>
            <w:vAlign w:val="bottom"/>
          </w:tcPr>
          <w:p>
            <w:pPr>
              <w:spacing w:after="0"/>
              <w:rPr>
                <w:sz w:val="20"/>
                <w:szCs w:val="20"/>
                <w:color w:val="auto"/>
              </w:rPr>
            </w:pPr>
            <w:r>
              <w:rPr>
                <w:rFonts w:ascii="Arial" w:cs="Arial" w:eastAsia="Arial" w:hAnsi="Arial"/>
                <w:sz w:val="16"/>
                <w:szCs w:val="16"/>
                <w:color w:val="auto"/>
              </w:rPr>
              <w:t>Appreciation -</w:t>
            </w: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6"/>
                <w:szCs w:val="16"/>
                <w:color w:val="auto"/>
              </w:rPr>
              <w:t>Soles in relation to Boliviano</w:t>
            </w:r>
          </w:p>
        </w:tc>
        <w:tc>
          <w:tcPr>
            <w:tcW w:w="2900" w:type="dxa"/>
            <w:vAlign w:val="bottom"/>
          </w:tcPr>
          <w:p>
            <w:pPr>
              <w:jc w:val="center"/>
              <w:ind w:left="168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180"/>
              <w:spacing w:after="0" w:line="181" w:lineRule="exact"/>
              <w:rPr>
                <w:sz w:val="20"/>
                <w:szCs w:val="20"/>
                <w:color w:val="auto"/>
              </w:rPr>
            </w:pPr>
            <w:r>
              <w:rPr>
                <w:rFonts w:ascii="Arial" w:cs="Arial" w:eastAsia="Arial" w:hAnsi="Arial"/>
                <w:sz w:val="16"/>
                <w:szCs w:val="16"/>
                <w:color w:val="auto"/>
              </w:rPr>
              <w:t>(42,062)</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(50,667)</w:t>
            </w:r>
          </w:p>
        </w:tc>
      </w:tr>
      <w:tr>
        <w:trPr>
          <w:trHeight w:val="214"/>
        </w:trPr>
        <w:tc>
          <w:tcPr>
            <w:tcW w:w="4780" w:type="dxa"/>
            <w:vAlign w:val="bottom"/>
          </w:tcPr>
          <w:p>
            <w:pPr>
              <w:spacing w:after="0"/>
              <w:rPr>
                <w:sz w:val="20"/>
                <w:szCs w:val="20"/>
                <w:color w:val="auto"/>
              </w:rPr>
            </w:pPr>
            <w:r>
              <w:rPr>
                <w:rFonts w:ascii="Arial" w:cs="Arial" w:eastAsia="Arial" w:hAnsi="Arial"/>
                <w:sz w:val="16"/>
                <w:szCs w:val="16"/>
                <w:color w:val="auto"/>
              </w:rPr>
              <w:t>Soles in relation to Boliviano</w:t>
            </w:r>
          </w:p>
        </w:tc>
        <w:tc>
          <w:tcPr>
            <w:tcW w:w="2900" w:type="dxa"/>
            <w:vAlign w:val="bottom"/>
          </w:tcPr>
          <w:p>
            <w:pPr>
              <w:jc w:val="center"/>
              <w:ind w:left="168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180"/>
              <w:spacing w:after="0"/>
              <w:rPr>
                <w:sz w:val="20"/>
                <w:szCs w:val="20"/>
                <w:color w:val="auto"/>
              </w:rPr>
            </w:pPr>
            <w:r>
              <w:rPr>
                <w:rFonts w:ascii="Arial" w:cs="Arial" w:eastAsia="Arial" w:hAnsi="Arial"/>
                <w:sz w:val="16"/>
                <w:szCs w:val="16"/>
                <w:color w:val="auto"/>
              </w:rPr>
              <w:t>(88,797)</w:t>
            </w:r>
          </w:p>
        </w:tc>
        <w:tc>
          <w:tcPr>
            <w:tcW w:w="940" w:type="dxa"/>
            <w:vAlign w:val="bottom"/>
          </w:tcPr>
          <w:p>
            <w:pPr>
              <w:jc w:val="right"/>
              <w:spacing w:after="0"/>
              <w:rPr>
                <w:sz w:val="20"/>
                <w:szCs w:val="20"/>
                <w:color w:val="auto"/>
              </w:rPr>
            </w:pPr>
            <w:r>
              <w:rPr>
                <w:rFonts w:ascii="Arial" w:cs="Arial" w:eastAsia="Arial" w:hAnsi="Arial"/>
                <w:sz w:val="16"/>
                <w:szCs w:val="16"/>
                <w:color w:val="auto"/>
              </w:rPr>
              <w:t>(106,964)</w:t>
            </w:r>
          </w:p>
        </w:tc>
      </w:tr>
      <w:tr>
        <w:trPr>
          <w:trHeight w:val="510"/>
        </w:trPr>
        <w:tc>
          <w:tcPr>
            <w:tcW w:w="4780" w:type="dxa"/>
            <w:vAlign w:val="bottom"/>
          </w:tcPr>
          <w:p>
            <w:pPr>
              <w:spacing w:after="0"/>
              <w:rPr>
                <w:sz w:val="20"/>
                <w:szCs w:val="20"/>
                <w:color w:val="auto"/>
              </w:rPr>
            </w:pPr>
            <w:r>
              <w:rPr>
                <w:rFonts w:ascii="Arial" w:cs="Arial" w:eastAsia="Arial" w:hAnsi="Arial"/>
                <w:sz w:val="16"/>
                <w:szCs w:val="16"/>
                <w:color w:val="auto"/>
              </w:rPr>
              <w:t>Depreciation -</w:t>
            </w: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6"/>
                <w:szCs w:val="16"/>
                <w:color w:val="auto"/>
              </w:rPr>
              <w:t>Soles in relation to Colombian peso</w:t>
            </w:r>
          </w:p>
        </w:tc>
        <w:tc>
          <w:tcPr>
            <w:tcW w:w="2900" w:type="dxa"/>
            <w:vAlign w:val="bottom"/>
          </w:tcPr>
          <w:p>
            <w:pPr>
              <w:jc w:val="center"/>
              <w:ind w:left="168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240"/>
              <w:spacing w:after="0" w:line="181" w:lineRule="exact"/>
              <w:rPr>
                <w:sz w:val="20"/>
                <w:szCs w:val="20"/>
                <w:color w:val="auto"/>
              </w:rPr>
            </w:pPr>
            <w:r>
              <w:rPr>
                <w:rFonts w:ascii="Arial" w:cs="Arial" w:eastAsia="Arial" w:hAnsi="Arial"/>
                <w:sz w:val="16"/>
                <w:szCs w:val="16"/>
                <w:color w:val="auto"/>
              </w:rPr>
              <w:t>49,115</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42,919</w:t>
            </w:r>
          </w:p>
        </w:tc>
      </w:tr>
      <w:tr>
        <w:trPr>
          <w:trHeight w:val="214"/>
        </w:trPr>
        <w:tc>
          <w:tcPr>
            <w:tcW w:w="4780" w:type="dxa"/>
            <w:vAlign w:val="bottom"/>
          </w:tcPr>
          <w:p>
            <w:pPr>
              <w:spacing w:after="0"/>
              <w:rPr>
                <w:sz w:val="20"/>
                <w:szCs w:val="20"/>
                <w:color w:val="auto"/>
              </w:rPr>
            </w:pPr>
            <w:r>
              <w:rPr>
                <w:rFonts w:ascii="Arial" w:cs="Arial" w:eastAsia="Arial" w:hAnsi="Arial"/>
                <w:sz w:val="16"/>
                <w:szCs w:val="16"/>
                <w:color w:val="auto"/>
              </w:rPr>
              <w:t>Soles in relation to Colombian peso</w:t>
            </w:r>
          </w:p>
        </w:tc>
        <w:tc>
          <w:tcPr>
            <w:tcW w:w="2900" w:type="dxa"/>
            <w:vAlign w:val="bottom"/>
          </w:tcPr>
          <w:p>
            <w:pPr>
              <w:jc w:val="center"/>
              <w:ind w:left="168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93,765</w:t>
            </w:r>
          </w:p>
        </w:tc>
        <w:tc>
          <w:tcPr>
            <w:tcW w:w="940" w:type="dxa"/>
            <w:vAlign w:val="bottom"/>
          </w:tcPr>
          <w:p>
            <w:pPr>
              <w:jc w:val="right"/>
              <w:spacing w:after="0"/>
              <w:rPr>
                <w:sz w:val="20"/>
                <w:szCs w:val="20"/>
                <w:color w:val="auto"/>
              </w:rPr>
            </w:pPr>
            <w:r>
              <w:rPr>
                <w:rFonts w:ascii="Arial" w:cs="Arial" w:eastAsia="Arial" w:hAnsi="Arial"/>
                <w:sz w:val="16"/>
                <w:szCs w:val="16"/>
                <w:color w:val="auto"/>
              </w:rPr>
              <w:t>81,936</w:t>
            </w:r>
          </w:p>
        </w:tc>
      </w:tr>
      <w:tr>
        <w:trPr>
          <w:trHeight w:val="329"/>
        </w:trPr>
        <w:tc>
          <w:tcPr>
            <w:tcW w:w="4780" w:type="dxa"/>
            <w:vAlign w:val="bottom"/>
          </w:tcPr>
          <w:p>
            <w:pPr>
              <w:spacing w:after="0"/>
              <w:rPr>
                <w:sz w:val="20"/>
                <w:szCs w:val="20"/>
                <w:color w:val="auto"/>
              </w:rPr>
            </w:pPr>
            <w:r>
              <w:rPr>
                <w:rFonts w:ascii="Arial" w:cs="Arial" w:eastAsia="Arial" w:hAnsi="Arial"/>
                <w:sz w:val="16"/>
                <w:szCs w:val="16"/>
                <w:color w:val="auto"/>
              </w:rPr>
              <w:t>Appreciation -</w:t>
            </w: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6"/>
                <w:szCs w:val="16"/>
                <w:color w:val="auto"/>
              </w:rPr>
              <w:t>Soles in relation to Colombian peso</w:t>
            </w:r>
          </w:p>
        </w:tc>
        <w:tc>
          <w:tcPr>
            <w:tcW w:w="2900" w:type="dxa"/>
            <w:vAlign w:val="bottom"/>
          </w:tcPr>
          <w:p>
            <w:pPr>
              <w:jc w:val="center"/>
              <w:ind w:left="168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180"/>
              <w:spacing w:after="0" w:line="181" w:lineRule="exact"/>
              <w:rPr>
                <w:sz w:val="20"/>
                <w:szCs w:val="20"/>
                <w:color w:val="auto"/>
              </w:rPr>
            </w:pPr>
            <w:r>
              <w:rPr>
                <w:rFonts w:ascii="Arial" w:cs="Arial" w:eastAsia="Arial" w:hAnsi="Arial"/>
                <w:sz w:val="16"/>
                <w:szCs w:val="16"/>
                <w:color w:val="auto"/>
              </w:rPr>
              <w:t>(54,285)</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(47,437)</w:t>
            </w:r>
          </w:p>
        </w:tc>
      </w:tr>
      <w:tr>
        <w:trPr>
          <w:trHeight w:val="214"/>
        </w:trPr>
        <w:tc>
          <w:tcPr>
            <w:tcW w:w="4780" w:type="dxa"/>
            <w:vAlign w:val="bottom"/>
          </w:tcPr>
          <w:p>
            <w:pPr>
              <w:spacing w:after="0"/>
              <w:rPr>
                <w:sz w:val="20"/>
                <w:szCs w:val="20"/>
                <w:color w:val="auto"/>
              </w:rPr>
            </w:pPr>
            <w:r>
              <w:rPr>
                <w:rFonts w:ascii="Arial" w:cs="Arial" w:eastAsia="Arial" w:hAnsi="Arial"/>
                <w:sz w:val="16"/>
                <w:szCs w:val="16"/>
                <w:color w:val="auto"/>
              </w:rPr>
              <w:t>Soles in relation to Colombian peso</w:t>
            </w:r>
          </w:p>
        </w:tc>
        <w:tc>
          <w:tcPr>
            <w:tcW w:w="2900" w:type="dxa"/>
            <w:vAlign w:val="bottom"/>
          </w:tcPr>
          <w:p>
            <w:pPr>
              <w:jc w:val="center"/>
              <w:ind w:left="168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180"/>
              <w:spacing w:after="0"/>
              <w:rPr>
                <w:sz w:val="20"/>
                <w:szCs w:val="20"/>
                <w:color w:val="auto"/>
              </w:rPr>
            </w:pPr>
            <w:r>
              <w:rPr>
                <w:rFonts w:ascii="Arial" w:cs="Arial" w:eastAsia="Arial" w:hAnsi="Arial"/>
                <w:sz w:val="16"/>
                <w:szCs w:val="16"/>
                <w:color w:val="auto"/>
              </w:rPr>
              <w:t>(114,602)</w:t>
            </w:r>
          </w:p>
        </w:tc>
        <w:tc>
          <w:tcPr>
            <w:tcW w:w="940" w:type="dxa"/>
            <w:vAlign w:val="bottom"/>
          </w:tcPr>
          <w:p>
            <w:pPr>
              <w:jc w:val="right"/>
              <w:spacing w:after="0"/>
              <w:rPr>
                <w:sz w:val="20"/>
                <w:szCs w:val="20"/>
                <w:color w:val="auto"/>
              </w:rPr>
            </w:pPr>
            <w:r>
              <w:rPr>
                <w:rFonts w:ascii="Arial" w:cs="Arial" w:eastAsia="Arial" w:hAnsi="Arial"/>
                <w:sz w:val="16"/>
                <w:szCs w:val="16"/>
                <w:color w:val="auto"/>
              </w:rPr>
              <w:t>(100,144)</w:t>
            </w:r>
          </w:p>
        </w:tc>
      </w:tr>
      <w:tr>
        <w:trPr>
          <w:trHeight w:val="510"/>
        </w:trPr>
        <w:tc>
          <w:tcPr>
            <w:tcW w:w="4780" w:type="dxa"/>
            <w:vAlign w:val="bottom"/>
          </w:tcPr>
          <w:p>
            <w:pPr>
              <w:spacing w:after="0"/>
              <w:rPr>
                <w:sz w:val="20"/>
                <w:szCs w:val="20"/>
                <w:color w:val="auto"/>
              </w:rPr>
            </w:pPr>
            <w:r>
              <w:rPr>
                <w:rFonts w:ascii="Arial" w:cs="Arial" w:eastAsia="Arial" w:hAnsi="Arial"/>
                <w:sz w:val="16"/>
                <w:szCs w:val="16"/>
                <w:color w:val="auto"/>
              </w:rPr>
              <w:t>Depreciation -</w:t>
            </w: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6"/>
                <w:szCs w:val="16"/>
                <w:color w:val="auto"/>
              </w:rPr>
              <w:t>Soles in relation to Chilean peso</w:t>
            </w:r>
          </w:p>
        </w:tc>
        <w:tc>
          <w:tcPr>
            <w:tcW w:w="2900" w:type="dxa"/>
            <w:vAlign w:val="bottom"/>
          </w:tcPr>
          <w:p>
            <w:pPr>
              <w:jc w:val="center"/>
              <w:ind w:left="168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240"/>
              <w:spacing w:after="0" w:line="181" w:lineRule="exact"/>
              <w:rPr>
                <w:sz w:val="20"/>
                <w:szCs w:val="20"/>
                <w:color w:val="auto"/>
              </w:rPr>
            </w:pPr>
            <w:r>
              <w:rPr>
                <w:rFonts w:ascii="Arial" w:cs="Arial" w:eastAsia="Arial" w:hAnsi="Arial"/>
                <w:sz w:val="16"/>
                <w:szCs w:val="16"/>
                <w:color w:val="auto"/>
              </w:rPr>
              <w:t>24,882</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20,272</w:t>
            </w:r>
          </w:p>
        </w:tc>
      </w:tr>
      <w:tr>
        <w:trPr>
          <w:trHeight w:val="214"/>
        </w:trPr>
        <w:tc>
          <w:tcPr>
            <w:tcW w:w="4780" w:type="dxa"/>
            <w:vAlign w:val="bottom"/>
          </w:tcPr>
          <w:p>
            <w:pPr>
              <w:spacing w:after="0"/>
              <w:rPr>
                <w:sz w:val="20"/>
                <w:szCs w:val="20"/>
                <w:color w:val="auto"/>
              </w:rPr>
            </w:pPr>
            <w:r>
              <w:rPr>
                <w:rFonts w:ascii="Arial" w:cs="Arial" w:eastAsia="Arial" w:hAnsi="Arial"/>
                <w:sz w:val="16"/>
                <w:szCs w:val="16"/>
                <w:color w:val="auto"/>
              </w:rPr>
              <w:t>Soles in relation to Chilean peso</w:t>
            </w:r>
          </w:p>
        </w:tc>
        <w:tc>
          <w:tcPr>
            <w:tcW w:w="2900" w:type="dxa"/>
            <w:vAlign w:val="bottom"/>
          </w:tcPr>
          <w:p>
            <w:pPr>
              <w:jc w:val="center"/>
              <w:ind w:left="168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47,501</w:t>
            </w:r>
          </w:p>
        </w:tc>
        <w:tc>
          <w:tcPr>
            <w:tcW w:w="940" w:type="dxa"/>
            <w:vAlign w:val="bottom"/>
          </w:tcPr>
          <w:p>
            <w:pPr>
              <w:jc w:val="right"/>
              <w:spacing w:after="0"/>
              <w:rPr>
                <w:sz w:val="20"/>
                <w:szCs w:val="20"/>
                <w:color w:val="auto"/>
              </w:rPr>
            </w:pPr>
            <w:r>
              <w:rPr>
                <w:rFonts w:ascii="Arial" w:cs="Arial" w:eastAsia="Arial" w:hAnsi="Arial"/>
                <w:sz w:val="16"/>
                <w:szCs w:val="16"/>
                <w:color w:val="auto"/>
              </w:rPr>
              <w:t>38,702</w:t>
            </w:r>
          </w:p>
        </w:tc>
      </w:tr>
      <w:tr>
        <w:trPr>
          <w:trHeight w:val="329"/>
        </w:trPr>
        <w:tc>
          <w:tcPr>
            <w:tcW w:w="4780" w:type="dxa"/>
            <w:vAlign w:val="bottom"/>
          </w:tcPr>
          <w:p>
            <w:pPr>
              <w:spacing w:after="0"/>
              <w:rPr>
                <w:sz w:val="20"/>
                <w:szCs w:val="20"/>
                <w:color w:val="auto"/>
              </w:rPr>
            </w:pPr>
            <w:r>
              <w:rPr>
                <w:rFonts w:ascii="Arial" w:cs="Arial" w:eastAsia="Arial" w:hAnsi="Arial"/>
                <w:sz w:val="16"/>
                <w:szCs w:val="16"/>
                <w:color w:val="auto"/>
              </w:rPr>
              <w:t>Appreciation -</w:t>
            </w: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6"/>
                <w:szCs w:val="16"/>
                <w:color w:val="auto"/>
              </w:rPr>
              <w:t>Soles in relation to Chilean peso</w:t>
            </w:r>
          </w:p>
        </w:tc>
        <w:tc>
          <w:tcPr>
            <w:tcW w:w="2900" w:type="dxa"/>
            <w:vAlign w:val="bottom"/>
          </w:tcPr>
          <w:p>
            <w:pPr>
              <w:jc w:val="center"/>
              <w:ind w:left="1680"/>
              <w:spacing w:after="0" w:line="181" w:lineRule="exact"/>
              <w:rPr>
                <w:sz w:val="20"/>
                <w:szCs w:val="20"/>
                <w:color w:val="auto"/>
              </w:rPr>
            </w:pPr>
            <w:r>
              <w:rPr>
                <w:rFonts w:ascii="Arial" w:cs="Arial" w:eastAsia="Arial" w:hAnsi="Arial"/>
                <w:sz w:val="16"/>
                <w:szCs w:val="16"/>
                <w:color w:val="auto"/>
              </w:rPr>
              <w:t>5</w:t>
            </w:r>
          </w:p>
        </w:tc>
        <w:tc>
          <w:tcPr>
            <w:tcW w:w="1420" w:type="dxa"/>
            <w:vAlign w:val="bottom"/>
          </w:tcPr>
          <w:p>
            <w:pPr>
              <w:jc w:val="right"/>
              <w:ind w:right="180"/>
              <w:spacing w:after="0" w:line="181" w:lineRule="exact"/>
              <w:rPr>
                <w:sz w:val="20"/>
                <w:szCs w:val="20"/>
                <w:color w:val="auto"/>
              </w:rPr>
            </w:pPr>
            <w:r>
              <w:rPr>
                <w:rFonts w:ascii="Arial" w:cs="Arial" w:eastAsia="Arial" w:hAnsi="Arial"/>
                <w:sz w:val="16"/>
                <w:szCs w:val="16"/>
                <w:color w:val="auto"/>
              </w:rPr>
              <w:t>(27,501)</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(22,406)</w:t>
            </w:r>
          </w:p>
        </w:tc>
      </w:tr>
      <w:tr>
        <w:trPr>
          <w:trHeight w:val="214"/>
        </w:trPr>
        <w:tc>
          <w:tcPr>
            <w:tcW w:w="4780" w:type="dxa"/>
            <w:vAlign w:val="bottom"/>
          </w:tcPr>
          <w:p>
            <w:pPr>
              <w:spacing w:after="0"/>
              <w:rPr>
                <w:sz w:val="20"/>
                <w:szCs w:val="20"/>
                <w:color w:val="auto"/>
              </w:rPr>
            </w:pPr>
            <w:r>
              <w:rPr>
                <w:rFonts w:ascii="Arial" w:cs="Arial" w:eastAsia="Arial" w:hAnsi="Arial"/>
                <w:sz w:val="16"/>
                <w:szCs w:val="16"/>
                <w:color w:val="auto"/>
              </w:rPr>
              <w:t>Soles in relation to Chilean peso</w:t>
            </w:r>
          </w:p>
        </w:tc>
        <w:tc>
          <w:tcPr>
            <w:tcW w:w="2900" w:type="dxa"/>
            <w:vAlign w:val="bottom"/>
          </w:tcPr>
          <w:p>
            <w:pPr>
              <w:jc w:val="center"/>
              <w:ind w:left="1680"/>
              <w:spacing w:after="0"/>
              <w:rPr>
                <w:sz w:val="20"/>
                <w:szCs w:val="20"/>
                <w:color w:val="auto"/>
              </w:rPr>
            </w:pPr>
            <w:r>
              <w:rPr>
                <w:rFonts w:ascii="Arial" w:cs="Arial" w:eastAsia="Arial" w:hAnsi="Arial"/>
                <w:sz w:val="16"/>
                <w:szCs w:val="16"/>
                <w:color w:val="auto"/>
              </w:rPr>
              <w:t>10</w:t>
            </w:r>
          </w:p>
        </w:tc>
        <w:tc>
          <w:tcPr>
            <w:tcW w:w="1420" w:type="dxa"/>
            <w:vAlign w:val="bottom"/>
          </w:tcPr>
          <w:p>
            <w:pPr>
              <w:jc w:val="right"/>
              <w:ind w:right="180"/>
              <w:spacing w:after="0"/>
              <w:rPr>
                <w:sz w:val="20"/>
                <w:szCs w:val="20"/>
                <w:color w:val="auto"/>
              </w:rPr>
            </w:pPr>
            <w:r>
              <w:rPr>
                <w:rFonts w:ascii="Arial" w:cs="Arial" w:eastAsia="Arial" w:hAnsi="Arial"/>
                <w:sz w:val="16"/>
                <w:szCs w:val="16"/>
                <w:color w:val="auto"/>
              </w:rPr>
              <w:t>(58,057)</w:t>
            </w:r>
          </w:p>
        </w:tc>
        <w:tc>
          <w:tcPr>
            <w:tcW w:w="940" w:type="dxa"/>
            <w:vAlign w:val="bottom"/>
          </w:tcPr>
          <w:p>
            <w:pPr>
              <w:jc w:val="right"/>
              <w:spacing w:after="0"/>
              <w:rPr>
                <w:sz w:val="20"/>
                <w:szCs w:val="20"/>
                <w:color w:val="auto"/>
              </w:rPr>
            </w:pPr>
            <w:r>
              <w:rPr>
                <w:rFonts w:ascii="Arial" w:cs="Arial" w:eastAsia="Arial" w:hAnsi="Arial"/>
                <w:sz w:val="16"/>
                <w:szCs w:val="16"/>
                <w:color w:val="auto"/>
              </w:rPr>
              <w:t>(47,302)</w:t>
            </w:r>
          </w:p>
        </w:tc>
      </w:tr>
    </w:tbl>
    <w:p>
      <w:pPr>
        <w:spacing w:after="0" w:line="14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30.3</w:t>
      </w:r>
      <w:r>
        <w:rPr>
          <w:sz w:val="20"/>
          <w:szCs w:val="20"/>
          <w:color w:val="auto"/>
        </w:rPr>
        <w:tab/>
      </w:r>
      <w:r>
        <w:rPr>
          <w:rFonts w:ascii="Arial" w:cs="Arial" w:eastAsia="Arial" w:hAnsi="Arial"/>
          <w:sz w:val="14"/>
          <w:szCs w:val="14"/>
          <w:b w:val="1"/>
          <w:bCs w:val="1"/>
          <w:color w:val="auto"/>
        </w:rPr>
        <w:t>Liquidity risk</w:t>
      </w:r>
    </w:p>
    <w:p>
      <w:pPr>
        <w:spacing w:after="0" w:line="184" w:lineRule="exact"/>
        <w:rPr>
          <w:sz w:val="20"/>
          <w:szCs w:val="20"/>
          <w:color w:val="auto"/>
        </w:rPr>
      </w:pPr>
    </w:p>
    <w:p>
      <w:pPr>
        <w:ind w:left="580"/>
        <w:spacing w:after="0" w:line="255" w:lineRule="auto"/>
        <w:rPr>
          <w:sz w:val="20"/>
          <w:szCs w:val="20"/>
          <w:color w:val="auto"/>
        </w:rPr>
      </w:pPr>
      <w:r>
        <w:rPr>
          <w:rFonts w:ascii="Arial" w:cs="Arial" w:eastAsia="Arial" w:hAnsi="Arial"/>
          <w:sz w:val="16"/>
          <w:szCs w:val="16"/>
          <w:color w:val="auto"/>
        </w:rPr>
        <w:t>Liquidity risk is the risk that the Group is unable to meet its short-term payment obligations associated with its financial liabilities when they fall due and to replace funds when they are withdrawn. In this sense, the company that is facing a liquidity crisis would be failing to comply with the obligations to pay depositors and with commitments to lend or satisfy other operational cash needs.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65" w:name="page166"/>
    <w:bookmarkEnd w:id="165"/>
    <w:p>
      <w:pPr>
        <w:spacing w:after="0" w:line="245" w:lineRule="auto"/>
        <w:rPr>
          <w:sz w:val="20"/>
          <w:szCs w:val="20"/>
          <w:color w:val="auto"/>
        </w:rPr>
      </w:pPr>
      <w:r>
        <w:rPr>
          <w:rFonts w:ascii="Arial" w:cs="Arial" w:eastAsia="Arial" w:hAnsi="Arial"/>
          <w:sz w:val="16"/>
          <w:szCs w:val="16"/>
          <w:color w:val="auto"/>
        </w:rPr>
        <w:t>The Group is exposed to daily cash requirements, interbank deposits, current accounts, time deposits, use of loans, guarantees and other requirements. The Management of the Group's subsidiaries establishes limits for the minimum funds amount available to cover such cash withdrawals and on the minimum level of inter-bank and other borrowing facilities that should be in place to cover withdrawals at unexpected levels of demand. Sources of liquidity are regularly reviewed by the corresponding risk teams to maintain a wide diversification by currency, geography, type of funding, provider, producer and term.</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procedure to control the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liquidity risk, which generates exposure to potential losses.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Maturities of assets and liabilities and the ability to replace them, at an acceptable cost are important factors in assessing the liquidity of the Group.</w:t>
      </w:r>
    </w:p>
    <w:p>
      <w:pPr>
        <w:spacing w:after="0" w:line="17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A mismatch, in maturity of long-term illiquid assets against short-term liabilities, exposes the consolidated statement of financial position to risks related both to rollover and to interest rates. If liquid assets do not cover maturing debts, an consolidated statement of financial position is vulnerable to a rollover risk. Furthermore, a sharp increase in interest rates can dramatically increase the cost of rolling over short-term liabilities, leading to a rapid increase in debt cost. The contractual-maturity gap report is useful in showing liquidity characteristics.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banking and Microfinance:</w:t>
      </w:r>
    </w:p>
    <w:p>
      <w:pPr>
        <w:spacing w:after="0" w:line="178"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Liquidity risk exposure in Banco de Crédito del Perú, Banco de Crédito de Bolivia, Mibanco – Banco de la Microempresa and Mibanco - Banco de la Microempresa de Colombia is based on indicators such as the Internal Liquidity Coverage 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and works as a minimum compliance mechanism that supplements the RCLI. The core limits of these indicators are 100.0 percent, and any excess are presented in the Credicorp Treasury Risk Committee, Credicorp Risk Committee and the Assets Liabilities Committee (ALCO) of the respective subsidiary.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Insurances and Pensions:</w:t>
      </w:r>
    </w:p>
    <w:p>
      <w:pPr>
        <w:spacing w:after="0" w:line="17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Pacífico Seguros follows a particular approach given the nature of the business. For annually renewable businesses, mainly general insurance, the emphasis of liquidity is focused on the quick availability of resources in the event of a systemic event (e.g. earthquake); for this purpose, there are minimum investment indicators in place relating to local cash/time deposits and foreign fixed-income instruments of high quality and liquidity.</w:t>
      </w:r>
    </w:p>
    <w:p>
      <w:pPr>
        <w:spacing w:after="0" w:line="144"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On the long-term business side (life insurance), given the nature of the products offered and the contractual relationship with customers (the liquidity risk is not material); the emphasis is on maintaining sufficient flow of assets and matching their maturities with maturities of liabilities; for this purpose there are indicators that measure the asset/liability sufficiency and adequacy as well as calculations or economic capital subject to interest rate risk, this last under the methodology of Credicorp.</w:t>
      </w:r>
    </w:p>
    <w:p>
      <w:pPr>
        <w:spacing w:after="0" w:line="301"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- 161 -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0"/>
          </w:cols>
          <w:pgMar w:left="900" w:top="124" w:right="339" w:bottom="1440" w:gutter="0" w:footer="0" w:header="0"/>
        </w:sectPr>
      </w:pPr>
    </w:p>
    <w:bookmarkStart w:id="166" w:name="page167"/>
    <w:bookmarkEnd w:id="166"/>
    <w:p>
      <w:pPr>
        <w:ind w:right="480"/>
        <w:spacing w:after="0" w:line="254" w:lineRule="auto"/>
        <w:rPr>
          <w:sz w:val="20"/>
          <w:szCs w:val="20"/>
          <w:color w:val="auto"/>
        </w:rPr>
      </w:pPr>
      <w:r>
        <w:rPr>
          <w:rFonts w:ascii="Arial" w:cs="Arial" w:eastAsia="Arial" w:hAnsi="Arial"/>
          <w:sz w:val="16"/>
          <w:szCs w:val="16"/>
          <w:color w:val="auto"/>
        </w:rPr>
        <w:t>Pensions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AFP Prima is carried out in a differentiated manner between the fund administrator and the funds being managed. Liquidity management regarding the fund administrator is focused on hedge meeting periodic operating expense needs, which are supported with the collection of commissions. The fund administering entity does not record unexpected outflows of liquidity.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banking:</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Liquidity risk in Credicorp Capital Ltd principally affects the security brokerage. In managing this risk, limits of use of liquidity have been established as well as mismatching by dealing desk; follow-up on liquidity is performed on a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14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the case of ASB Bank Corp, the risk liquidity management performs through indicators such as Internal Liquidity Coverage Ratio (RCLI, the Spanish acronym) and the Internal Ratio of Stable Net Funding (RFNEI, the Spanish acronym) with the core limits of 100.0 percent and any excess is presented in the Credicorp Treasury Risk Committee, Credicorp Risk Committee and the Assets Liabilities Committee (ALCO) of the respective subsidiary.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Companies perform a liquidity risk management using the liquidity Gap or contractual maturity Gap.</w:t>
      </w:r>
    </w:p>
    <w:p>
      <w:pPr>
        <w:spacing w:after="0" w:line="335"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- 162 -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40"/>
          </w:cols>
          <w:pgMar w:left="900" w:top="124" w:right="359" w:bottom="1440" w:gutter="0" w:footer="0" w:header="0"/>
        </w:sectPr>
      </w:pPr>
    </w:p>
    <w:bookmarkStart w:id="167" w:name="page168"/>
    <w:bookmarkEnd w:id="167"/>
    <w:p>
      <w:pPr>
        <w:spacing w:after="0" w:line="248" w:lineRule="auto"/>
        <w:rPr>
          <w:sz w:val="20"/>
          <w:szCs w:val="20"/>
          <w:color w:val="auto"/>
        </w:rPr>
      </w:pPr>
      <w:r>
        <w:rPr>
          <w:rFonts w:ascii="Arial" w:cs="Arial" w:eastAsia="Arial" w:hAnsi="Arial"/>
          <w:sz w:val="16"/>
          <w:szCs w:val="16"/>
          <w:color w:val="auto"/>
        </w:rPr>
        <w:t>The following table presents the cash outflows to be paid and cash inflows from financial assets to be collected by the Group, classified by remaining contractual maturities (including future interest payments), as of the date of the consolidated statement of financial position. The amounts disclosed in the table represent undiscounted contractual cash flows; therefore, they do not correspond to the balances presented in the statement of financial position, which represent values as of the end of the reporting period. Below, we present the detailed breakdown: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00" w:type="dxa"/>
            <w:vAlign w:val="bottom"/>
          </w:tcPr>
          <w:p>
            <w:pPr>
              <w:spacing w:after="0"/>
              <w:rPr>
                <w:sz w:val="11"/>
                <w:szCs w:val="11"/>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900" w:type="dxa"/>
            <w:vAlign w:val="bottom"/>
          </w:tcPr>
          <w:p>
            <w:pPr>
              <w:spacing w:after="0"/>
              <w:rPr>
                <w:sz w:val="8"/>
                <w:szCs w:val="8"/>
                <w:color w:val="auto"/>
              </w:rPr>
            </w:pPr>
          </w:p>
        </w:tc>
        <w:tc>
          <w:tcPr>
            <w:tcW w:w="62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Up to a</w:t>
            </w:r>
          </w:p>
        </w:tc>
        <w:tc>
          <w:tcPr>
            <w:tcW w:w="68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From 1 to</w:t>
            </w:r>
          </w:p>
        </w:tc>
        <w:tc>
          <w:tcPr>
            <w:tcW w:w="74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From 3 to</w:t>
            </w:r>
          </w:p>
        </w:tc>
        <w:tc>
          <w:tcPr>
            <w:tcW w:w="66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From 1 to</w:t>
            </w:r>
          </w:p>
        </w:tc>
        <w:tc>
          <w:tcPr>
            <w:tcW w:w="62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Over 5</w:t>
            </w: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Total</w:t>
            </w:r>
          </w:p>
        </w:tc>
        <w:tc>
          <w:tcPr>
            <w:tcW w:w="62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Up to a</w:t>
            </w:r>
          </w:p>
        </w:tc>
        <w:tc>
          <w:tcPr>
            <w:tcW w:w="72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From 1 to</w:t>
            </w:r>
          </w:p>
        </w:tc>
        <w:tc>
          <w:tcPr>
            <w:tcW w:w="68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From 3 to</w:t>
            </w:r>
          </w:p>
        </w:tc>
        <w:tc>
          <w:tcPr>
            <w:tcW w:w="62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From 1 to</w:t>
            </w:r>
          </w:p>
        </w:tc>
        <w:tc>
          <w:tcPr>
            <w:tcW w:w="74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Over 5</w:t>
            </w:r>
          </w:p>
        </w:tc>
        <w:tc>
          <w:tcPr>
            <w:tcW w:w="6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6"/>
        </w:trPr>
        <w:tc>
          <w:tcPr>
            <w:tcW w:w="290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month</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3 months</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12 months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5 years</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Year</w:t>
            </w:r>
          </w:p>
        </w:tc>
        <w:tc>
          <w:tcPr>
            <w:tcW w:w="800" w:type="dxa"/>
            <w:vAlign w:val="bottom"/>
            <w:gridSpan w:val="3"/>
            <w:vMerge w:val="continue"/>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month</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3 months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12 months</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5 years</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Year</w:t>
            </w:r>
          </w:p>
        </w:tc>
        <w:tc>
          <w:tcPr>
            <w:tcW w:w="6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ind w:right="124"/>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900" w:type="dxa"/>
            <w:vAlign w:val="bottom"/>
          </w:tcPr>
          <w:p>
            <w:pPr>
              <w:spacing w:after="0"/>
              <w:rPr>
                <w:sz w:val="20"/>
                <w:szCs w:val="20"/>
                <w:color w:val="auto"/>
              </w:rPr>
            </w:pPr>
            <w:r>
              <w:rPr>
                <w:rFonts w:ascii="Arial" w:cs="Arial" w:eastAsia="Arial" w:hAnsi="Arial"/>
                <w:sz w:val="11"/>
                <w:szCs w:val="11"/>
                <w:b w:val="1"/>
                <w:bCs w:val="1"/>
                <w:color w:val="auto"/>
              </w:rPr>
              <w:t>Financial assets</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56,775,341</w:t>
            </w:r>
          </w:p>
        </w:tc>
        <w:tc>
          <w:tcPr>
            <w:tcW w:w="680" w:type="dxa"/>
            <w:vAlign w:val="bottom"/>
            <w:gridSpan w:val="3"/>
          </w:tcPr>
          <w:p>
            <w:pPr>
              <w:jc w:val="right"/>
              <w:ind w:right="60"/>
              <w:spacing w:after="0"/>
              <w:rPr>
                <w:sz w:val="20"/>
                <w:szCs w:val="20"/>
                <w:color w:val="auto"/>
              </w:rPr>
            </w:pPr>
            <w:r>
              <w:rPr>
                <w:rFonts w:ascii="Arial" w:cs="Arial" w:eastAsia="Arial" w:hAnsi="Arial"/>
                <w:sz w:val="11"/>
                <w:szCs w:val="11"/>
                <w:color w:val="auto"/>
              </w:rPr>
              <w:t>27,123,607</w:t>
            </w: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64,960,715</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w w:val="98"/>
              </w:rPr>
              <w:t>84,472,301</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57,839,707</w:t>
            </w: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291,171,671</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w w:val="98"/>
              </w:rPr>
              <w:t>48,594,583</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26,281,483</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65,297,685</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87,773,303</w:t>
            </w: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54,682,216</w:t>
            </w:r>
          </w:p>
        </w:tc>
        <w:tc>
          <w:tcPr>
            <w:tcW w:w="640" w:type="dxa"/>
            <w:vAlign w:val="bottom"/>
            <w:gridSpan w:val="3"/>
          </w:tcPr>
          <w:p>
            <w:pPr>
              <w:jc w:val="right"/>
              <w:ind w:right="20"/>
              <w:spacing w:after="0"/>
              <w:rPr>
                <w:sz w:val="20"/>
                <w:szCs w:val="20"/>
                <w:color w:val="auto"/>
              </w:rPr>
            </w:pPr>
            <w:r>
              <w:rPr>
                <w:rFonts w:ascii="Arial" w:cs="Arial" w:eastAsia="Arial" w:hAnsi="Arial"/>
                <w:sz w:val="11"/>
                <w:szCs w:val="11"/>
                <w:color w:val="auto"/>
                <w:w w:val="98"/>
              </w:rPr>
              <w:t>282,629,270</w:t>
            </w:r>
          </w:p>
        </w:tc>
        <w:tc>
          <w:tcPr>
            <w:tcW w:w="0" w:type="dxa"/>
            <w:vAlign w:val="bottom"/>
          </w:tcPr>
          <w:p>
            <w:pPr>
              <w:spacing w:after="0"/>
              <w:rPr>
                <w:sz w:val="1"/>
                <w:szCs w:val="1"/>
                <w:color w:val="auto"/>
              </w:rPr>
            </w:pPr>
          </w:p>
        </w:tc>
      </w:tr>
      <w:tr>
        <w:trPr>
          <w:trHeight w:val="208"/>
        </w:trPr>
        <w:tc>
          <w:tcPr>
            <w:tcW w:w="2900" w:type="dxa"/>
            <w:vAlign w:val="bottom"/>
          </w:tcPr>
          <w:p>
            <w:pPr>
              <w:spacing w:after="0"/>
              <w:rPr>
                <w:sz w:val="20"/>
                <w:szCs w:val="20"/>
                <w:color w:val="auto"/>
              </w:rPr>
            </w:pPr>
            <w:r>
              <w:rPr>
                <w:rFonts w:ascii="Arial" w:cs="Arial" w:eastAsia="Arial" w:hAnsi="Arial"/>
                <w:sz w:val="11"/>
                <w:szCs w:val="11"/>
                <w:b w:val="1"/>
                <w:bCs w:val="1"/>
                <w:color w:val="auto"/>
              </w:rPr>
              <w:t>Financial liabilities by type -</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color w:val="auto"/>
              </w:rPr>
              <w:t>Deposits and obligations</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27,960,099</w:t>
            </w:r>
          </w:p>
        </w:tc>
        <w:tc>
          <w:tcPr>
            <w:tcW w:w="68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22,565,903</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32,327,179</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w w:val="98"/>
              </w:rPr>
              <w:t>49,272,562</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38,920,715</w:t>
            </w:r>
          </w:p>
        </w:tc>
        <w:tc>
          <w:tcPr>
            <w:tcW w:w="80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171,046,458</w:t>
            </w:r>
          </w:p>
        </w:tc>
        <w:tc>
          <w:tcPr>
            <w:tcW w:w="62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w w:val="98"/>
              </w:rPr>
              <w:t>30,985,483</w:t>
            </w:r>
          </w:p>
        </w:tc>
        <w:tc>
          <w:tcPr>
            <w:tcW w:w="7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20,512,659</w:t>
            </w:r>
          </w:p>
        </w:tc>
        <w:tc>
          <w:tcPr>
            <w:tcW w:w="6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40,067,393</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45,138,302</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26,735,551</w:t>
            </w:r>
          </w:p>
        </w:tc>
        <w:tc>
          <w:tcPr>
            <w:tcW w:w="64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w w:val="98"/>
              </w:rPr>
              <w:t>163,439,388</w:t>
            </w: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color w:val="auto"/>
              </w:rPr>
              <w:t>Payables from reverse purchase agreements and</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color w:val="auto"/>
              </w:rPr>
              <w:t>security lendings and due to banks and correspondents</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5,316,312</w:t>
            </w:r>
          </w:p>
        </w:tc>
        <w:tc>
          <w:tcPr>
            <w:tcW w:w="68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3,911,664</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2,468,798</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4,853,520</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3,765,726</w:t>
            </w:r>
          </w:p>
        </w:tc>
        <w:tc>
          <w:tcPr>
            <w:tcW w:w="80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20,316,020</w:t>
            </w:r>
          </w:p>
        </w:tc>
        <w:tc>
          <w:tcPr>
            <w:tcW w:w="62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3,697,052</w:t>
            </w:r>
          </w:p>
        </w:tc>
        <w:tc>
          <w:tcPr>
            <w:tcW w:w="7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5,382,691</w:t>
            </w:r>
          </w:p>
        </w:tc>
        <w:tc>
          <w:tcPr>
            <w:tcW w:w="6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4,441,442</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4,079,266</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3,918,189</w:t>
            </w:r>
          </w:p>
        </w:tc>
        <w:tc>
          <w:tcPr>
            <w:tcW w:w="64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21,518,640</w:t>
            </w: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color w:val="auto"/>
              </w:rPr>
              <w:t>Financial liabilities designated at fair</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color w:val="auto"/>
              </w:rPr>
              <w:t>value through profit or loss</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1,055,893</w:t>
            </w: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1,055,893</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151,485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151,485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color w:val="auto"/>
              </w:rPr>
              <w:t>Bonds and notes issued</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453,752</w:t>
            </w:r>
          </w:p>
        </w:tc>
        <w:tc>
          <w:tcPr>
            <w:tcW w:w="6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521,224</w:t>
            </w:r>
          </w:p>
        </w:tc>
        <w:tc>
          <w:tcPr>
            <w:tcW w:w="60" w:type="dxa"/>
            <w:vAlign w:val="bottom"/>
          </w:tcPr>
          <w:p>
            <w:pPr>
              <w:spacing w:after="0"/>
              <w:rPr>
                <w:sz w:val="10"/>
                <w:szCs w:val="10"/>
                <w:color w:val="auto"/>
              </w:rPr>
            </w:pP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3,251,896</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9,223,703</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3,436,539</w:t>
            </w:r>
          </w:p>
        </w:tc>
        <w:tc>
          <w:tcPr>
            <w:tcW w:w="80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16,887,114</w:t>
            </w:r>
          </w:p>
        </w:tc>
        <w:tc>
          <w:tcPr>
            <w:tcW w:w="62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3,185,435</w:t>
            </w:r>
          </w:p>
        </w:tc>
        <w:tc>
          <w:tcPr>
            <w:tcW w:w="7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2,213,666</w:t>
            </w:r>
          </w:p>
        </w:tc>
        <w:tc>
          <w:tcPr>
            <w:tcW w:w="6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4,260,484</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6,629,122</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3,062,721</w:t>
            </w:r>
          </w:p>
        </w:tc>
        <w:tc>
          <w:tcPr>
            <w:tcW w:w="64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19,351,428</w:t>
            </w: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color w:val="auto"/>
              </w:rPr>
              <w:t>Lease liabilities</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245,001</w:t>
            </w:r>
          </w:p>
        </w:tc>
        <w:tc>
          <w:tcPr>
            <w:tcW w:w="680" w:type="dxa"/>
            <w:vAlign w:val="bottom"/>
            <w:gridSpan w:val="3"/>
          </w:tcPr>
          <w:p>
            <w:pPr>
              <w:jc w:val="right"/>
              <w:ind w:right="60"/>
              <w:spacing w:after="0" w:line="121" w:lineRule="exact"/>
              <w:rPr>
                <w:sz w:val="20"/>
                <w:szCs w:val="20"/>
                <w:color w:val="auto"/>
              </w:rPr>
            </w:pPr>
            <w:r>
              <w:rPr>
                <w:rFonts w:ascii="Arial" w:cs="Arial" w:eastAsia="Arial" w:hAnsi="Arial"/>
                <w:sz w:val="11"/>
                <w:szCs w:val="11"/>
                <w:color w:val="auto"/>
              </w:rPr>
              <w:t>25,443</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77,893</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299,620</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80,465</w:t>
            </w:r>
          </w:p>
        </w:tc>
        <w:tc>
          <w:tcPr>
            <w:tcW w:w="80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728,422</w:t>
            </w:r>
          </w:p>
        </w:tc>
        <w:tc>
          <w:tcPr>
            <w:tcW w:w="62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31,147</w:t>
            </w:r>
          </w:p>
        </w:tc>
        <w:tc>
          <w:tcPr>
            <w:tcW w:w="7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33,499</w:t>
            </w:r>
          </w:p>
        </w:tc>
        <w:tc>
          <w:tcPr>
            <w:tcW w:w="6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93,536</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229,166</w:t>
            </w:r>
          </w:p>
        </w:tc>
        <w:tc>
          <w:tcPr>
            <w:tcW w:w="40" w:type="dxa"/>
            <w:vAlign w:val="bottom"/>
          </w:tcPr>
          <w:p>
            <w:pPr>
              <w:spacing w:after="0"/>
              <w:rPr>
                <w:sz w:val="10"/>
                <w:szCs w:val="10"/>
                <w:color w:val="auto"/>
              </w:rPr>
            </w:pPr>
          </w:p>
        </w:tc>
        <w:tc>
          <w:tcPr>
            <w:tcW w:w="6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104,285</w:t>
            </w:r>
          </w:p>
        </w:tc>
        <w:tc>
          <w:tcPr>
            <w:tcW w:w="120" w:type="dxa"/>
            <w:vAlign w:val="bottom"/>
          </w:tcPr>
          <w:p>
            <w:pPr>
              <w:spacing w:after="0"/>
              <w:rPr>
                <w:sz w:val="10"/>
                <w:szCs w:val="10"/>
                <w:color w:val="auto"/>
              </w:rPr>
            </w:pPr>
          </w:p>
        </w:tc>
        <w:tc>
          <w:tcPr>
            <w:tcW w:w="6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491,633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20"/>
                <w:szCs w:val="20"/>
                <w:color w:val="auto"/>
              </w:rPr>
            </w:pPr>
            <w:r>
              <w:rPr>
                <w:rFonts w:ascii="Arial" w:cs="Arial" w:eastAsia="Arial" w:hAnsi="Arial"/>
                <w:sz w:val="11"/>
                <w:szCs w:val="11"/>
                <w:color w:val="auto"/>
              </w:rPr>
              <w:t>Other liabilities</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4,937,226</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696,978</w:t>
            </w:r>
          </w:p>
        </w:tc>
        <w:tc>
          <w:tcPr>
            <w:tcW w:w="6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115,089</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22,892</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1,321,725</w:t>
            </w: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7,093,910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4,086,668</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297,762</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234,627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27,317</w:t>
            </w: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1,921,410</w:t>
            </w:r>
          </w:p>
        </w:tc>
        <w:tc>
          <w:tcPr>
            <w:tcW w:w="640" w:type="dxa"/>
            <w:vAlign w:val="bottom"/>
            <w:gridSpan w:val="3"/>
          </w:tcPr>
          <w:p>
            <w:pPr>
              <w:jc w:val="right"/>
              <w:ind w:right="20"/>
              <w:spacing w:after="0"/>
              <w:rPr>
                <w:sz w:val="20"/>
                <w:szCs w:val="20"/>
                <w:color w:val="auto"/>
              </w:rPr>
            </w:pPr>
            <w:r>
              <w:rPr>
                <w:rFonts w:ascii="Arial" w:cs="Arial" w:eastAsia="Arial" w:hAnsi="Arial"/>
                <w:sz w:val="11"/>
                <w:szCs w:val="11"/>
                <w:color w:val="auto"/>
              </w:rPr>
              <w:t>6,567,784</w:t>
            </w: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b w:val="1"/>
                <w:bCs w:val="1"/>
                <w:color w:val="auto"/>
              </w:rPr>
              <w:t>Total liabilities</w:t>
            </w:r>
          </w:p>
        </w:tc>
        <w:tc>
          <w:tcPr>
            <w:tcW w:w="5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39,968,283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w w:val="98"/>
              </w:rPr>
              <w:t>27,721,212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w w:val="98"/>
              </w:rPr>
              <w:t>38,240,855</w:t>
            </w:r>
          </w:p>
        </w:tc>
        <w:tc>
          <w:tcPr>
            <w:tcW w:w="120" w:type="dxa"/>
            <w:vAlign w:val="bottom"/>
          </w:tcPr>
          <w:p>
            <w:pPr>
              <w:spacing w:after="0"/>
              <w:rPr>
                <w:sz w:val="10"/>
                <w:szCs w:val="10"/>
                <w:color w:val="auto"/>
              </w:rPr>
            </w:pPr>
          </w:p>
        </w:tc>
        <w:tc>
          <w:tcPr>
            <w:tcW w:w="5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w w:val="98"/>
              </w:rPr>
              <w:t>63,672,297</w:t>
            </w: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47,525,170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w w:val="98"/>
              </w:rPr>
              <w:t>217,127,817</w:t>
            </w:r>
          </w:p>
        </w:tc>
        <w:tc>
          <w:tcPr>
            <w:tcW w:w="120" w:type="dxa"/>
            <w:vAlign w:val="bottom"/>
          </w:tcPr>
          <w:p>
            <w:pPr>
              <w:spacing w:after="0"/>
              <w:rPr>
                <w:sz w:val="10"/>
                <w:szCs w:val="10"/>
                <w:color w:val="auto"/>
              </w:rPr>
            </w:pPr>
          </w:p>
        </w:tc>
        <w:tc>
          <w:tcPr>
            <w:tcW w:w="5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w w:val="98"/>
              </w:rPr>
              <w:t>42,137,270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w w:val="98"/>
              </w:rPr>
              <w:t>28,440,277</w:t>
            </w: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49,097,482</w:t>
            </w: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56,103,173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w w:val="98"/>
              </w:rPr>
              <w:t>35,742,156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20"/>
              <w:spacing w:after="0" w:line="121" w:lineRule="exact"/>
              <w:rPr>
                <w:sz w:val="20"/>
                <w:szCs w:val="20"/>
                <w:color w:val="auto"/>
              </w:rPr>
            </w:pPr>
            <w:r>
              <w:rPr>
                <w:rFonts w:ascii="Arial" w:cs="Arial" w:eastAsia="Arial" w:hAnsi="Arial"/>
                <w:sz w:val="11"/>
                <w:szCs w:val="11"/>
                <w:color w:val="auto"/>
                <w:w w:val="94"/>
              </w:rPr>
              <w:t>211,520,358</w:t>
            </w:r>
          </w:p>
        </w:tc>
        <w:tc>
          <w:tcPr>
            <w:tcW w:w="0" w:type="dxa"/>
            <w:vAlign w:val="bottom"/>
          </w:tcPr>
          <w:p>
            <w:pPr>
              <w:spacing w:after="0"/>
              <w:rPr>
                <w:sz w:val="1"/>
                <w:szCs w:val="1"/>
                <w:color w:val="auto"/>
              </w:rPr>
            </w:pPr>
          </w:p>
        </w:tc>
      </w:tr>
      <w:tr>
        <w:trPr>
          <w:trHeight w:val="218"/>
        </w:trPr>
        <w:tc>
          <w:tcPr>
            <w:tcW w:w="2900" w:type="dxa"/>
            <w:vAlign w:val="bottom"/>
          </w:tcPr>
          <w:p>
            <w:pPr>
              <w:spacing w:after="0"/>
              <w:rPr>
                <w:sz w:val="20"/>
                <w:szCs w:val="20"/>
                <w:color w:val="auto"/>
              </w:rPr>
            </w:pPr>
            <w:r>
              <w:rPr>
                <w:rFonts w:ascii="Arial" w:cs="Arial" w:eastAsia="Arial" w:hAnsi="Arial"/>
                <w:sz w:val="11"/>
                <w:szCs w:val="11"/>
                <w:b w:val="1"/>
                <w:bCs w:val="1"/>
                <w:color w:val="auto"/>
              </w:rPr>
              <w:t>Derivative financial liabilities -</w:t>
            </w: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color w:val="auto"/>
              </w:rPr>
              <w:t>Contractual amounts receivable (inflows)</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720,741</w:t>
            </w:r>
          </w:p>
        </w:tc>
        <w:tc>
          <w:tcPr>
            <w:tcW w:w="6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480,314</w:t>
            </w:r>
          </w:p>
        </w:tc>
        <w:tc>
          <w:tcPr>
            <w:tcW w:w="60" w:type="dxa"/>
            <w:vAlign w:val="bottom"/>
          </w:tcPr>
          <w:p>
            <w:pPr>
              <w:spacing w:after="0"/>
              <w:rPr>
                <w:sz w:val="10"/>
                <w:szCs w:val="10"/>
                <w:color w:val="auto"/>
              </w:rPr>
            </w:pP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1,080,425</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1,560,389</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183,588</w:t>
            </w:r>
          </w:p>
        </w:tc>
        <w:tc>
          <w:tcPr>
            <w:tcW w:w="40" w:type="dxa"/>
            <w:vAlign w:val="bottom"/>
          </w:tcPr>
          <w:p>
            <w:pPr>
              <w:spacing w:after="0"/>
              <w:rPr>
                <w:sz w:val="10"/>
                <w:szCs w:val="10"/>
                <w:color w:val="auto"/>
              </w:rPr>
            </w:pPr>
          </w:p>
        </w:tc>
        <w:tc>
          <w:tcPr>
            <w:tcW w:w="80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4,025,457</w:t>
            </w:r>
          </w:p>
        </w:tc>
        <w:tc>
          <w:tcPr>
            <w:tcW w:w="62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1,960,811</w:t>
            </w:r>
          </w:p>
        </w:tc>
        <w:tc>
          <w:tcPr>
            <w:tcW w:w="720" w:type="dxa"/>
            <w:vAlign w:val="bottom"/>
            <w:gridSpan w:val="3"/>
          </w:tcPr>
          <w:p>
            <w:pPr>
              <w:jc w:val="right"/>
              <w:ind w:right="100"/>
              <w:spacing w:after="0" w:line="121" w:lineRule="exact"/>
              <w:rPr>
                <w:sz w:val="20"/>
                <w:szCs w:val="20"/>
                <w:color w:val="auto"/>
              </w:rPr>
            </w:pPr>
            <w:r>
              <w:rPr>
                <w:rFonts w:ascii="Arial" w:cs="Arial" w:eastAsia="Arial" w:hAnsi="Arial"/>
                <w:sz w:val="11"/>
                <w:szCs w:val="11"/>
                <w:color w:val="auto"/>
              </w:rPr>
              <w:t>3,420,416</w:t>
            </w:r>
          </w:p>
        </w:tc>
        <w:tc>
          <w:tcPr>
            <w:tcW w:w="6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4,858,373</w:t>
            </w:r>
          </w:p>
        </w:tc>
        <w:tc>
          <w:tcPr>
            <w:tcW w:w="620" w:type="dxa"/>
            <w:vAlign w:val="bottom"/>
            <w:gridSpan w:val="2"/>
          </w:tcPr>
          <w:p>
            <w:pPr>
              <w:jc w:val="right"/>
              <w:ind w:right="40"/>
              <w:spacing w:after="0" w:line="121" w:lineRule="exact"/>
              <w:rPr>
                <w:sz w:val="20"/>
                <w:szCs w:val="20"/>
                <w:color w:val="auto"/>
              </w:rPr>
            </w:pPr>
            <w:r>
              <w:rPr>
                <w:rFonts w:ascii="Arial" w:cs="Arial" w:eastAsia="Arial" w:hAnsi="Arial"/>
                <w:sz w:val="11"/>
                <w:szCs w:val="11"/>
                <w:color w:val="auto"/>
              </w:rPr>
              <w:t>1,013,090</w:t>
            </w:r>
          </w:p>
        </w:tc>
        <w:tc>
          <w:tcPr>
            <w:tcW w:w="740" w:type="dxa"/>
            <w:vAlign w:val="bottom"/>
            <w:gridSpan w:val="3"/>
          </w:tcPr>
          <w:p>
            <w:pPr>
              <w:jc w:val="right"/>
              <w:ind w:right="120"/>
              <w:spacing w:after="0" w:line="121" w:lineRule="exact"/>
              <w:rPr>
                <w:sz w:val="20"/>
                <w:szCs w:val="20"/>
                <w:color w:val="auto"/>
              </w:rPr>
            </w:pPr>
            <w:r>
              <w:rPr>
                <w:rFonts w:ascii="Arial" w:cs="Arial" w:eastAsia="Arial" w:hAnsi="Arial"/>
                <w:sz w:val="11"/>
                <w:szCs w:val="11"/>
                <w:color w:val="auto"/>
              </w:rPr>
              <w:t>20,320</w:t>
            </w:r>
          </w:p>
        </w:tc>
        <w:tc>
          <w:tcPr>
            <w:tcW w:w="640" w:type="dxa"/>
            <w:vAlign w:val="bottom"/>
            <w:gridSpan w:val="3"/>
          </w:tcPr>
          <w:p>
            <w:pPr>
              <w:jc w:val="right"/>
              <w:ind w:right="20"/>
              <w:spacing w:after="0" w:line="121" w:lineRule="exact"/>
              <w:rPr>
                <w:sz w:val="20"/>
                <w:szCs w:val="20"/>
                <w:color w:val="auto"/>
              </w:rPr>
            </w:pPr>
            <w:r>
              <w:rPr>
                <w:rFonts w:ascii="Arial" w:cs="Arial" w:eastAsia="Arial" w:hAnsi="Arial"/>
                <w:sz w:val="11"/>
                <w:szCs w:val="11"/>
                <w:color w:val="auto"/>
              </w:rPr>
              <w:t>11,273,010</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20"/>
                <w:szCs w:val="20"/>
                <w:color w:val="auto"/>
              </w:rPr>
            </w:pPr>
            <w:r>
              <w:rPr>
                <w:rFonts w:ascii="Arial" w:cs="Arial" w:eastAsia="Arial" w:hAnsi="Arial"/>
                <w:sz w:val="11"/>
                <w:szCs w:val="11"/>
                <w:color w:val="auto"/>
              </w:rPr>
              <w:t>Contractual amounts payable (outflows)</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718,192</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492,021</w:t>
            </w:r>
          </w:p>
        </w:tc>
        <w:tc>
          <w:tcPr>
            <w:tcW w:w="6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1,103,870</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1,588,286</w:t>
            </w:r>
          </w:p>
        </w:tc>
        <w:tc>
          <w:tcPr>
            <w:tcW w:w="580" w:type="dxa"/>
            <w:vAlign w:val="bottom"/>
          </w:tcPr>
          <w:p>
            <w:pPr>
              <w:jc w:val="right"/>
              <w:spacing w:after="0"/>
              <w:rPr>
                <w:sz w:val="20"/>
                <w:szCs w:val="20"/>
                <w:color w:val="auto"/>
              </w:rPr>
            </w:pPr>
            <w:r>
              <w:rPr>
                <w:rFonts w:ascii="Arial" w:cs="Arial" w:eastAsia="Arial" w:hAnsi="Arial"/>
                <w:sz w:val="11"/>
                <w:szCs w:val="11"/>
                <w:color w:val="auto"/>
              </w:rPr>
              <w:t>195,688</w:t>
            </w:r>
          </w:p>
        </w:tc>
        <w:tc>
          <w:tcPr>
            <w:tcW w:w="4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4,098,057</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1,955,324</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3,416,357</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4,877,328</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1,034,592</w:t>
            </w: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21,027</w:t>
            </w:r>
          </w:p>
        </w:tc>
        <w:tc>
          <w:tcPr>
            <w:tcW w:w="640" w:type="dxa"/>
            <w:vAlign w:val="bottom"/>
            <w:gridSpan w:val="3"/>
          </w:tcPr>
          <w:p>
            <w:pPr>
              <w:jc w:val="right"/>
              <w:ind w:right="20"/>
              <w:spacing w:after="0"/>
              <w:rPr>
                <w:sz w:val="20"/>
                <w:szCs w:val="20"/>
                <w:color w:val="auto"/>
              </w:rPr>
            </w:pPr>
            <w:r>
              <w:rPr>
                <w:rFonts w:ascii="Arial" w:cs="Arial" w:eastAsia="Arial" w:hAnsi="Arial"/>
                <w:sz w:val="11"/>
                <w:szCs w:val="11"/>
                <w:color w:val="auto"/>
              </w:rPr>
              <w:t>11,304,628</w:t>
            </w: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1"/>
                <w:szCs w:val="11"/>
                <w:b w:val="1"/>
                <w:bCs w:val="1"/>
                <w:color w:val="auto"/>
              </w:rPr>
              <w:t>Total liabilities</w:t>
            </w: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2,549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(11,707)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(23,445)</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(27,897)</w:t>
            </w: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(12,100)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(72,600)</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5,487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4,059</w:t>
            </w: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(18,955)</w:t>
            </w: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(21,502)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(707)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20"/>
              <w:spacing w:after="0" w:line="121" w:lineRule="exact"/>
              <w:rPr>
                <w:sz w:val="20"/>
                <w:szCs w:val="20"/>
                <w:color w:val="auto"/>
              </w:rPr>
            </w:pPr>
            <w:r>
              <w:rPr>
                <w:rFonts w:ascii="Arial" w:cs="Arial" w:eastAsia="Arial" w:hAnsi="Arial"/>
                <w:sz w:val="11"/>
                <w:szCs w:val="11"/>
                <w:color w:val="auto"/>
              </w:rPr>
              <w:t>(31,618)</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168" w:name="page169"/>
    <w:bookmarkEnd w:id="168"/>
    <w:p>
      <w:pPr>
        <w:spacing w:after="0"/>
        <w:tabs>
          <w:tab w:leader="none" w:pos="560" w:val="left"/>
        </w:tabs>
        <w:rPr>
          <w:sz w:val="20"/>
          <w:szCs w:val="20"/>
          <w:color w:val="auto"/>
        </w:rPr>
      </w:pPr>
      <w:r>
        <w:rPr>
          <w:rFonts w:ascii="Arial" w:cs="Arial" w:eastAsia="Arial" w:hAnsi="Arial"/>
          <w:sz w:val="16"/>
          <w:szCs w:val="16"/>
          <w:b w:val="1"/>
          <w:bCs w:val="1"/>
          <w:color w:val="auto"/>
        </w:rPr>
        <w:t>30.4</w:t>
        <w:tab/>
        <w:t>Non-financial risk -</w:t>
      </w:r>
    </w:p>
    <w:p>
      <w:pPr>
        <w:spacing w:after="0" w:line="190" w:lineRule="exact"/>
        <w:rPr>
          <w:sz w:val="20"/>
          <w:szCs w:val="20"/>
          <w:color w:val="auto"/>
        </w:rPr>
      </w:pPr>
    </w:p>
    <w:p>
      <w:pPr>
        <w:ind w:left="580" w:right="40"/>
        <w:spacing w:after="0" w:line="248" w:lineRule="auto"/>
        <w:rPr>
          <w:sz w:val="20"/>
          <w:szCs w:val="20"/>
          <w:color w:val="auto"/>
        </w:rPr>
      </w:pPr>
      <w:r>
        <w:rPr>
          <w:rFonts w:ascii="Arial" w:cs="Arial" w:eastAsia="Arial" w:hAnsi="Arial"/>
          <w:sz w:val="16"/>
          <w:szCs w:val="16"/>
          <w:color w:val="auto"/>
        </w:rPr>
        <w:t>A non-financial risk (NFR) is broadly defined by exclusion, encompassing any risk other than financial market, credit and liquidity risks. NFR may have substantial negative strategic, commercial, economic and/or reputational implications. They include operational risks as defined by Basel’s seven types of operational risk events, as well as other significant risks such as technology, cyber, conduct, model, compliance, strategic and third-party risks.</w:t>
      </w:r>
    </w:p>
    <w:p>
      <w:pPr>
        <w:spacing w:after="0" w:line="144" w:lineRule="exact"/>
        <w:rPr>
          <w:sz w:val="20"/>
          <w:szCs w:val="20"/>
          <w:color w:val="auto"/>
        </w:rPr>
      </w:pPr>
    </w:p>
    <w:p>
      <w:pPr>
        <w:ind w:left="580" w:right="100"/>
        <w:spacing w:after="0" w:line="255" w:lineRule="auto"/>
        <w:rPr>
          <w:sz w:val="20"/>
          <w:szCs w:val="20"/>
          <w:color w:val="auto"/>
        </w:rPr>
      </w:pPr>
      <w:r>
        <w:rPr>
          <w:rFonts w:ascii="Arial" w:cs="Arial" w:eastAsia="Arial" w:hAnsi="Arial"/>
          <w:sz w:val="16"/>
          <w:szCs w:val="16"/>
          <w:color w:val="auto"/>
        </w:rPr>
        <w:t>The management of non-financial risks has become increasingly challenging due to the added complexity of rapid technological advancements, extensive process automation, greater reliance on systems rather than people, and transformational processes. These changes in the way financial institutions operate have led to new risk exposures, including attacks affecting the Group’s services, data theft and online fraud.</w:t>
      </w:r>
    </w:p>
    <w:p>
      <w:pPr>
        <w:spacing w:after="0" w:line="1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30.5</w:t>
        <w:tab/>
        <w:t>Operational risk -</w:t>
      </w:r>
    </w:p>
    <w:p>
      <w:pPr>
        <w:spacing w:after="0" w:line="190" w:lineRule="exact"/>
        <w:rPr>
          <w:sz w:val="20"/>
          <w:szCs w:val="20"/>
          <w:color w:val="auto"/>
        </w:rPr>
      </w:pPr>
    </w:p>
    <w:p>
      <w:pPr>
        <w:ind w:left="580" w:right="80"/>
        <w:spacing w:after="0" w:line="255" w:lineRule="auto"/>
        <w:rPr>
          <w:sz w:val="20"/>
          <w:szCs w:val="20"/>
          <w:color w:val="auto"/>
        </w:rPr>
      </w:pPr>
      <w:r>
        <w:rPr>
          <w:rFonts w:ascii="Arial" w:cs="Arial" w:eastAsia="Arial" w:hAnsi="Arial"/>
          <w:sz w:val="16"/>
          <w:szCs w:val="16"/>
          <w:color w:val="auto"/>
        </w:rPr>
        <w:t>Operational risk is the possibility of incurring losses due to inadequate processes, human error, information technology failures, third party relationships or external events. These risks can result in financial losses and have legal or regulatory compliance consequences, but they exclude strategic or reputational risk (except for companies under Colombian regulations, where reputational risk is included in operational risk).</w:t>
      </w:r>
    </w:p>
    <w:p>
      <w:pPr>
        <w:spacing w:after="0" w:line="137" w:lineRule="exact"/>
        <w:rPr>
          <w:sz w:val="20"/>
          <w:szCs w:val="20"/>
          <w:color w:val="auto"/>
        </w:rPr>
      </w:pPr>
    </w:p>
    <w:p>
      <w:pPr>
        <w:ind w:left="580" w:right="220"/>
        <w:spacing w:after="0" w:line="274" w:lineRule="auto"/>
        <w:rPr>
          <w:sz w:val="20"/>
          <w:szCs w:val="20"/>
          <w:color w:val="auto"/>
        </w:rPr>
      </w:pPr>
      <w:r>
        <w:rPr>
          <w:rFonts w:ascii="Arial" w:cs="Arial" w:eastAsia="Arial" w:hAnsi="Arial"/>
          <w:sz w:val="16"/>
          <w:szCs w:val="16"/>
          <w:color w:val="auto"/>
        </w:rPr>
        <w:t>Operational risks are categorized into internal fraud, external fraud, labor relations and job security, customer relations, business products and practices, damage to material assets, business and systems interruption, and failures in process, execution, delivery and management.</w:t>
      </w:r>
    </w:p>
    <w:p>
      <w:pPr>
        <w:spacing w:after="0" w:line="123" w:lineRule="exact"/>
        <w:rPr>
          <w:sz w:val="20"/>
          <w:szCs w:val="20"/>
          <w:color w:val="auto"/>
        </w:rPr>
      </w:pPr>
    </w:p>
    <w:p>
      <w:pPr>
        <w:jc w:val="both"/>
        <w:ind w:left="580"/>
        <w:spacing w:after="0" w:line="255" w:lineRule="auto"/>
        <w:rPr>
          <w:sz w:val="20"/>
          <w:szCs w:val="20"/>
          <w:color w:val="auto"/>
        </w:rPr>
      </w:pPr>
      <w:r>
        <w:rPr>
          <w:rFonts w:ascii="Arial" w:cs="Arial" w:eastAsia="Arial" w:hAnsi="Arial"/>
          <w:sz w:val="16"/>
          <w:szCs w:val="16"/>
          <w:color w:val="auto"/>
        </w:rPr>
        <w:t>One of the Group’s pillars is to cultivate an efficient risk culture. To achieve this, it records operational risks and their respective process controls. The risk map allows for the monitoring, prioritization and proposed treatment of these risks according to established governance. Additionally, the Group actively manages cybersecurity and fraud prevention, aligning with best international practices.</w:t>
      </w:r>
    </w:p>
    <w:p>
      <w:pPr>
        <w:spacing w:after="0" w:line="137" w:lineRule="exact"/>
        <w:rPr>
          <w:sz w:val="20"/>
          <w:szCs w:val="20"/>
          <w:color w:val="auto"/>
        </w:rPr>
      </w:pPr>
    </w:p>
    <w:p>
      <w:pPr>
        <w:ind w:left="580" w:right="480"/>
        <w:spacing w:after="0" w:line="255" w:lineRule="auto"/>
        <w:rPr>
          <w:sz w:val="20"/>
          <w:szCs w:val="20"/>
          <w:color w:val="auto"/>
        </w:rPr>
      </w:pPr>
      <w:r>
        <w:rPr>
          <w:rFonts w:ascii="Arial" w:cs="Arial" w:eastAsia="Arial" w:hAnsi="Arial"/>
          <w:sz w:val="16"/>
          <w:szCs w:val="16"/>
          <w:color w:val="auto"/>
        </w:rPr>
        <w:t>The business continuity management system enables the establishment, implementation, operation, monitoring, review, maintenance, and improvement of business continuity based on best practices and regulatory requirements. The Group implements recovery strategies for resources that support critical products and services, which are periodically tested to measure the effectiveness of these strategies.</w:t>
      </w:r>
    </w:p>
    <w:p>
      <w:pPr>
        <w:spacing w:after="0" w:line="137" w:lineRule="exact"/>
        <w:rPr>
          <w:sz w:val="20"/>
          <w:szCs w:val="20"/>
          <w:color w:val="auto"/>
        </w:rPr>
      </w:pPr>
    </w:p>
    <w:p>
      <w:pPr>
        <w:ind w:left="580" w:right="140"/>
        <w:spacing w:after="0" w:line="274" w:lineRule="auto"/>
        <w:rPr>
          <w:sz w:val="20"/>
          <w:szCs w:val="20"/>
          <w:color w:val="auto"/>
        </w:rPr>
      </w:pPr>
      <w:r>
        <w:rPr>
          <w:rFonts w:ascii="Arial" w:cs="Arial" w:eastAsia="Arial" w:hAnsi="Arial"/>
          <w:sz w:val="16"/>
          <w:szCs w:val="16"/>
          <w:color w:val="auto"/>
        </w:rPr>
        <w:t>In managing operational risk, cybersecurity, fraud prevention and business continuity, corporate guidelines are utilized, methodologies and best practices are shared among the Group’s companies.</w:t>
      </w:r>
    </w:p>
    <w:p>
      <w:pPr>
        <w:spacing w:after="0" w:line="123" w:lineRule="exact"/>
        <w:rPr>
          <w:sz w:val="20"/>
          <w:szCs w:val="20"/>
          <w:color w:val="auto"/>
        </w:rPr>
      </w:pPr>
    </w:p>
    <w:p>
      <w:pPr>
        <w:ind w:left="580" w:right="160"/>
        <w:spacing w:after="0" w:line="248" w:lineRule="auto"/>
        <w:rPr>
          <w:sz w:val="20"/>
          <w:szCs w:val="20"/>
          <w:color w:val="auto"/>
        </w:rPr>
      </w:pPr>
      <w:r>
        <w:rPr>
          <w:rFonts w:ascii="Arial" w:cs="Arial" w:eastAsia="Arial" w:hAnsi="Arial"/>
          <w:sz w:val="16"/>
          <w:szCs w:val="16"/>
          <w:color w:val="auto"/>
        </w:rPr>
        <w:t>We also have recovery mechanisms for the materialization of operational risks, primarily through insurance policies contracted for all Credicorp Group companies in the international market. These policies cover losses due to fraud events, professional liability, cyber risks, and directors’ liability. Additionally, we have insurance policies individually contracted by Credicorp companies in the local market that cover losses due to material damage to physical assets and civil liability.</w:t>
      </w:r>
    </w:p>
    <w:p>
      <w:pPr>
        <w:spacing w:after="0" w:line="30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- 164 -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880"/>
          </w:cols>
          <w:pgMar w:left="600" w:top="473" w:right="419" w:bottom="1440" w:gutter="0" w:footer="0" w:header="0"/>
        </w:sectPr>
      </w:pPr>
    </w:p>
    <w:bookmarkStart w:id="169" w:name="page170"/>
    <w:bookmarkEnd w:id="169"/>
    <w:p>
      <w:pPr>
        <w:spacing w:after="0"/>
        <w:tabs>
          <w:tab w:leader="none" w:pos="560" w:val="left"/>
        </w:tabs>
        <w:rPr>
          <w:sz w:val="20"/>
          <w:szCs w:val="20"/>
          <w:color w:val="auto"/>
        </w:rPr>
      </w:pPr>
      <w:r>
        <w:rPr>
          <w:rFonts w:ascii="Arial" w:cs="Arial" w:eastAsia="Arial" w:hAnsi="Arial"/>
          <w:sz w:val="16"/>
          <w:szCs w:val="16"/>
          <w:b w:val="1"/>
          <w:bCs w:val="1"/>
          <w:color w:val="auto"/>
        </w:rPr>
        <w:t>30.6</w:t>
        <w:tab/>
        <w:t>Cybersecurity -</w:t>
      </w:r>
    </w:p>
    <w:p>
      <w:pPr>
        <w:spacing w:after="0" w:line="190" w:lineRule="exact"/>
        <w:rPr>
          <w:sz w:val="20"/>
          <w:szCs w:val="20"/>
          <w:color w:val="auto"/>
        </w:rPr>
      </w:pPr>
    </w:p>
    <w:p>
      <w:pPr>
        <w:ind w:left="580" w:right="220"/>
        <w:spacing w:after="0" w:line="255" w:lineRule="auto"/>
        <w:rPr>
          <w:sz w:val="20"/>
          <w:szCs w:val="20"/>
          <w:color w:val="auto"/>
        </w:rPr>
      </w:pPr>
      <w:r>
        <w:rPr>
          <w:rFonts w:ascii="Arial" w:cs="Arial" w:eastAsia="Arial" w:hAnsi="Arial"/>
          <w:sz w:val="16"/>
          <w:szCs w:val="16"/>
          <w:color w:val="auto"/>
        </w:rPr>
        <w:t>Credicorp directs its efforts towards cost-efficient strategies to minimize the exposure to cybersecurity risk. To this end, it implements different levels of controls adapted to the different areas and potentially vulnerable companies. In addition, it maintains a significant investment program that ensures the availability of technologies and processes necessary to protect the Group’s operations and assets.</w:t>
      </w:r>
    </w:p>
    <w:p>
      <w:pPr>
        <w:spacing w:after="0" w:line="137" w:lineRule="exact"/>
        <w:rPr>
          <w:sz w:val="20"/>
          <w:szCs w:val="20"/>
          <w:color w:val="auto"/>
        </w:rPr>
      </w:pPr>
    </w:p>
    <w:p>
      <w:pPr>
        <w:ind w:left="580" w:right="400"/>
        <w:spacing w:after="0" w:line="243" w:lineRule="auto"/>
        <w:rPr>
          <w:sz w:val="20"/>
          <w:szCs w:val="20"/>
          <w:color w:val="auto"/>
        </w:rPr>
      </w:pPr>
      <w:r>
        <w:rPr>
          <w:rFonts w:ascii="Arial" w:cs="Arial" w:eastAsia="Arial" w:hAnsi="Arial"/>
          <w:sz w:val="16"/>
          <w:szCs w:val="16"/>
          <w:color w:val="auto"/>
        </w:rPr>
        <w:t>Within the framework of cybersecurity governance, the Group has a Credicorp CISO and a corporate team dedicated to implementing and ensuring compliance with the cybersecurity strategy across all companies. A corporate strategy and plan has been established that includes implementation priorities and improvements, adapted to each company’s specific context. These lines of work comprise the Cybersecurity Strategy, which is constantly reviewed considering the global scenario, risk profile, standards, frameworks and regulations, with the aim of ensuring business continuity, resilience and data privacy. In addition, a robust cybersecurity framework is adopted that allows adjusting cybersecurity controls for each Group company, managing and remediating vulnerabilities in an early and timely manner.</w:t>
      </w:r>
    </w:p>
    <w:p>
      <w:pPr>
        <w:spacing w:after="0" w:line="149" w:lineRule="exact"/>
        <w:rPr>
          <w:sz w:val="20"/>
          <w:szCs w:val="20"/>
          <w:color w:val="auto"/>
        </w:rPr>
      </w:pPr>
    </w:p>
    <w:p>
      <w:pPr>
        <w:ind w:left="580" w:right="540"/>
        <w:spacing w:after="0" w:line="274" w:lineRule="auto"/>
        <w:rPr>
          <w:sz w:val="20"/>
          <w:szCs w:val="20"/>
          <w:color w:val="auto"/>
        </w:rPr>
      </w:pPr>
      <w:r>
        <w:rPr>
          <w:rFonts w:ascii="Arial" w:cs="Arial" w:eastAsia="Arial" w:hAnsi="Arial"/>
          <w:sz w:val="16"/>
          <w:szCs w:val="16"/>
          <w:color w:val="auto"/>
        </w:rPr>
        <w:t>The Group also has an awareness and continuous training program for its employees, fostering a culture of cybersecurity awareness in all companies. In addition, cybersecurity indicators are used to ensure alignment between operations and the Group’s business strategy.</w:t>
      </w:r>
    </w:p>
    <w:p>
      <w:pPr>
        <w:spacing w:after="0" w:line="123" w:lineRule="exact"/>
        <w:rPr>
          <w:sz w:val="20"/>
          <w:szCs w:val="20"/>
          <w:color w:val="auto"/>
        </w:rPr>
      </w:pPr>
    </w:p>
    <w:p>
      <w:pPr>
        <w:ind w:left="580" w:right="580"/>
        <w:spacing w:after="0" w:line="274" w:lineRule="auto"/>
        <w:rPr>
          <w:sz w:val="20"/>
          <w:szCs w:val="20"/>
          <w:color w:val="auto"/>
        </w:rPr>
      </w:pPr>
      <w:r>
        <w:rPr>
          <w:rFonts w:ascii="Arial" w:cs="Arial" w:eastAsia="Arial" w:hAnsi="Arial"/>
          <w:sz w:val="16"/>
          <w:szCs w:val="16"/>
          <w:color w:val="auto"/>
        </w:rPr>
        <w:t>Group companies have third-party governance policies in place, which establish the security requirements to be met by service providers, compliance with which is mandatory.</w:t>
      </w:r>
    </w:p>
    <w:p>
      <w:pPr>
        <w:spacing w:after="0" w:line="123" w:lineRule="exact"/>
        <w:rPr>
          <w:sz w:val="20"/>
          <w:szCs w:val="20"/>
          <w:color w:val="auto"/>
        </w:rPr>
      </w:pPr>
    </w:p>
    <w:p>
      <w:pPr>
        <w:jc w:val="both"/>
        <w:ind w:left="580" w:right="20"/>
        <w:spacing w:after="0" w:line="255" w:lineRule="auto"/>
        <w:rPr>
          <w:sz w:val="20"/>
          <w:szCs w:val="20"/>
          <w:color w:val="auto"/>
        </w:rPr>
      </w:pPr>
      <w:r>
        <w:rPr>
          <w:rFonts w:ascii="Arial" w:cs="Arial" w:eastAsia="Arial" w:hAnsi="Arial"/>
          <w:sz w:val="16"/>
          <w:szCs w:val="16"/>
          <w:color w:val="auto"/>
        </w:rPr>
        <w:t>Finally, asset information security management is carried out through a systematic process, documented and known throughout the organization, following best practices and regulatory requirements. Guidelines based on policies and procedures are designed and developed to guarantee the availability, confidentiality and integrity of the information.</w:t>
      </w:r>
    </w:p>
    <w:p>
      <w:pPr>
        <w:spacing w:after="0" w:line="1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30.7</w:t>
        <w:tab/>
        <w:t>Corporate Security, Investigations and Cybercrime Management -</w:t>
      </w:r>
    </w:p>
    <w:p>
      <w:pPr>
        <w:spacing w:after="0" w:line="190" w:lineRule="exact"/>
        <w:rPr>
          <w:sz w:val="20"/>
          <w:szCs w:val="20"/>
          <w:color w:val="auto"/>
        </w:rPr>
      </w:pPr>
    </w:p>
    <w:p>
      <w:pPr>
        <w:ind w:left="580" w:right="300"/>
        <w:spacing w:after="0" w:line="274" w:lineRule="auto"/>
        <w:rPr>
          <w:sz w:val="20"/>
          <w:szCs w:val="20"/>
          <w:color w:val="auto"/>
        </w:rPr>
      </w:pPr>
      <w:r>
        <w:rPr>
          <w:rFonts w:ascii="Arial" w:cs="Arial" w:eastAsia="Arial" w:hAnsi="Arial"/>
          <w:sz w:val="16"/>
          <w:szCs w:val="16"/>
          <w:color w:val="auto"/>
        </w:rPr>
        <w:t>As part of the management of non-financial risks, the Corporate Security, Investigations and Cybercrime Area is responsible for detecting and responding to incidents involving fraud, cybercrime and physical security.</w:t>
      </w:r>
    </w:p>
    <w:p>
      <w:pPr>
        <w:spacing w:after="0" w:line="123" w:lineRule="exact"/>
        <w:rPr>
          <w:sz w:val="20"/>
          <w:szCs w:val="20"/>
          <w:color w:val="auto"/>
        </w:rPr>
      </w:pPr>
    </w:p>
    <w:p>
      <w:pPr>
        <w:ind w:left="580"/>
        <w:spacing w:after="0" w:line="245" w:lineRule="auto"/>
        <w:rPr>
          <w:sz w:val="20"/>
          <w:szCs w:val="20"/>
          <w:color w:val="auto"/>
        </w:rPr>
      </w:pPr>
      <w:r>
        <w:rPr>
          <w:rFonts w:ascii="Arial" w:cs="Arial" w:eastAsia="Arial" w:hAnsi="Arial"/>
          <w:sz w:val="16"/>
          <w:szCs w:val="16"/>
          <w:color w:val="auto"/>
        </w:rPr>
        <w:t>These efforts led out by specialized teams in investigations, cybercrime, electronic security, disaster management, and strategic intelligence activities, including social conflicts. Likewise, new capabilities have been incorporated into our infrastructure’s video surveillance system, which not only ensures compliance with new standards and regulations but also facilitates the integration of next-generation video intelligence functions. These include intelligent cameras supported by algorithms, analytics, and artificial intelligence, thus optimizing risk management with the expanded reach provided by current technology.</w:t>
      </w:r>
    </w:p>
    <w:p>
      <w:pPr>
        <w:spacing w:after="0" w:line="147" w:lineRule="exact"/>
        <w:rPr>
          <w:sz w:val="20"/>
          <w:szCs w:val="20"/>
          <w:color w:val="auto"/>
        </w:rPr>
      </w:pPr>
    </w:p>
    <w:p>
      <w:pPr>
        <w:ind w:left="580" w:right="220"/>
        <w:spacing w:after="0" w:line="248" w:lineRule="auto"/>
        <w:rPr>
          <w:sz w:val="20"/>
          <w:szCs w:val="20"/>
          <w:color w:val="auto"/>
        </w:rPr>
      </w:pPr>
      <w:r>
        <w:rPr>
          <w:rFonts w:ascii="Arial" w:cs="Arial" w:eastAsia="Arial" w:hAnsi="Arial"/>
          <w:sz w:val="16"/>
          <w:szCs w:val="16"/>
          <w:color w:val="auto"/>
        </w:rPr>
        <w:t>Finally, we contribute to the security of the Financial System are made through collaborative efforts carried out at both the local and regional levels. At the local level, these efforts are channeled through participation in the Association of Banks of Peru (ASBANC, by its acronym in Spanish), while at the Latin American level, they are conducted through the Committee of Security Experts of the Latin American Federation of Banks (FELABAN, by its acronym in Spanish).</w:t>
      </w:r>
    </w:p>
    <w:p>
      <w:pPr>
        <w:spacing w:after="0" w:line="14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30.8</w:t>
        <w:tab/>
        <w:t>Model Risk -</w:t>
      </w:r>
    </w:p>
    <w:p>
      <w:pPr>
        <w:spacing w:after="0" w:line="190" w:lineRule="exact"/>
        <w:rPr>
          <w:sz w:val="20"/>
          <w:szCs w:val="20"/>
          <w:color w:val="auto"/>
        </w:rPr>
      </w:pPr>
    </w:p>
    <w:p>
      <w:pPr>
        <w:ind w:left="580" w:right="320"/>
        <w:spacing w:after="0" w:line="274" w:lineRule="auto"/>
        <w:rPr>
          <w:sz w:val="20"/>
          <w:szCs w:val="20"/>
          <w:color w:val="auto"/>
        </w:rPr>
      </w:pPr>
      <w:r>
        <w:rPr>
          <w:rFonts w:ascii="Arial" w:cs="Arial" w:eastAsia="Arial" w:hAnsi="Arial"/>
          <w:sz w:val="16"/>
          <w:szCs w:val="16"/>
          <w:color w:val="auto"/>
        </w:rPr>
        <w:t>The Group uses models for different purposes such as credit admission, capital calculation, behavior, provisions, market risk, liquidity, among others.</w:t>
      </w:r>
    </w:p>
    <w:p>
      <w:pPr>
        <w:spacing w:after="0" w:line="123" w:lineRule="exact"/>
        <w:rPr>
          <w:sz w:val="20"/>
          <w:szCs w:val="20"/>
          <w:color w:val="auto"/>
        </w:rPr>
      </w:pPr>
    </w:p>
    <w:p>
      <w:pPr>
        <w:ind w:left="580" w:right="40"/>
        <w:spacing w:after="0" w:line="255" w:lineRule="auto"/>
        <w:rPr>
          <w:sz w:val="20"/>
          <w:szCs w:val="20"/>
          <w:color w:val="auto"/>
        </w:rPr>
      </w:pPr>
      <w:r>
        <w:rPr>
          <w:rFonts w:ascii="Arial" w:cs="Arial" w:eastAsia="Arial" w:hAnsi="Arial"/>
          <w:sz w:val="16"/>
          <w:szCs w:val="16"/>
          <w:color w:val="auto"/>
        </w:rPr>
        <w:t>Model risk is defined as the probability of loss resulting from decisions (credit, market, among others) based on the use of poorly designed and/or poorly implemented models. The sources that generate this risk are mainly: deficiencies in data, errors in the model (from design to implementation), use of the model.</w:t>
      </w:r>
    </w:p>
    <w:p>
      <w:pPr>
        <w:spacing w:after="0" w:line="29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- 165 -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20"/>
          </w:cols>
          <w:pgMar w:left="600" w:top="316" w:right="379" w:bottom="1440" w:gutter="0" w:footer="0" w:header="0"/>
        </w:sectPr>
      </w:pPr>
    </w:p>
    <w:bookmarkStart w:id="170" w:name="page171"/>
    <w:bookmarkEnd w:id="170"/>
    <w:p>
      <w:pPr>
        <w:ind w:left="580" w:right="40"/>
        <w:spacing w:after="0" w:line="255" w:lineRule="auto"/>
        <w:rPr>
          <w:sz w:val="20"/>
          <w:szCs w:val="20"/>
          <w:color w:val="auto"/>
        </w:rPr>
      </w:pPr>
      <w:r>
        <w:rPr>
          <w:rFonts w:ascii="Arial" w:cs="Arial" w:eastAsia="Arial" w:hAnsi="Arial"/>
          <w:sz w:val="16"/>
          <w:szCs w:val="16"/>
          <w:color w:val="auto"/>
        </w:rPr>
        <w:t>The management of model risk is proportional to the importance of each model. In this sense, a concept of “tiering” (measurement system that orders the models depending to the importance according to the impact on the business) is defined as the main attribute to synthesize the level of importance or relevance of a model, from which is determined the intensity of the model risk management processes to be followed.</w:t>
      </w:r>
    </w:p>
    <w:p>
      <w:pPr>
        <w:spacing w:after="0" w:line="137" w:lineRule="exact"/>
        <w:rPr>
          <w:sz w:val="20"/>
          <w:szCs w:val="20"/>
          <w:color w:val="auto"/>
        </w:rPr>
      </w:pPr>
    </w:p>
    <w:p>
      <w:pPr>
        <w:ind w:left="580" w:right="180"/>
        <w:spacing w:after="0" w:line="255" w:lineRule="auto"/>
        <w:rPr>
          <w:sz w:val="20"/>
          <w:szCs w:val="20"/>
          <w:color w:val="auto"/>
        </w:rPr>
      </w:pPr>
      <w:r>
        <w:rPr>
          <w:rFonts w:ascii="Arial" w:cs="Arial" w:eastAsia="Arial" w:hAnsi="Arial"/>
          <w:sz w:val="16"/>
          <w:szCs w:val="16"/>
          <w:color w:val="auto"/>
        </w:rPr>
        <w:t>Model risk management is structured around a set of processes known as the life cycle of the model. The definition of phases of the life cycle of the model in the Group is detailed below: Identification, Planning, Development, Internal Validation, Approval, Implementation and use, and Monitoring and control.</w:t>
      </w:r>
    </w:p>
    <w:p>
      <w:pPr>
        <w:spacing w:after="0" w:line="1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30.9</w:t>
        <w:tab/>
        <w:t>Risk of the insurance activity -</w:t>
      </w:r>
    </w:p>
    <w:p>
      <w:pPr>
        <w:spacing w:after="0" w:line="190" w:lineRule="exact"/>
        <w:rPr>
          <w:sz w:val="20"/>
          <w:szCs w:val="20"/>
          <w:color w:val="auto"/>
        </w:rPr>
      </w:pPr>
    </w:p>
    <w:p>
      <w:pPr>
        <w:ind w:left="580" w:right="300"/>
        <w:spacing w:after="0" w:line="255" w:lineRule="auto"/>
        <w:rPr>
          <w:sz w:val="20"/>
          <w:szCs w:val="20"/>
          <w:color w:val="auto"/>
        </w:rPr>
      </w:pPr>
      <w:r>
        <w:rPr>
          <w:rFonts w:ascii="Arial" w:cs="Arial" w:eastAsia="Arial" w:hAnsi="Arial"/>
          <w:sz w:val="16"/>
          <w:szCs w:val="16"/>
          <w:color w:val="auto"/>
        </w:rPr>
        <w:t>The main risk faced by the Group in insurance contracts is that the actual cost of claims and payments, or the timing thereof, differ from expectations. This is influenced by the frequency of claims, the severity of claims, the actual benefits paid and the subsequent development of claims over the long term. The Group’s objective is therefore to ensure that sufficient reserves are available to cover these liabilities.</w:t>
      </w:r>
    </w:p>
    <w:p>
      <w:pPr>
        <w:spacing w:after="0" w:line="137" w:lineRule="exact"/>
        <w:rPr>
          <w:sz w:val="20"/>
          <w:szCs w:val="20"/>
          <w:color w:val="auto"/>
        </w:rPr>
      </w:pPr>
    </w:p>
    <w:p>
      <w:pPr>
        <w:ind w:left="580" w:right="20"/>
        <w:spacing w:after="0" w:line="248" w:lineRule="auto"/>
        <w:rPr>
          <w:sz w:val="20"/>
          <w:szCs w:val="20"/>
          <w:color w:val="auto"/>
        </w:rPr>
      </w:pPr>
      <w:r>
        <w:rPr>
          <w:rFonts w:ascii="Arial" w:cs="Arial" w:eastAsia="Arial" w:hAnsi="Arial"/>
          <w:sz w:val="16"/>
          <w:szCs w:val="16"/>
          <w:color w:val="auto"/>
        </w:rPr>
        <w:t>Risk exposure is mitigated by diversification through a large portfolio of insurance contracts and by having different lines of business. Risks are also mitigated by careful selection and implementation of strategic underwriting guidelines, as well as the use of reinsurance agreements. Reinsurance underwriting is diversified in such a way that the Group is not dependent on any particular reinsurer; likewise, the Group’s operations are not dependent on any particular reinsurance contract.</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Life insurance contracts -</w:t>
      </w:r>
    </w:p>
    <w:p>
      <w:pPr>
        <w:spacing w:after="0" w:line="178" w:lineRule="exact"/>
        <w:rPr>
          <w:sz w:val="20"/>
          <w:szCs w:val="20"/>
          <w:color w:val="auto"/>
        </w:rPr>
      </w:pPr>
    </w:p>
    <w:p>
      <w:pPr>
        <w:jc w:val="both"/>
        <w:ind w:left="580" w:right="260"/>
        <w:spacing w:after="0" w:line="255" w:lineRule="auto"/>
        <w:rPr>
          <w:sz w:val="20"/>
          <w:szCs w:val="20"/>
          <w:color w:val="auto"/>
        </w:rPr>
      </w:pPr>
      <w:r>
        <w:rPr>
          <w:rFonts w:ascii="Arial" w:cs="Arial" w:eastAsia="Arial" w:hAnsi="Arial"/>
          <w:sz w:val="16"/>
          <w:szCs w:val="16"/>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137" w:lineRule="exact"/>
        <w:rPr>
          <w:sz w:val="20"/>
          <w:szCs w:val="20"/>
          <w:color w:val="auto"/>
        </w:rPr>
      </w:pPr>
    </w:p>
    <w:p>
      <w:pPr>
        <w:ind w:left="580" w:right="20"/>
        <w:spacing w:after="0" w:line="245" w:lineRule="auto"/>
        <w:rPr>
          <w:sz w:val="20"/>
          <w:szCs w:val="20"/>
          <w:color w:val="auto"/>
        </w:rPr>
      </w:pPr>
      <w:r>
        <w:rPr>
          <w:rFonts w:ascii="Arial" w:cs="Arial" w:eastAsia="Arial" w:hAnsi="Arial"/>
          <w:sz w:val="16"/>
          <w:szCs w:val="16"/>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47" w:lineRule="exact"/>
        <w:rPr>
          <w:sz w:val="20"/>
          <w:szCs w:val="20"/>
          <w:color w:val="auto"/>
        </w:rPr>
      </w:pPr>
    </w:p>
    <w:p>
      <w:pPr>
        <w:ind w:left="580" w:right="120"/>
        <w:spacing w:after="0" w:line="274" w:lineRule="auto"/>
        <w:rPr>
          <w:sz w:val="20"/>
          <w:szCs w:val="20"/>
          <w:color w:val="auto"/>
        </w:rPr>
      </w:pPr>
      <w:r>
        <w:rPr>
          <w:rFonts w:ascii="Arial" w:cs="Arial" w:eastAsia="Arial" w:hAnsi="Arial"/>
          <w:sz w:val="16"/>
          <w:szCs w:val="16"/>
          <w:color w:val="auto"/>
        </w:rPr>
        <w:t>For contracts when death or disability is the insured risk, the significant factors that could increase the overall frequency of claims are epidemics, widespread changes in lifestyle and natural disasters, resulting in more claims than expected.</w:t>
      </w:r>
    </w:p>
    <w:p>
      <w:pPr>
        <w:spacing w:after="0" w:line="123" w:lineRule="exact"/>
        <w:rPr>
          <w:sz w:val="20"/>
          <w:szCs w:val="20"/>
          <w:color w:val="auto"/>
        </w:rPr>
      </w:pPr>
    </w:p>
    <w:p>
      <w:pPr>
        <w:ind w:left="580" w:right="420"/>
        <w:spacing w:after="0" w:line="274" w:lineRule="auto"/>
        <w:rPr>
          <w:sz w:val="20"/>
          <w:szCs w:val="20"/>
          <w:color w:val="auto"/>
        </w:rPr>
      </w:pPr>
      <w:r>
        <w:rPr>
          <w:rFonts w:ascii="Arial" w:cs="Arial" w:eastAsia="Arial" w:hAnsi="Arial"/>
          <w:sz w:val="16"/>
          <w:szCs w:val="16"/>
          <w:color w:val="auto"/>
        </w:rPr>
        <w:t>For retirement, survival and disability annuities contracts, the most significant factor is continuing improvement in medical science and social conditions that increase longevity.</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Non-life insurance contracts (general insurance and healthcare) -</w:t>
      </w:r>
    </w:p>
    <w:p>
      <w:pPr>
        <w:spacing w:after="0" w:line="178" w:lineRule="exact"/>
        <w:rPr>
          <w:sz w:val="20"/>
          <w:szCs w:val="20"/>
          <w:color w:val="auto"/>
        </w:rPr>
      </w:pPr>
    </w:p>
    <w:p>
      <w:pPr>
        <w:ind w:left="580" w:right="320"/>
        <w:spacing w:after="0" w:line="255" w:lineRule="auto"/>
        <w:rPr>
          <w:sz w:val="20"/>
          <w:szCs w:val="20"/>
          <w:color w:val="auto"/>
        </w:rPr>
      </w:pPr>
      <w:r>
        <w:rPr>
          <w:rFonts w:ascii="Arial" w:cs="Arial" w:eastAsia="Arial" w:hAnsi="Arial"/>
          <w:sz w:val="16"/>
          <w:szCs w:val="16"/>
          <w:color w:val="auto"/>
        </w:rPr>
        <w:t>The Group mainly issues the following types of non-life general insurance contracts: automobile, technical branches, business and healthcare insurances. Healthcare contracts provide medical expense cover to policyholders. Risks under non-life insurance policies usually cover 12 months.</w:t>
      </w:r>
    </w:p>
    <w:p>
      <w:pPr>
        <w:spacing w:after="0" w:line="137" w:lineRule="exact"/>
        <w:rPr>
          <w:sz w:val="20"/>
          <w:szCs w:val="20"/>
          <w:color w:val="auto"/>
        </w:rPr>
      </w:pPr>
    </w:p>
    <w:p>
      <w:pPr>
        <w:ind w:left="580"/>
        <w:spacing w:after="0" w:line="248" w:lineRule="auto"/>
        <w:rPr>
          <w:sz w:val="20"/>
          <w:szCs w:val="20"/>
          <w:color w:val="auto"/>
        </w:rPr>
      </w:pPr>
      <w:r>
        <w:rPr>
          <w:rFonts w:ascii="Arial" w:cs="Arial" w:eastAsia="Arial" w:hAnsi="Arial"/>
          <w:sz w:val="16"/>
          <w:szCs w:val="16"/>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 The above risk exposures are mitigated by diversification across a large portfolio of insurance contracts and by having different lines of business. The sensitivity of risk is improved by careful selection and implementation of underwriting strategies of insurance contracts, which are designed to ensure</w:t>
      </w:r>
    </w:p>
    <w:p>
      <w:pPr>
        <w:spacing w:after="0" w:line="30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- 166 -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60"/>
          </w:cols>
          <w:pgMar w:left="600" w:top="316" w:right="339" w:bottom="1440" w:gutter="0" w:footer="0" w:header="0"/>
        </w:sectPr>
      </w:pPr>
    </w:p>
    <w:bookmarkStart w:id="171" w:name="page172"/>
    <w:bookmarkEnd w:id="171"/>
    <w:p>
      <w:pPr>
        <w:spacing w:after="0" w:line="274" w:lineRule="auto"/>
        <w:rPr>
          <w:sz w:val="20"/>
          <w:szCs w:val="20"/>
          <w:color w:val="auto"/>
        </w:rPr>
      </w:pPr>
      <w:r>
        <w:rPr>
          <w:rFonts w:ascii="Arial" w:cs="Arial" w:eastAsia="Arial" w:hAnsi="Arial"/>
          <w:sz w:val="16"/>
          <w:szCs w:val="16"/>
          <w:color w:val="auto"/>
        </w:rPr>
        <w:t>that risks are diversified in terms of type of risks and level of insured benefits. This is achieved, in various cases, through diversification across industry sectors and geographic location.</w:t>
      </w:r>
    </w:p>
    <w:p>
      <w:pPr>
        <w:spacing w:after="0" w:line="123"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Furthermore, strict claim review policies to assess all new and ongoing claims and in process of settlement,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47" w:lineRule="exact"/>
        <w:rPr>
          <w:sz w:val="20"/>
          <w:szCs w:val="20"/>
          <w:color w:val="auto"/>
        </w:rPr>
      </w:pPr>
    </w:p>
    <w:p>
      <w:pPr>
        <w:ind w:right="700"/>
        <w:spacing w:after="0" w:line="274" w:lineRule="auto"/>
        <w:rPr>
          <w:sz w:val="20"/>
          <w:szCs w:val="20"/>
          <w:color w:val="auto"/>
        </w:rPr>
      </w:pPr>
      <w:r>
        <w:rPr>
          <w:rFonts w:ascii="Arial" w:cs="Arial" w:eastAsia="Arial" w:hAnsi="Arial"/>
          <w:sz w:val="16"/>
          <w:szCs w:val="16"/>
          <w:color w:val="auto"/>
        </w:rPr>
        <w:t>The Group has also limited its exposure by imposing maximum claim amounts on certain contracts as well as the use of reinsurance arrangements in order to limit its exposure to catastrophic events.</w:t>
      </w:r>
    </w:p>
    <w:p>
      <w:pPr>
        <w:spacing w:after="0" w:line="280"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- 167 -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00"/>
          </w:cols>
          <w:pgMar w:left="1180" w:top="316" w:right="61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t>Claims development table: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estimates of accumulated incurred claims measured under the PAA, mainly as of December 31, 2025:</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16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0"/>
                <w:szCs w:val="20"/>
                <w:color w:val="auto"/>
              </w:rPr>
            </w:pPr>
            <w:r>
              <w:rPr>
                <w:rFonts w:ascii="Arial" w:cs="Arial" w:eastAsia="Arial" w:hAnsi="Arial"/>
                <w:sz w:val="13"/>
                <w:szCs w:val="13"/>
                <w:b w:val="1"/>
                <w:bCs w:val="1"/>
                <w:color w:val="auto"/>
              </w:rPr>
              <w:t>Gross estimates of the</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b w:val="1"/>
                <w:bCs w:val="1"/>
                <w:color w:val="auto"/>
              </w:rPr>
              <w:t>undiscounted amount of</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00" w:type="dxa"/>
            <w:vAlign w:val="bottom"/>
          </w:tcPr>
          <w:p>
            <w:pPr>
              <w:spacing w:after="0"/>
              <w:rPr>
                <w:sz w:val="20"/>
                <w:szCs w:val="20"/>
                <w:color w:val="auto"/>
              </w:rPr>
            </w:pPr>
            <w:r>
              <w:rPr>
                <w:rFonts w:ascii="Arial" w:cs="Arial" w:eastAsia="Arial" w:hAnsi="Arial"/>
                <w:sz w:val="13"/>
                <w:szCs w:val="13"/>
                <w:b w:val="1"/>
                <w:bCs w:val="1"/>
                <w:color w:val="auto"/>
              </w:rPr>
              <w:t>the claims:</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Arial" w:cs="Arial" w:eastAsia="Arial" w:hAnsi="Arial"/>
                <w:sz w:val="13"/>
                <w:szCs w:val="13"/>
                <w:color w:val="auto"/>
                <w:w w:val="99"/>
              </w:rPr>
              <w:t>At the end of the claim year</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1,923,936</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1,620,489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1,179,383</w:t>
            </w:r>
          </w:p>
        </w:tc>
        <w:tc>
          <w:tcPr>
            <w:tcW w:w="8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1,426,645</w:t>
            </w:r>
          </w:p>
        </w:tc>
        <w:tc>
          <w:tcPr>
            <w:tcW w:w="700" w:type="dxa"/>
            <w:vAlign w:val="bottom"/>
          </w:tcPr>
          <w:p>
            <w:pPr>
              <w:jc w:val="right"/>
              <w:spacing w:after="0"/>
              <w:rPr>
                <w:sz w:val="20"/>
                <w:szCs w:val="20"/>
                <w:color w:val="auto"/>
              </w:rPr>
            </w:pPr>
            <w:r>
              <w:rPr>
                <w:rFonts w:ascii="Arial" w:cs="Arial" w:eastAsia="Arial" w:hAnsi="Arial"/>
                <w:sz w:val="13"/>
                <w:szCs w:val="13"/>
                <w:color w:val="auto"/>
              </w:rPr>
              <w:t>1,597,362</w:t>
            </w:r>
          </w:p>
        </w:tc>
        <w:tc>
          <w:tcPr>
            <w:tcW w:w="6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2,162,977</w:t>
            </w:r>
          </w:p>
        </w:tc>
        <w:tc>
          <w:tcPr>
            <w:tcW w:w="700" w:type="dxa"/>
            <w:vAlign w:val="bottom"/>
          </w:tcPr>
          <w:p>
            <w:pPr>
              <w:jc w:val="right"/>
              <w:spacing w:after="0"/>
              <w:rPr>
                <w:sz w:val="20"/>
                <w:szCs w:val="20"/>
                <w:color w:val="auto"/>
              </w:rPr>
            </w:pPr>
            <w:r>
              <w:rPr>
                <w:rFonts w:ascii="Arial" w:cs="Arial" w:eastAsia="Arial" w:hAnsi="Arial"/>
                <w:sz w:val="13"/>
                <w:szCs w:val="13"/>
                <w:color w:val="auto"/>
              </w:rPr>
              <w:t>1,397,741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1,680,689</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1,399,261</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1,490,574</w:t>
            </w:r>
          </w:p>
        </w:tc>
        <w:tc>
          <w:tcPr>
            <w:tcW w:w="760" w:type="dxa"/>
            <w:vAlign w:val="bottom"/>
          </w:tcPr>
          <w:p>
            <w:pPr>
              <w:jc w:val="right"/>
              <w:spacing w:after="0"/>
              <w:rPr>
                <w:sz w:val="20"/>
                <w:szCs w:val="20"/>
                <w:color w:val="auto"/>
              </w:rPr>
            </w:pPr>
            <w:r>
              <w:rPr>
                <w:rFonts w:ascii="Arial" w:cs="Arial" w:eastAsia="Arial" w:hAnsi="Arial"/>
                <w:sz w:val="13"/>
                <w:szCs w:val="13"/>
                <w:color w:val="auto"/>
              </w:rPr>
              <w:t>15,879,057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1 year later</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1,390</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3,450</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3,561</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2,321</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9,853</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44,296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70,983</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104,804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254,237</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199,398</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694,293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2 years later</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1,447</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83</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2,196</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2,788</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2,045</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8,055</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30,262</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72,363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101,636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98,789</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319,664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3 years later</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2,162</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27</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78</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2,462</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2,424</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2,109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9,012</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27,570</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72,489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32,038</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150,371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4 years later</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232</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622</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41</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130</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1,513</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3,386</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2,211</w:t>
            </w:r>
          </w:p>
        </w:tc>
        <w:tc>
          <w:tcPr>
            <w:tcW w:w="10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9,711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23,323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17,705</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58,874</w:t>
            </w: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5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179</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600</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51</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102</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1,671</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4,586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1,821</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27,137</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15,608</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51,755</w:t>
            </w: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6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158</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968</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20</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27</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2,639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3,139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2,454</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11,794</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21,199</w:t>
            </w: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7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169</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770</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27</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3,089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2,923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8,417</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15,484</w:t>
            </w: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8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216</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350</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15</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2,711</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11,742</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15,047</w:t>
            </w:r>
          </w:p>
        </w:tc>
        <w:tc>
          <w:tcPr>
            <w:tcW w:w="0" w:type="dxa"/>
            <w:vAlign w:val="bottom"/>
          </w:tcPr>
          <w:p>
            <w:pPr>
              <w:spacing w:after="0"/>
              <w:rPr>
                <w:sz w:val="1"/>
                <w:szCs w:val="1"/>
                <w:color w:val="auto"/>
              </w:rPr>
            </w:pP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9 years later</w:t>
            </w:r>
          </w:p>
        </w:tc>
        <w:tc>
          <w:tcPr>
            <w:tcW w:w="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466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1,501</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737</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525</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rPr>
              <w:t>Accumulated gross</w:t>
            </w: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b w:val="1"/>
                <w:bCs w:val="1"/>
                <w:color w:val="auto"/>
              </w:rPr>
              <w:t>claims and other directly</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b w:val="1"/>
                <w:bCs w:val="1"/>
                <w:color w:val="auto"/>
              </w:rPr>
              <w:t>attributable expenses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b w:val="1"/>
                <w:bCs w:val="1"/>
                <w:color w:val="auto"/>
              </w:rPr>
              <w:t>paid for the year of</w:t>
            </w: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1,929,167</w:t>
            </w: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1,624,850</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1,186,017</w:t>
            </w:r>
          </w:p>
        </w:tc>
        <w:tc>
          <w:tcPr>
            <w:tcW w:w="8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1,435,534</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1,614,305</w:t>
            </w:r>
          </w:p>
        </w:tc>
        <w:tc>
          <w:tcPr>
            <w:tcW w:w="6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2,223,364</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1,519,037</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1,903,681</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1,886,908</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1,886,590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17,209,453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1" w:lineRule="exact"/>
              <w:rPr>
                <w:sz w:val="20"/>
                <w:szCs w:val="20"/>
                <w:color w:val="auto"/>
              </w:rPr>
            </w:pPr>
            <w:r>
              <w:rPr>
                <w:rFonts w:ascii="Arial" w:cs="Arial" w:eastAsia="Arial" w:hAnsi="Arial"/>
                <w:sz w:val="13"/>
                <w:szCs w:val="13"/>
                <w:b w:val="1"/>
                <w:bCs w:val="1"/>
                <w:color w:val="auto"/>
              </w:rPr>
              <w:t>occurrence</w:t>
            </w:r>
          </w:p>
        </w:tc>
        <w:tc>
          <w:tcPr>
            <w:tcW w:w="76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Arial" w:cs="Arial" w:eastAsia="Arial" w:hAnsi="Arial"/>
                <w:sz w:val="13"/>
                <w:szCs w:val="13"/>
                <w:color w:val="auto"/>
              </w:rPr>
              <w:t>Liabilities / Gross</w:t>
            </w: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Obligations accumulated</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by claims</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12,904</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6,087</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12,615</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11,535</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38,043</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148,659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233,355</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346,916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576,782</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1,058,432</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2,445,328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Discount event</w:t>
            </w:r>
          </w:p>
        </w:tc>
        <w:tc>
          <w:tcPr>
            <w:tcW w:w="76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(1,570)</w:t>
            </w:r>
          </w:p>
        </w:tc>
        <w:tc>
          <w:tcPr>
            <w:tcW w:w="76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(756)</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(1,377)</w:t>
            </w:r>
          </w:p>
        </w:tc>
        <w:tc>
          <w:tcPr>
            <w:tcW w:w="80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(1,164)</w:t>
            </w:r>
          </w:p>
        </w:tc>
        <w:tc>
          <w:tcPr>
            <w:tcW w:w="7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(3,273)</w:t>
            </w:r>
          </w:p>
        </w:tc>
        <w:tc>
          <w:tcPr>
            <w:tcW w:w="80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(8,802)</w:t>
            </w: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(18,875)</w:t>
            </w: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(25,155)</w:t>
            </w: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(37,617)</w:t>
            </w: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(50,549)</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(149,138)</w:t>
            </w: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Effect of Risk Adjustment</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for non-financial risk</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3,540</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17,589</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21,129</w:t>
            </w: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Gross LIC of the</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Temporary Regime and</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Definitive Regime</w:t>
            </w:r>
          </w:p>
        </w:tc>
        <w:tc>
          <w:tcPr>
            <w:tcW w:w="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32,599</w:t>
            </w:r>
          </w:p>
        </w:tc>
        <w:tc>
          <w:tcPr>
            <w:tcW w:w="0" w:type="dxa"/>
            <w:vAlign w:val="bottom"/>
          </w:tcPr>
          <w:p>
            <w:pPr>
              <w:spacing w:after="0"/>
              <w:rPr>
                <w:sz w:val="1"/>
                <w:szCs w:val="1"/>
                <w:color w:val="auto"/>
              </w:rPr>
            </w:pP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rPr>
              <w:t>Gross provision for</w:t>
            </w: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0" w:type="dxa"/>
            <w:vAlign w:val="bottom"/>
          </w:tcPr>
          <w:p>
            <w:pPr>
              <w:spacing w:after="0"/>
              <w:rPr>
                <w:sz w:val="20"/>
                <w:szCs w:val="20"/>
                <w:color w:val="auto"/>
              </w:rPr>
            </w:pPr>
            <w:r>
              <w:rPr>
                <w:rFonts w:ascii="Arial" w:cs="Arial" w:eastAsia="Arial" w:hAnsi="Arial"/>
                <w:sz w:val="13"/>
                <w:szCs w:val="13"/>
                <w:b w:val="1"/>
                <w:bCs w:val="1"/>
                <w:color w:val="auto"/>
              </w:rPr>
              <w:t>incurred claims</w:t>
            </w: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11,334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5,331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11,238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10,371</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34,770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139,857</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214,480</w:t>
            </w:r>
          </w:p>
        </w:tc>
        <w:tc>
          <w:tcPr>
            <w:tcW w:w="700" w:type="dxa"/>
            <w:vAlign w:val="bottom"/>
          </w:tcPr>
          <w:p>
            <w:pPr>
              <w:jc w:val="right"/>
              <w:spacing w:after="0"/>
              <w:rPr>
                <w:sz w:val="20"/>
                <w:szCs w:val="20"/>
                <w:color w:val="auto"/>
              </w:rPr>
            </w:pPr>
            <w:r>
              <w:rPr>
                <w:rFonts w:ascii="Arial" w:cs="Arial" w:eastAsia="Arial" w:hAnsi="Arial"/>
                <w:sz w:val="13"/>
                <w:szCs w:val="13"/>
                <w:color w:val="auto"/>
              </w:rPr>
              <w:t>321,761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542,705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1,025,472</w:t>
            </w:r>
          </w:p>
        </w:tc>
        <w:tc>
          <w:tcPr>
            <w:tcW w:w="760" w:type="dxa"/>
            <w:vAlign w:val="bottom"/>
          </w:tcPr>
          <w:p>
            <w:pPr>
              <w:jc w:val="right"/>
              <w:spacing w:after="0"/>
              <w:rPr>
                <w:sz w:val="20"/>
                <w:szCs w:val="20"/>
                <w:color w:val="auto"/>
              </w:rPr>
            </w:pPr>
            <w:r>
              <w:rPr>
                <w:rFonts w:ascii="Arial" w:cs="Arial" w:eastAsia="Arial" w:hAnsi="Arial"/>
                <w:sz w:val="13"/>
                <w:szCs w:val="13"/>
                <w:color w:val="auto"/>
              </w:rPr>
              <w:t>2,349,918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 of December 31, 2025, liabilities for incurred claims amounting to S/3,686.0 million also include liabilities related to the pension and SCTR businesses of approximately S/1,223.0 million, as well as other minor liabilities amounting to S/113.0 million, the uncertainty regarding the amount and timing of payments of which is typically resolved within a period of less than one year.</w:t>
      </w:r>
    </w:p>
    <w:p>
      <w:pPr>
        <w:spacing w:after="0" w:line="294"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- 168 -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0"/>
          </w:cols>
          <w:pgMar w:left="1180" w:top="316" w:right="35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The following table presents the estimates of accumulated incurred claims measured under the PAA, mainly as of December 31, 2024:</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16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2015</w:t>
            </w:r>
          </w:p>
        </w:tc>
        <w:tc>
          <w:tcPr>
            <w:tcW w:w="6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r>
      <w:tr>
        <w:trPr>
          <w:trHeight w:val="168"/>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r>
      <w:tr>
        <w:trPr>
          <w:trHeight w:val="250"/>
        </w:trPr>
        <w:tc>
          <w:tcPr>
            <w:tcW w:w="1600" w:type="dxa"/>
            <w:vAlign w:val="bottom"/>
          </w:tcPr>
          <w:p>
            <w:pPr>
              <w:spacing w:after="0"/>
              <w:rPr>
                <w:sz w:val="20"/>
                <w:szCs w:val="20"/>
                <w:color w:val="auto"/>
              </w:rPr>
            </w:pPr>
            <w:r>
              <w:rPr>
                <w:rFonts w:ascii="Arial" w:cs="Arial" w:eastAsia="Arial" w:hAnsi="Arial"/>
                <w:sz w:val="13"/>
                <w:szCs w:val="13"/>
                <w:b w:val="1"/>
                <w:bCs w:val="1"/>
                <w:color w:val="auto"/>
              </w:rPr>
              <w:t>Gross estimates of the</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b w:val="1"/>
                <w:bCs w:val="1"/>
                <w:color w:val="auto"/>
              </w:rPr>
              <w:t>undiscounted amount of</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1600" w:type="dxa"/>
            <w:vAlign w:val="bottom"/>
          </w:tcPr>
          <w:p>
            <w:pPr>
              <w:spacing w:after="0"/>
              <w:rPr>
                <w:sz w:val="20"/>
                <w:szCs w:val="20"/>
                <w:color w:val="auto"/>
              </w:rPr>
            </w:pPr>
            <w:r>
              <w:rPr>
                <w:rFonts w:ascii="Arial" w:cs="Arial" w:eastAsia="Arial" w:hAnsi="Arial"/>
                <w:sz w:val="13"/>
                <w:szCs w:val="13"/>
                <w:b w:val="1"/>
                <w:bCs w:val="1"/>
                <w:color w:val="auto"/>
              </w:rPr>
              <w:t>the claims:</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8"/>
        </w:trPr>
        <w:tc>
          <w:tcPr>
            <w:tcW w:w="1600" w:type="dxa"/>
            <w:vAlign w:val="bottom"/>
          </w:tcPr>
          <w:p>
            <w:pPr>
              <w:spacing w:after="0"/>
              <w:rPr>
                <w:sz w:val="20"/>
                <w:szCs w:val="20"/>
                <w:color w:val="auto"/>
              </w:rPr>
            </w:pPr>
            <w:r>
              <w:rPr>
                <w:rFonts w:ascii="Arial" w:cs="Arial" w:eastAsia="Arial" w:hAnsi="Arial"/>
                <w:sz w:val="13"/>
                <w:szCs w:val="13"/>
                <w:color w:val="auto"/>
                <w:w w:val="99"/>
              </w:rPr>
              <w:t>At the end of the claim year</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1,637,838</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1,047,428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1,602,775</w:t>
            </w:r>
          </w:p>
        </w:tc>
        <w:tc>
          <w:tcPr>
            <w:tcW w:w="8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1,152,556</w:t>
            </w:r>
          </w:p>
        </w:tc>
        <w:tc>
          <w:tcPr>
            <w:tcW w:w="700" w:type="dxa"/>
            <w:vAlign w:val="bottom"/>
          </w:tcPr>
          <w:p>
            <w:pPr>
              <w:jc w:val="right"/>
              <w:spacing w:after="0"/>
              <w:rPr>
                <w:sz w:val="20"/>
                <w:szCs w:val="20"/>
                <w:color w:val="auto"/>
              </w:rPr>
            </w:pPr>
            <w:r>
              <w:rPr>
                <w:rFonts w:ascii="Arial" w:cs="Arial" w:eastAsia="Arial" w:hAnsi="Arial"/>
                <w:sz w:val="13"/>
                <w:szCs w:val="13"/>
                <w:color w:val="auto"/>
              </w:rPr>
              <w:t>1,426,087</w:t>
            </w:r>
          </w:p>
        </w:tc>
        <w:tc>
          <w:tcPr>
            <w:tcW w:w="6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1,548,529</w:t>
            </w:r>
          </w:p>
        </w:tc>
        <w:tc>
          <w:tcPr>
            <w:tcW w:w="700" w:type="dxa"/>
            <w:vAlign w:val="bottom"/>
          </w:tcPr>
          <w:p>
            <w:pPr>
              <w:jc w:val="right"/>
              <w:spacing w:after="0"/>
              <w:rPr>
                <w:sz w:val="20"/>
                <w:szCs w:val="20"/>
                <w:color w:val="auto"/>
              </w:rPr>
            </w:pPr>
            <w:r>
              <w:rPr>
                <w:rFonts w:ascii="Arial" w:cs="Arial" w:eastAsia="Arial" w:hAnsi="Arial"/>
                <w:sz w:val="13"/>
                <w:szCs w:val="13"/>
                <w:color w:val="auto"/>
              </w:rPr>
              <w:t>2,106,530</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1,379,742</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1,564,601</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1,491,978</w:t>
            </w:r>
          </w:p>
        </w:tc>
        <w:tc>
          <w:tcPr>
            <w:tcW w:w="760" w:type="dxa"/>
            <w:vAlign w:val="bottom"/>
          </w:tcPr>
          <w:p>
            <w:pPr>
              <w:jc w:val="right"/>
              <w:spacing w:after="0"/>
              <w:rPr>
                <w:sz w:val="20"/>
                <w:szCs w:val="20"/>
                <w:color w:val="auto"/>
              </w:rPr>
            </w:pPr>
            <w:r>
              <w:rPr>
                <w:rFonts w:ascii="Arial" w:cs="Arial" w:eastAsia="Arial" w:hAnsi="Arial"/>
                <w:sz w:val="13"/>
                <w:szCs w:val="13"/>
                <w:color w:val="auto"/>
              </w:rPr>
              <w:t>14,958,064</w:t>
            </w:r>
          </w:p>
        </w:tc>
        <w:tc>
          <w:tcPr>
            <w:tcW w:w="20" w:type="dxa"/>
            <w:vAlign w:val="bottom"/>
          </w:tcPr>
          <w:p>
            <w:pPr>
              <w:spacing w:after="0"/>
              <w:rPr>
                <w:sz w:val="22"/>
                <w:szCs w:val="2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1 year later</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2,458</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1,999</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2,917</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5,830</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15,447</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21,123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107,965</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167,943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172,015</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670,047</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1,167,744</w:t>
            </w: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2 years later</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2,052</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164</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1,889</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3,469</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4,180</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11,051</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39,861</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127,303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85,383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217,606</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492,958</w:t>
            </w: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3 years later</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3,390</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82</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2,122</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2,880</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3,500</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11,137</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31,737</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59,927</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94,077</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208,944</w:t>
            </w: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4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1,533</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46</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90</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2,389</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4,431</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4,203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9,776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22,453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67,570</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112,491</w:t>
            </w: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5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843</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75</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144</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3,446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6,419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4,076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9,912</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17,756</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42,671</w:t>
            </w: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6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811</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81</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111</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5,158</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4,783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4,248</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38,738</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53,930</w:t>
            </w: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7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1,419</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30</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30</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2,316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3,339</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5,486</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12,620</w:t>
            </w: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8 years later</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1,028</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92</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2,328</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3,322</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6,816</w:t>
            </w: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9 years later</w:t>
            </w:r>
          </w:p>
        </w:tc>
        <w:tc>
          <w:tcPr>
            <w:tcW w:w="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297</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2,557</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3,952</w:t>
            </w: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rPr>
              <w:t>Accumulated gross</w:t>
            </w: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b w:val="1"/>
                <w:bCs w:val="1"/>
                <w:color w:val="auto"/>
              </w:rPr>
              <w:t>claims and other directly</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b w:val="1"/>
                <w:bCs w:val="1"/>
                <w:color w:val="auto"/>
              </w:rPr>
              <w:t>attributable expenses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b w:val="1"/>
                <w:bCs w:val="1"/>
                <w:color w:val="auto"/>
              </w:rPr>
              <w:t>paid for the year of</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1600" w:type="dxa"/>
            <w:vAlign w:val="bottom"/>
          </w:tcPr>
          <w:p>
            <w:pPr>
              <w:spacing w:after="0"/>
              <w:rPr>
                <w:sz w:val="20"/>
                <w:szCs w:val="20"/>
                <w:color w:val="auto"/>
              </w:rPr>
            </w:pPr>
            <w:r>
              <w:rPr>
                <w:rFonts w:ascii="Arial" w:cs="Arial" w:eastAsia="Arial" w:hAnsi="Arial"/>
                <w:sz w:val="13"/>
                <w:szCs w:val="13"/>
                <w:b w:val="1"/>
                <w:bCs w:val="1"/>
                <w:color w:val="auto"/>
              </w:rPr>
              <w:t>occurrence</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1,645,738</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1,051,206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1,608,562</w:t>
            </w:r>
          </w:p>
        </w:tc>
        <w:tc>
          <w:tcPr>
            <w:tcW w:w="80" w:type="dxa"/>
            <w:vAlign w:val="bottom"/>
          </w:tcPr>
          <w:p>
            <w:pPr>
              <w:spacing w:after="0"/>
              <w:rPr>
                <w:sz w:val="13"/>
                <w:szCs w:val="13"/>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1,164,953</w:t>
            </w:r>
          </w:p>
        </w:tc>
        <w:tc>
          <w:tcPr>
            <w:tcW w:w="700" w:type="dxa"/>
            <w:vAlign w:val="bottom"/>
          </w:tcPr>
          <w:p>
            <w:pPr>
              <w:jc w:val="right"/>
              <w:spacing w:after="0"/>
              <w:rPr>
                <w:sz w:val="20"/>
                <w:szCs w:val="20"/>
                <w:color w:val="auto"/>
              </w:rPr>
            </w:pPr>
            <w:r>
              <w:rPr>
                <w:rFonts w:ascii="Arial" w:cs="Arial" w:eastAsia="Arial" w:hAnsi="Arial"/>
                <w:sz w:val="13"/>
                <w:szCs w:val="13"/>
                <w:color w:val="auto"/>
              </w:rPr>
              <w:t>1,452,627</w:t>
            </w:r>
          </w:p>
        </w:tc>
        <w:tc>
          <w:tcPr>
            <w:tcW w:w="60" w:type="dxa"/>
            <w:vAlign w:val="bottom"/>
          </w:tcPr>
          <w:p>
            <w:pPr>
              <w:spacing w:after="0"/>
              <w:rPr>
                <w:sz w:val="13"/>
                <w:szCs w:val="13"/>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1,593,249</w:t>
            </w:r>
          </w:p>
        </w:tc>
        <w:tc>
          <w:tcPr>
            <w:tcW w:w="700" w:type="dxa"/>
            <w:vAlign w:val="bottom"/>
          </w:tcPr>
          <w:p>
            <w:pPr>
              <w:jc w:val="right"/>
              <w:spacing w:after="0"/>
              <w:rPr>
                <w:sz w:val="20"/>
                <w:szCs w:val="20"/>
                <w:color w:val="auto"/>
              </w:rPr>
            </w:pPr>
            <w:r>
              <w:rPr>
                <w:rFonts w:ascii="Arial" w:cs="Arial" w:eastAsia="Arial" w:hAnsi="Arial"/>
                <w:sz w:val="13"/>
                <w:szCs w:val="13"/>
                <w:color w:val="auto"/>
              </w:rPr>
              <w:t>2,281,646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1,728,622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1,924,450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2,609,137</w:t>
            </w:r>
          </w:p>
        </w:tc>
        <w:tc>
          <w:tcPr>
            <w:tcW w:w="760" w:type="dxa"/>
            <w:vAlign w:val="bottom"/>
          </w:tcPr>
          <w:p>
            <w:pPr>
              <w:jc w:val="right"/>
              <w:spacing w:after="0"/>
              <w:rPr>
                <w:sz w:val="20"/>
                <w:szCs w:val="20"/>
                <w:color w:val="auto"/>
              </w:rPr>
            </w:pPr>
            <w:r>
              <w:rPr>
                <w:rFonts w:ascii="Arial" w:cs="Arial" w:eastAsia="Arial" w:hAnsi="Arial"/>
                <w:sz w:val="13"/>
                <w:szCs w:val="13"/>
                <w:color w:val="auto"/>
              </w:rPr>
              <w:t>17,060,190</w:t>
            </w:r>
          </w:p>
        </w:tc>
        <w:tc>
          <w:tcPr>
            <w:tcW w:w="20" w:type="dxa"/>
            <w:vAlign w:val="bottom"/>
          </w:tcPr>
          <w:p>
            <w:pPr>
              <w:spacing w:after="0"/>
              <w:rPr>
                <w:sz w:val="13"/>
                <w:szCs w:val="13"/>
                <w:color w:val="auto"/>
              </w:rPr>
            </w:pPr>
          </w:p>
        </w:tc>
      </w:tr>
      <w:tr>
        <w:trPr>
          <w:trHeight w:val="282"/>
        </w:trPr>
        <w:tc>
          <w:tcPr>
            <w:tcW w:w="1600" w:type="dxa"/>
            <w:vAlign w:val="bottom"/>
          </w:tcPr>
          <w:p>
            <w:pPr>
              <w:spacing w:after="0"/>
              <w:rPr>
                <w:sz w:val="20"/>
                <w:szCs w:val="20"/>
                <w:color w:val="auto"/>
              </w:rPr>
            </w:pPr>
            <w:r>
              <w:rPr>
                <w:rFonts w:ascii="Arial" w:cs="Arial" w:eastAsia="Arial" w:hAnsi="Arial"/>
                <w:sz w:val="13"/>
                <w:szCs w:val="13"/>
                <w:color w:val="auto"/>
              </w:rPr>
              <w:t>Liabilities / Gross</w:t>
            </w: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Obligations accumulated</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by claims</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8,317</w:t>
            </w:r>
          </w:p>
        </w:tc>
        <w:tc>
          <w:tcPr>
            <w:tcW w:w="7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6,919</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7,909</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18,380</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30,226</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56,998</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222,417</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466,484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454,110</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1,698,314</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2,970,074</w:t>
            </w: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Discount event</w:t>
            </w:r>
          </w:p>
        </w:tc>
        <w:tc>
          <w:tcPr>
            <w:tcW w:w="76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(1,614)</w:t>
            </w:r>
          </w:p>
        </w:tc>
        <w:tc>
          <w:tcPr>
            <w:tcW w:w="76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(1,021)</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(1,015)</w:t>
            </w:r>
          </w:p>
        </w:tc>
        <w:tc>
          <w:tcPr>
            <w:tcW w:w="80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(1,900)</w:t>
            </w:r>
          </w:p>
        </w:tc>
        <w:tc>
          <w:tcPr>
            <w:tcW w:w="7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(2,849)</w:t>
            </w:r>
          </w:p>
        </w:tc>
        <w:tc>
          <w:tcPr>
            <w:tcW w:w="80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(4,729)</w:t>
            </w: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(15,369)</w:t>
            </w: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(34,248)</w:t>
            </w: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(34,104)</w:t>
            </w: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(93,068)</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(189,917)</w:t>
            </w: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Effect of Risk Adjustment</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for non-financial risk</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28,729</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28,729</w:t>
            </w: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Gross LIC of the</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1600" w:type="dxa"/>
            <w:vAlign w:val="bottom"/>
          </w:tcPr>
          <w:p>
            <w:pPr>
              <w:spacing w:after="0" w:line="145" w:lineRule="exact"/>
              <w:rPr>
                <w:sz w:val="20"/>
                <w:szCs w:val="20"/>
                <w:color w:val="auto"/>
              </w:rPr>
            </w:pPr>
            <w:r>
              <w:rPr>
                <w:rFonts w:ascii="Arial" w:cs="Arial" w:eastAsia="Arial" w:hAnsi="Arial"/>
                <w:sz w:val="13"/>
                <w:szCs w:val="13"/>
                <w:color w:val="auto"/>
              </w:rPr>
              <w:t>Temporary Regime and</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Definitive Regime</w:t>
            </w:r>
          </w:p>
        </w:tc>
        <w:tc>
          <w:tcPr>
            <w:tcW w:w="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39,082</w:t>
            </w:r>
          </w:p>
        </w:tc>
      </w:tr>
      <w:tr>
        <w:trPr>
          <w:trHeight w:val="117"/>
        </w:trPr>
        <w:tc>
          <w:tcPr>
            <w:tcW w:w="1600" w:type="dxa"/>
            <w:vAlign w:val="bottom"/>
          </w:tcPr>
          <w:p>
            <w:pPr>
              <w:spacing w:after="0" w:line="117" w:lineRule="exact"/>
              <w:rPr>
                <w:sz w:val="20"/>
                <w:szCs w:val="20"/>
                <w:color w:val="auto"/>
              </w:rPr>
            </w:pPr>
            <w:r>
              <w:rPr>
                <w:rFonts w:ascii="Arial" w:cs="Arial" w:eastAsia="Arial" w:hAnsi="Arial"/>
                <w:sz w:val="13"/>
                <w:szCs w:val="13"/>
                <w:b w:val="1"/>
                <w:bCs w:val="1"/>
                <w:color w:val="auto"/>
              </w:rPr>
              <w:t>Gross provision for</w:t>
            </w: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1600" w:type="dxa"/>
            <w:vAlign w:val="bottom"/>
          </w:tcPr>
          <w:p>
            <w:pPr>
              <w:spacing w:after="0"/>
              <w:rPr>
                <w:sz w:val="20"/>
                <w:szCs w:val="20"/>
                <w:color w:val="auto"/>
              </w:rPr>
            </w:pPr>
            <w:r>
              <w:rPr>
                <w:rFonts w:ascii="Arial" w:cs="Arial" w:eastAsia="Arial" w:hAnsi="Arial"/>
                <w:sz w:val="13"/>
                <w:szCs w:val="13"/>
                <w:b w:val="1"/>
                <w:bCs w:val="1"/>
                <w:color w:val="auto"/>
              </w:rPr>
              <w:t>incurred claims</w:t>
            </w: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6,703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5,898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6,894</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16,480</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27,377</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52,269</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207,048</w:t>
            </w:r>
          </w:p>
        </w:tc>
        <w:tc>
          <w:tcPr>
            <w:tcW w:w="700" w:type="dxa"/>
            <w:vAlign w:val="bottom"/>
          </w:tcPr>
          <w:p>
            <w:pPr>
              <w:jc w:val="right"/>
              <w:spacing w:after="0"/>
              <w:rPr>
                <w:sz w:val="20"/>
                <w:szCs w:val="20"/>
                <w:color w:val="auto"/>
              </w:rPr>
            </w:pPr>
            <w:r>
              <w:rPr>
                <w:rFonts w:ascii="Arial" w:cs="Arial" w:eastAsia="Arial" w:hAnsi="Arial"/>
                <w:sz w:val="13"/>
                <w:szCs w:val="13"/>
                <w:color w:val="auto"/>
              </w:rPr>
              <w:t>432,236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420,006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1,633,975</w:t>
            </w:r>
          </w:p>
        </w:tc>
        <w:tc>
          <w:tcPr>
            <w:tcW w:w="760" w:type="dxa"/>
            <w:vAlign w:val="bottom"/>
          </w:tcPr>
          <w:p>
            <w:pPr>
              <w:jc w:val="right"/>
              <w:spacing w:after="0"/>
              <w:rPr>
                <w:sz w:val="20"/>
                <w:szCs w:val="20"/>
                <w:color w:val="auto"/>
              </w:rPr>
            </w:pPr>
            <w:r>
              <w:rPr>
                <w:rFonts w:ascii="Arial" w:cs="Arial" w:eastAsia="Arial" w:hAnsi="Arial"/>
                <w:sz w:val="13"/>
                <w:szCs w:val="13"/>
                <w:color w:val="auto"/>
              </w:rPr>
              <w:t>2,847,968</w:t>
            </w:r>
          </w:p>
        </w:tc>
        <w:tc>
          <w:tcPr>
            <w:tcW w:w="20" w:type="dxa"/>
            <w:vAlign w:val="bottom"/>
          </w:tcPr>
          <w:p>
            <w:pPr>
              <w:spacing w:after="0"/>
              <w:rPr>
                <w:sz w:val="13"/>
                <w:szCs w:val="13"/>
                <w:color w:val="auto"/>
              </w:rPr>
            </w:pPr>
          </w:p>
        </w:tc>
      </w:tr>
      <w:tr>
        <w:trPr>
          <w:trHeight w:val="24"/>
        </w:trPr>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As of December 31, 2024, liabilities for incurred claims amounting to S/3,857.0 million also include liabilities related to the pension and SCTR businesses of approximately S/1,001.0 million, as well as other minor liabilities amounting to S/8.0 million, the uncertainty regarding the amount and timing of payments of which is typically resolved within a period of less than one year.</w:t>
      </w:r>
    </w:p>
    <w:p>
      <w:pPr>
        <w:spacing w:after="0" w:line="294"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- 169 -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00"/>
          </w:cols>
          <w:pgMar w:left="1180" w:top="316" w:right="419" w:bottom="1440" w:gutter="0" w:footer="0" w:header="0"/>
        </w:sectPr>
      </w:pPr>
    </w:p>
    <w:bookmarkStart w:id="174" w:name="page175"/>
    <w:bookmarkEnd w:id="174"/>
    <w:p>
      <w:pPr>
        <w:spacing w:after="0"/>
        <w:tabs>
          <w:tab w:leader="none" w:pos="560" w:val="left"/>
        </w:tabs>
        <w:rPr>
          <w:sz w:val="20"/>
          <w:szCs w:val="20"/>
          <w:color w:val="auto"/>
        </w:rPr>
      </w:pPr>
      <w:r>
        <w:rPr>
          <w:rFonts w:ascii="Arial" w:cs="Arial" w:eastAsia="Arial" w:hAnsi="Arial"/>
          <w:sz w:val="16"/>
          <w:szCs w:val="16"/>
          <w:b w:val="1"/>
          <w:bCs w:val="1"/>
          <w:color w:val="auto"/>
        </w:rPr>
        <w:t>30.10</w:t>
        <w:tab/>
        <w:t>Capital management -</w:t>
      </w:r>
    </w:p>
    <w:p>
      <w:pPr>
        <w:spacing w:after="0" w:line="190" w:lineRule="exact"/>
        <w:rPr>
          <w:sz w:val="20"/>
          <w:szCs w:val="20"/>
          <w:color w:val="auto"/>
        </w:rPr>
      </w:pPr>
    </w:p>
    <w:p>
      <w:pPr>
        <w:ind w:left="580"/>
        <w:spacing w:after="0" w:line="245"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47" w:lineRule="exact"/>
        <w:rPr>
          <w:sz w:val="20"/>
          <w:szCs w:val="20"/>
          <w:color w:val="auto"/>
        </w:rPr>
      </w:pPr>
    </w:p>
    <w:p>
      <w:pPr>
        <w:ind w:left="580" w:right="80"/>
        <w:spacing w:after="0" w:line="248" w:lineRule="auto"/>
        <w:rPr>
          <w:sz w:val="20"/>
          <w:szCs w:val="20"/>
          <w:color w:val="auto"/>
        </w:rPr>
      </w:pPr>
      <w:r>
        <w:rPr>
          <w:rFonts w:ascii="Arial" w:cs="Arial" w:eastAsia="Arial" w:hAnsi="Arial"/>
          <w:sz w:val="16"/>
          <w:szCs w:val="16"/>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44" w:lineRule="exact"/>
        <w:rPr>
          <w:sz w:val="20"/>
          <w:szCs w:val="20"/>
          <w:color w:val="auto"/>
        </w:rPr>
      </w:pPr>
    </w:p>
    <w:p>
      <w:pPr>
        <w:ind w:left="580" w:right="160"/>
        <w:spacing w:after="0" w:line="248" w:lineRule="auto"/>
        <w:rPr>
          <w:sz w:val="20"/>
          <w:szCs w:val="20"/>
          <w:color w:val="auto"/>
        </w:rPr>
      </w:pPr>
      <w:r>
        <w:rPr>
          <w:rFonts w:ascii="Arial" w:cs="Arial" w:eastAsia="Arial" w:hAnsi="Arial"/>
          <w:sz w:val="16"/>
          <w:szCs w:val="16"/>
          <w:color w:val="auto"/>
        </w:rPr>
        <w:t>As of December 31, 2025, and 2024, the regulatory capital for the subsidiaries amounted to approximately S/43,813.2 million and S/40,009.5 million, respectively. The regulatory capital has been determined in accordance with SBS regulations in force as of said dates. Under the SBS regulations, the Group’s regulatory capital exceeds by approximately S/11,466.7 million the minimum regulatory capital required as of December 31, 2025 (approximately S/10,885.9 million as of December 31, 2024).</w:t>
      </w:r>
    </w:p>
    <w:p>
      <w:pPr>
        <w:spacing w:after="0" w:line="30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- 170 -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39370</wp:posOffset>
            </wp:positionV>
            <wp:extent cx="714692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80"/>
          </w:cols>
          <w:pgMar w:left="600" w:top="316" w:right="319" w:bottom="1440" w:gutter="0" w:footer="0" w:header="0"/>
        </w:sectPr>
      </w:pPr>
    </w:p>
    <w:bookmarkStart w:id="175" w:name="page176"/>
    <w:bookmarkEnd w:id="175"/>
    <w:p>
      <w:pPr>
        <w:spacing w:after="0"/>
        <w:tabs>
          <w:tab w:leader="none" w:pos="560" w:val="left"/>
        </w:tabs>
        <w:rPr>
          <w:sz w:val="20"/>
          <w:szCs w:val="20"/>
          <w:color w:val="auto"/>
        </w:rPr>
      </w:pPr>
      <w:r>
        <w:rPr>
          <w:rFonts w:ascii="Arial" w:cs="Arial" w:eastAsia="Arial" w:hAnsi="Arial"/>
          <w:sz w:val="14"/>
          <w:szCs w:val="14"/>
          <w:b w:val="1"/>
          <w:bCs w:val="1"/>
          <w:color w:val="auto"/>
        </w:rPr>
        <w:t>30.11</w:t>
        <w:tab/>
        <w:t>Fair values –</w:t>
      </w:r>
    </w:p>
    <w:p>
      <w:pPr>
        <w:spacing w:after="0" w:line="184" w:lineRule="exact"/>
        <w:rPr>
          <w:sz w:val="20"/>
          <w:szCs w:val="20"/>
          <w:color w:val="auto"/>
        </w:rPr>
      </w:pPr>
    </w:p>
    <w:p>
      <w:pPr>
        <w:ind w:left="1160" w:hanging="584"/>
        <w:spacing w:after="0"/>
        <w:tabs>
          <w:tab w:leader="none" w:pos="11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Financial instruments recorded at fair value and fair value hierarchy –</w:t>
      </w:r>
    </w:p>
    <w:p>
      <w:pPr>
        <w:spacing w:after="0" w:line="178" w:lineRule="exact"/>
        <w:rPr>
          <w:sz w:val="20"/>
          <w:szCs w:val="20"/>
          <w:color w:val="auto"/>
        </w:rPr>
      </w:pPr>
    </w:p>
    <w:p>
      <w:pPr>
        <w:ind w:left="1160"/>
        <w:spacing w:after="0" w:line="255" w:lineRule="auto"/>
        <w:rPr>
          <w:sz w:val="20"/>
          <w:szCs w:val="20"/>
          <w:color w:val="auto"/>
        </w:rPr>
      </w:pPr>
      <w:r>
        <w:rPr>
          <w:rFonts w:ascii="Arial" w:cs="Arial" w:eastAsia="Arial" w:hAnsi="Arial"/>
          <w:sz w:val="16"/>
          <w:szCs w:val="16"/>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pacing w:after="0" w:line="158" w:lineRule="exact"/>
        <w:rPr>
          <w:sz w:val="20"/>
          <w:szCs w:val="20"/>
          <w:color w:val="auto"/>
        </w:rPr>
      </w:pPr>
    </w:p>
    <w:tbl>
      <w:tblPr>
        <w:tblLayout w:type="fixed"/>
        <w:tblInd w:w="4720" w:type="dxa"/>
        <w:tblCellMar>
          <w:top w:w="0" w:type="dxa"/>
          <w:left w:w="0" w:type="dxa"/>
          <w:bottom w:w="0" w:type="dxa"/>
          <w:right w:w="0" w:type="dxa"/>
        </w:tblCellMar>
      </w:tblPr>
      <w:tr>
        <w:trPr>
          <w:trHeight w:val="153"/>
        </w:trPr>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49"/>
        </w:trPr>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Level 1</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Level 2</w:t>
            </w:r>
          </w:p>
        </w:tc>
        <w:tc>
          <w:tcPr>
            <w:tcW w:w="660" w:type="dxa"/>
            <w:vAlign w:val="bottom"/>
          </w:tcPr>
          <w:p>
            <w:pPr>
              <w:spacing w:after="0"/>
              <w:rPr>
                <w:sz w:val="20"/>
                <w:szCs w:val="20"/>
                <w:color w:val="auto"/>
              </w:rPr>
            </w:pPr>
            <w:r>
              <w:rPr>
                <w:rFonts w:ascii="Arial" w:cs="Arial" w:eastAsia="Arial" w:hAnsi="Arial"/>
                <w:sz w:val="13"/>
                <w:szCs w:val="13"/>
                <w:b w:val="1"/>
                <w:bCs w:val="1"/>
                <w:color w:val="auto"/>
              </w:rPr>
              <w:t>Level 3</w:t>
            </w: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720" w:type="dxa"/>
            <w:vAlign w:val="bottom"/>
          </w:tcPr>
          <w:p>
            <w:pPr>
              <w:spacing w:after="0"/>
              <w:rPr>
                <w:sz w:val="20"/>
                <w:szCs w:val="20"/>
                <w:color w:val="auto"/>
              </w:rPr>
            </w:pPr>
            <w:r>
              <w:rPr>
                <w:rFonts w:ascii="Arial" w:cs="Arial" w:eastAsia="Arial" w:hAnsi="Arial"/>
                <w:sz w:val="13"/>
                <w:szCs w:val="13"/>
                <w:b w:val="1"/>
                <w:bCs w:val="1"/>
                <w:color w:val="auto"/>
              </w:rPr>
              <w:t>Level 1</w:t>
            </w: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2</w:t>
            </w:r>
          </w:p>
        </w:tc>
        <w:tc>
          <w:tcPr>
            <w:tcW w:w="880" w:type="dxa"/>
            <w:vAlign w:val="bottom"/>
            <w:gridSpan w:val="3"/>
          </w:tcPr>
          <w:p>
            <w:pPr>
              <w:ind w:left="100"/>
              <w:spacing w:after="0"/>
              <w:rPr>
                <w:sz w:val="20"/>
                <w:szCs w:val="20"/>
                <w:color w:val="auto"/>
              </w:rPr>
            </w:pPr>
            <w:r>
              <w:rPr>
                <w:rFonts w:ascii="Arial" w:cs="Arial" w:eastAsia="Arial" w:hAnsi="Arial"/>
                <w:sz w:val="13"/>
                <w:szCs w:val="13"/>
                <w:b w:val="1"/>
                <w:bCs w:val="1"/>
                <w:color w:val="auto"/>
              </w:rPr>
              <w:t>Level 3</w:t>
            </w:r>
          </w:p>
        </w:tc>
        <w:tc>
          <w:tcPr>
            <w:tcW w:w="720" w:type="dxa"/>
            <w:vAlign w:val="bottom"/>
          </w:tcPr>
          <w:p>
            <w:pPr>
              <w:spacing w:after="0"/>
              <w:rPr>
                <w:sz w:val="20"/>
                <w:szCs w:val="20"/>
                <w:color w:val="auto"/>
              </w:rPr>
            </w:pPr>
            <w:r>
              <w:rPr>
                <w:rFonts w:ascii="Arial" w:cs="Arial" w:eastAsia="Arial" w:hAnsi="Arial"/>
                <w:sz w:val="13"/>
                <w:szCs w:val="13"/>
                <w:b w:val="1"/>
                <w:bCs w:val="1"/>
                <w:color w:val="auto"/>
              </w:rPr>
              <w:t>Total</w:t>
            </w:r>
          </w:p>
        </w:tc>
      </w:tr>
      <w:tr>
        <w:trPr>
          <w:trHeight w:val="141"/>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2"/>
                <w:szCs w:val="12"/>
                <w:color w:val="auto"/>
              </w:rPr>
            </w:pPr>
          </w:p>
        </w:tc>
        <w:tc>
          <w:tcPr>
            <w:tcW w:w="72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S/(000)</w:t>
            </w:r>
          </w:p>
        </w:tc>
      </w:tr>
    </w:tbl>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33"/>
        </w:trPr>
        <w:tc>
          <w:tcPr>
            <w:tcW w:w="3560" w:type="dxa"/>
            <w:vAlign w:val="bottom"/>
          </w:tcPr>
          <w:p>
            <w:pPr>
              <w:spacing w:after="0" w:line="133" w:lineRule="exact"/>
              <w:rPr>
                <w:sz w:val="20"/>
                <w:szCs w:val="20"/>
                <w:color w:val="auto"/>
              </w:rPr>
            </w:pPr>
            <w:r>
              <w:rPr>
                <w:rFonts w:ascii="Arial" w:cs="Arial" w:eastAsia="Arial" w:hAnsi="Arial"/>
                <w:sz w:val="13"/>
                <w:szCs w:val="13"/>
                <w:b w:val="1"/>
                <w:bCs w:val="1"/>
                <w:color w:val="auto"/>
              </w:rPr>
              <w:t>Financial assets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line="145" w:lineRule="exact"/>
              <w:rPr>
                <w:sz w:val="20"/>
                <w:szCs w:val="20"/>
                <w:color w:val="auto"/>
              </w:rPr>
            </w:pPr>
            <w:r>
              <w:rPr>
                <w:rFonts w:ascii="Arial" w:cs="Arial" w:eastAsia="Arial" w:hAnsi="Arial"/>
                <w:sz w:val="13"/>
                <w:szCs w:val="13"/>
                <w:b w:val="1"/>
                <w:bCs w:val="1"/>
                <w:color w:val="auto"/>
              </w:rPr>
              <w:t>Derivative financial instruments: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Foreign currency forwards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547,175</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547,175</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161,495</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161,495</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Interest rate swaps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455,613</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455,613</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489,602</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489,602</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Currency swaps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223,448</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223,448</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219,648</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219,648</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Foreign exchange options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5,532</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5,532</w:t>
            </w: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3,018</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3,018</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Cross currency swaps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29,551</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29,551</w:t>
            </w:r>
          </w:p>
        </w:tc>
        <w:tc>
          <w:tcPr>
            <w:tcW w:w="0" w:type="dxa"/>
            <w:vAlign w:val="bottom"/>
          </w:tcPr>
          <w:p>
            <w:pPr>
              <w:spacing w:after="0"/>
              <w:rPr>
                <w:sz w:val="1"/>
                <w:szCs w:val="1"/>
                <w:color w:val="auto"/>
              </w:rPr>
            </w:pPr>
          </w:p>
        </w:tc>
      </w:tr>
      <w:tr>
        <w:trPr>
          <w:trHeight w:val="165"/>
        </w:trPr>
        <w:tc>
          <w:tcPr>
            <w:tcW w:w="3560" w:type="dxa"/>
            <w:vAlign w:val="bottom"/>
          </w:tcPr>
          <w:p>
            <w:pPr>
              <w:ind w:left="140"/>
              <w:spacing w:after="0"/>
              <w:rPr>
                <w:sz w:val="20"/>
                <w:szCs w:val="20"/>
                <w:color w:val="auto"/>
              </w:rPr>
            </w:pPr>
            <w:r>
              <w:rPr>
                <w:rFonts w:ascii="Arial" w:cs="Arial" w:eastAsia="Arial" w:hAnsi="Arial"/>
                <w:sz w:val="13"/>
                <w:szCs w:val="13"/>
                <w:color w:val="auto"/>
              </w:rPr>
              <w:t>Futures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97</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97</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1,477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1,231,865</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1,231,865</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904,791</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904,791</w:t>
            </w: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Arial" w:cs="Arial" w:eastAsia="Arial" w:hAnsi="Arial"/>
                <w:sz w:val="13"/>
                <w:szCs w:val="13"/>
                <w:color w:val="auto"/>
              </w:rPr>
              <w:t>Investments at fair value through profit of loss</w:t>
            </w:r>
          </w:p>
        </w:tc>
        <w:tc>
          <w:tcPr>
            <w:tcW w:w="720" w:type="dxa"/>
            <w:vAlign w:val="bottom"/>
          </w:tcPr>
          <w:p>
            <w:pPr>
              <w:jc w:val="right"/>
              <w:spacing w:after="0"/>
              <w:rPr>
                <w:sz w:val="20"/>
                <w:szCs w:val="20"/>
                <w:color w:val="auto"/>
              </w:rPr>
            </w:pPr>
            <w:r>
              <w:rPr>
                <w:rFonts w:ascii="Arial" w:cs="Arial" w:eastAsia="Arial" w:hAnsi="Arial"/>
                <w:sz w:val="13"/>
                <w:szCs w:val="13"/>
                <w:color w:val="auto"/>
              </w:rPr>
              <w:t>2,499,724</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681,939</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1,775,573</w:t>
            </w:r>
          </w:p>
        </w:tc>
        <w:tc>
          <w:tcPr>
            <w:tcW w:w="720" w:type="dxa"/>
            <w:vAlign w:val="bottom"/>
          </w:tcPr>
          <w:p>
            <w:pPr>
              <w:jc w:val="right"/>
              <w:spacing w:after="0"/>
              <w:rPr>
                <w:sz w:val="20"/>
                <w:szCs w:val="20"/>
                <w:color w:val="auto"/>
              </w:rPr>
            </w:pPr>
            <w:r>
              <w:rPr>
                <w:rFonts w:ascii="Arial" w:cs="Arial" w:eastAsia="Arial" w:hAnsi="Arial"/>
                <w:sz w:val="13"/>
                <w:szCs w:val="13"/>
                <w:color w:val="auto"/>
              </w:rPr>
              <w:t>4,957,236</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2,512,497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625,116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1,577,730</w:t>
            </w:r>
          </w:p>
        </w:tc>
        <w:tc>
          <w:tcPr>
            <w:tcW w:w="720" w:type="dxa"/>
            <w:vAlign w:val="bottom"/>
          </w:tcPr>
          <w:p>
            <w:pPr>
              <w:jc w:val="right"/>
              <w:spacing w:after="0"/>
              <w:rPr>
                <w:sz w:val="20"/>
                <w:szCs w:val="20"/>
                <w:color w:val="auto"/>
              </w:rPr>
            </w:pPr>
            <w:r>
              <w:rPr>
                <w:rFonts w:ascii="Arial" w:cs="Arial" w:eastAsia="Arial" w:hAnsi="Arial"/>
                <w:sz w:val="13"/>
                <w:szCs w:val="13"/>
                <w:color w:val="auto"/>
              </w:rPr>
              <w:t>4,715,343</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20"/>
                <w:szCs w:val="20"/>
                <w:color w:val="auto"/>
              </w:rPr>
            </w:pPr>
            <w:r>
              <w:rPr>
                <w:rFonts w:ascii="Arial" w:cs="Arial" w:eastAsia="Arial" w:hAnsi="Arial"/>
                <w:sz w:val="13"/>
                <w:szCs w:val="13"/>
                <w:color w:val="auto"/>
              </w:rPr>
              <w:t>Financial assets at fair value through profit of loss</w:t>
            </w:r>
          </w:p>
        </w:tc>
        <w:tc>
          <w:tcPr>
            <w:tcW w:w="720" w:type="dxa"/>
            <w:vAlign w:val="bottom"/>
          </w:tcPr>
          <w:p>
            <w:pPr>
              <w:jc w:val="right"/>
              <w:spacing w:after="0"/>
              <w:rPr>
                <w:sz w:val="20"/>
                <w:szCs w:val="20"/>
                <w:color w:val="auto"/>
              </w:rPr>
            </w:pPr>
            <w:r>
              <w:rPr>
                <w:rFonts w:ascii="Arial" w:cs="Arial" w:eastAsia="Arial" w:hAnsi="Arial"/>
                <w:sz w:val="13"/>
                <w:szCs w:val="13"/>
                <w:color w:val="auto"/>
              </w:rPr>
              <w:t>985,836</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6,593</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992,429</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930,627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2,107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932,734</w:t>
            </w:r>
          </w:p>
        </w:tc>
        <w:tc>
          <w:tcPr>
            <w:tcW w:w="0" w:type="dxa"/>
            <w:vAlign w:val="bottom"/>
          </w:tcPr>
          <w:p>
            <w:pPr>
              <w:spacing w:after="0"/>
              <w:rPr>
                <w:sz w:val="1"/>
                <w:szCs w:val="1"/>
                <w:color w:val="auto"/>
              </w:rPr>
            </w:pPr>
          </w:p>
        </w:tc>
      </w:tr>
      <w:tr>
        <w:trPr>
          <w:trHeight w:val="266"/>
        </w:trPr>
        <w:tc>
          <w:tcPr>
            <w:tcW w:w="3560" w:type="dxa"/>
            <w:vAlign w:val="bottom"/>
          </w:tcPr>
          <w:p>
            <w:pPr>
              <w:spacing w:after="0"/>
              <w:rPr>
                <w:sz w:val="20"/>
                <w:szCs w:val="20"/>
                <w:color w:val="auto"/>
              </w:rPr>
            </w:pPr>
            <w:r>
              <w:rPr>
                <w:rFonts w:ascii="Arial" w:cs="Arial" w:eastAsia="Arial" w:hAnsi="Arial"/>
                <w:sz w:val="13"/>
                <w:szCs w:val="13"/>
                <w:b w:val="1"/>
                <w:bCs w:val="1"/>
                <w:color w:val="auto"/>
              </w:rPr>
              <w:t>Investments at fair value through other comprehensive</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line="145" w:lineRule="exact"/>
              <w:rPr>
                <w:sz w:val="20"/>
                <w:szCs w:val="20"/>
                <w:color w:val="auto"/>
              </w:rPr>
            </w:pPr>
            <w:r>
              <w:rPr>
                <w:rFonts w:ascii="Arial" w:cs="Arial" w:eastAsia="Arial" w:hAnsi="Arial"/>
                <w:sz w:val="13"/>
                <w:szCs w:val="13"/>
                <w:b w:val="1"/>
                <w:bCs w:val="1"/>
                <w:color w:val="auto"/>
              </w:rPr>
              <w:t>income: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line="145" w:lineRule="exact"/>
              <w:rPr>
                <w:sz w:val="20"/>
                <w:szCs w:val="20"/>
                <w:color w:val="auto"/>
              </w:rPr>
            </w:pPr>
            <w:r>
              <w:rPr>
                <w:rFonts w:ascii="Arial" w:cs="Arial" w:eastAsia="Arial" w:hAnsi="Arial"/>
                <w:sz w:val="13"/>
                <w:szCs w:val="13"/>
                <w:color w:val="auto"/>
              </w:rPr>
              <w:t>Debt Instruments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Corporate bonds</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4,512,131</w:t>
            </w:r>
          </w:p>
        </w:tc>
        <w:tc>
          <w:tcPr>
            <w:tcW w:w="10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8,841,584</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90,084</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13,443,799</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7,094,584</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7,292,412</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14,386,996</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Government bonds</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10,079,754</w:t>
            </w:r>
          </w:p>
        </w:tc>
        <w:tc>
          <w:tcPr>
            <w:tcW w:w="10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2,808,308</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12,888,062</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11,565,309</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902,942</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12,468,251</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Certificates of deposit BCRP</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390,875</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10,493,155</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10,884,030</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11,435,757</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11,435,757</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Securitization instruments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1,003,639</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1,003,639</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714,738</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714,738</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Subordinated bonds</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100,258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95,177</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195,435</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42,493</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127,455</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169,948</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Negotiable certificates of deposit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246,569</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246,569</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438,988</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438,988</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Other instruments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10,876</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168,577</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102,741</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282,194</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282,104</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98,592</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380,696</w:t>
            </w:r>
          </w:p>
        </w:tc>
        <w:tc>
          <w:tcPr>
            <w:tcW w:w="0" w:type="dxa"/>
            <w:vAlign w:val="bottom"/>
          </w:tcPr>
          <w:p>
            <w:pPr>
              <w:spacing w:after="0"/>
              <w:rPr>
                <w:sz w:val="1"/>
                <w:szCs w:val="1"/>
                <w:color w:val="auto"/>
              </w:rPr>
            </w:pPr>
          </w:p>
        </w:tc>
      </w:tr>
      <w:tr>
        <w:trPr>
          <w:trHeight w:val="165"/>
        </w:trPr>
        <w:tc>
          <w:tcPr>
            <w:tcW w:w="3560" w:type="dxa"/>
            <w:vAlign w:val="bottom"/>
          </w:tcPr>
          <w:p>
            <w:pPr>
              <w:spacing w:after="0"/>
              <w:rPr>
                <w:sz w:val="20"/>
                <w:szCs w:val="20"/>
                <w:color w:val="auto"/>
              </w:rPr>
            </w:pPr>
            <w:r>
              <w:rPr>
                <w:rFonts w:ascii="Arial" w:cs="Arial" w:eastAsia="Arial" w:hAnsi="Arial"/>
                <w:sz w:val="13"/>
                <w:szCs w:val="13"/>
                <w:color w:val="auto"/>
              </w:rPr>
              <w:t>Equity instruments</w:t>
            </w: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77,894</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12,425</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90,321</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15,307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118,735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13,222</w:t>
            </w:r>
          </w:p>
        </w:tc>
        <w:tc>
          <w:tcPr>
            <w:tcW w:w="720" w:type="dxa"/>
            <w:vAlign w:val="bottom"/>
          </w:tcPr>
          <w:p>
            <w:pPr>
              <w:jc w:val="right"/>
              <w:spacing w:after="0"/>
              <w:rPr>
                <w:sz w:val="20"/>
                <w:szCs w:val="20"/>
                <w:color w:val="auto"/>
              </w:rPr>
            </w:pPr>
            <w:r>
              <w:rPr>
                <w:rFonts w:ascii="Arial" w:cs="Arial" w:eastAsia="Arial" w:hAnsi="Arial"/>
                <w:sz w:val="13"/>
                <w:szCs w:val="13"/>
                <w:color w:val="auto"/>
              </w:rPr>
              <w:t>147,264</w:t>
            </w:r>
          </w:p>
        </w:tc>
        <w:tc>
          <w:tcPr>
            <w:tcW w:w="0" w:type="dxa"/>
            <w:vAlign w:val="bottom"/>
          </w:tcPr>
          <w:p>
            <w:pPr>
              <w:spacing w:after="0"/>
              <w:rPr>
                <w:sz w:val="1"/>
                <w:szCs w:val="1"/>
                <w:color w:val="auto"/>
              </w:rPr>
            </w:pPr>
          </w:p>
        </w:tc>
      </w:tr>
      <w:tr>
        <w:trPr>
          <w:trHeight w:val="137"/>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Total financial assets</w:t>
            </w: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15,093,896</w:t>
            </w: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23,734,903</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205,250</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39,034,049</w:t>
            </w:r>
          </w:p>
        </w:tc>
        <w:tc>
          <w:tcPr>
            <w:tcW w:w="1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18,717,693</w:t>
            </w:r>
          </w:p>
        </w:tc>
        <w:tc>
          <w:tcPr>
            <w:tcW w:w="1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21,313,131</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111,814</w:t>
            </w:r>
          </w:p>
        </w:tc>
        <w:tc>
          <w:tcPr>
            <w:tcW w:w="1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40,142,638</w:t>
            </w:r>
          </w:p>
        </w:tc>
        <w:tc>
          <w:tcPr>
            <w:tcW w:w="0" w:type="dxa"/>
            <w:vAlign w:val="bottom"/>
          </w:tcPr>
          <w:p>
            <w:pPr>
              <w:spacing w:after="0"/>
              <w:rPr>
                <w:sz w:val="1"/>
                <w:szCs w:val="1"/>
                <w:color w:val="auto"/>
              </w:rPr>
            </w:pPr>
          </w:p>
        </w:tc>
      </w:tr>
      <w:tr>
        <w:trPr>
          <w:trHeight w:val="141"/>
        </w:trPr>
        <w:tc>
          <w:tcPr>
            <w:tcW w:w="3560" w:type="dxa"/>
            <w:vAlign w:val="bottom"/>
            <w:vMerge w:val="continue"/>
          </w:tcPr>
          <w:p>
            <w:pPr>
              <w:spacing w:after="0"/>
              <w:rPr>
                <w:sz w:val="12"/>
                <w:szCs w:val="12"/>
                <w:color w:val="auto"/>
              </w:rPr>
            </w:pPr>
          </w:p>
        </w:tc>
        <w:tc>
          <w:tcPr>
            <w:tcW w:w="7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18,579,456</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25,655,300</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1,980,823</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46,215,579</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22,160,817</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22,845,145</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1,689,544</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46,695,506</w:t>
            </w: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Arial" w:cs="Arial" w:eastAsia="Arial" w:hAnsi="Arial"/>
                <w:sz w:val="13"/>
                <w:szCs w:val="13"/>
                <w:b w:val="1"/>
                <w:bCs w:val="1"/>
                <w:color w:val="auto"/>
              </w:rPr>
              <w:t>Financial liabilities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line="145" w:lineRule="exact"/>
              <w:rPr>
                <w:sz w:val="20"/>
                <w:szCs w:val="20"/>
                <w:color w:val="auto"/>
              </w:rPr>
            </w:pPr>
            <w:r>
              <w:rPr>
                <w:rFonts w:ascii="Arial" w:cs="Arial" w:eastAsia="Arial" w:hAnsi="Arial"/>
                <w:sz w:val="13"/>
                <w:szCs w:val="13"/>
                <w:b w:val="1"/>
                <w:bCs w:val="1"/>
                <w:color w:val="auto"/>
              </w:rPr>
              <w:t>Derivatives financial instruments: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Interest rate swaps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396,355</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396,355</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353,647</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353,647</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Currency swaps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346,591</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346,591</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230,848</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230,848</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Foreign currency forwards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300,695</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300,695</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210,947</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210,947</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Cross currency swaps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15,491</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15,491</w:t>
            </w:r>
          </w:p>
        </w:tc>
        <w:tc>
          <w:tcPr>
            <w:tcW w:w="0" w:type="dxa"/>
            <w:vAlign w:val="bottom"/>
          </w:tcPr>
          <w:p>
            <w:pPr>
              <w:spacing w:after="0"/>
              <w:rPr>
                <w:sz w:val="1"/>
                <w:szCs w:val="1"/>
                <w:color w:val="auto"/>
              </w:rPr>
            </w:pPr>
          </w:p>
        </w:tc>
      </w:tr>
      <w:tr>
        <w:trPr>
          <w:trHeight w:val="145"/>
        </w:trPr>
        <w:tc>
          <w:tcPr>
            <w:tcW w:w="3560" w:type="dxa"/>
            <w:vAlign w:val="bottom"/>
          </w:tcPr>
          <w:p>
            <w:pPr>
              <w:ind w:left="140"/>
              <w:spacing w:after="0" w:line="145" w:lineRule="exact"/>
              <w:rPr>
                <w:sz w:val="20"/>
                <w:szCs w:val="20"/>
                <w:color w:val="auto"/>
              </w:rPr>
            </w:pPr>
            <w:r>
              <w:rPr>
                <w:rFonts w:ascii="Arial" w:cs="Arial" w:eastAsia="Arial" w:hAnsi="Arial"/>
                <w:sz w:val="13"/>
                <w:szCs w:val="13"/>
                <w:color w:val="auto"/>
              </w:rPr>
              <w:t>Foreign exchange options</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4,263</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4,263</w:t>
            </w: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8,420</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8,420</w:t>
            </w:r>
          </w:p>
        </w:tc>
        <w:tc>
          <w:tcPr>
            <w:tcW w:w="0" w:type="dxa"/>
            <w:vAlign w:val="bottom"/>
          </w:tcPr>
          <w:p>
            <w:pPr>
              <w:spacing w:after="0"/>
              <w:rPr>
                <w:sz w:val="1"/>
                <w:szCs w:val="1"/>
                <w:color w:val="auto"/>
              </w:rPr>
            </w:pPr>
          </w:p>
        </w:tc>
      </w:tr>
      <w:tr>
        <w:trPr>
          <w:trHeight w:val="165"/>
        </w:trPr>
        <w:tc>
          <w:tcPr>
            <w:tcW w:w="3560" w:type="dxa"/>
            <w:vAlign w:val="bottom"/>
          </w:tcPr>
          <w:p>
            <w:pPr>
              <w:ind w:left="140"/>
              <w:spacing w:after="0"/>
              <w:rPr>
                <w:sz w:val="20"/>
                <w:szCs w:val="20"/>
                <w:color w:val="auto"/>
              </w:rPr>
            </w:pPr>
            <w:r>
              <w:rPr>
                <w:rFonts w:ascii="Arial" w:cs="Arial" w:eastAsia="Arial" w:hAnsi="Arial"/>
                <w:sz w:val="13"/>
                <w:szCs w:val="13"/>
                <w:color w:val="auto"/>
              </w:rPr>
              <w:t>Futures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120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1,047,907</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1,047,907</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819,473</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819,473</w:t>
            </w: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Arial" w:cs="Arial" w:eastAsia="Arial" w:hAnsi="Arial"/>
                <w:sz w:val="13"/>
                <w:szCs w:val="13"/>
                <w:color w:val="auto"/>
              </w:rPr>
              <w:t>Financial liabilities at fair value through profit or loss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1,055,893</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1,055,893</w:t>
            </w: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151,485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151,485</w:t>
            </w:r>
          </w:p>
        </w:tc>
        <w:tc>
          <w:tcPr>
            <w:tcW w:w="0" w:type="dxa"/>
            <w:vAlign w:val="bottom"/>
          </w:tcPr>
          <w:p>
            <w:pPr>
              <w:spacing w:after="0"/>
              <w:rPr>
                <w:sz w:val="1"/>
                <w:szCs w:val="1"/>
                <w:color w:val="auto"/>
              </w:rPr>
            </w:pPr>
          </w:p>
        </w:tc>
      </w:tr>
      <w:tr>
        <w:trPr>
          <w:trHeight w:val="141"/>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Total financial liabilities</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6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2,103,800</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2,103,800</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970,958</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970,958</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- 171 -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76" w:name="page177"/>
    <w:bookmarkEnd w:id="176"/>
    <w:p>
      <w:pPr>
        <w:spacing w:after="0" w:line="255" w:lineRule="auto"/>
        <w:rPr>
          <w:sz w:val="20"/>
          <w:szCs w:val="20"/>
          <w:color w:val="auto"/>
        </w:rPr>
      </w:pPr>
      <w:r>
        <w:rPr>
          <w:rFonts w:ascii="Arial" w:cs="Arial" w:eastAsia="Arial" w:hAnsi="Arial"/>
          <w:sz w:val="16"/>
          <w:szCs w:val="16"/>
          <w:color w:val="auto"/>
        </w:rPr>
        <w:t>Financial instruments classified within Level 1 are those measured based on quoted prices obtained in an active market. A financial instrument is considered to be quoted in an active market if prices are readily and regularly available from a centralized trading mechanism, dealer, broker, industry group, pricing service, or regulatory agency, and such prices are regularly derived from arm’s-length market transactions.</w:t>
      </w:r>
    </w:p>
    <w:p>
      <w:pPr>
        <w:spacing w:after="0" w:line="137" w:lineRule="exact"/>
        <w:rPr>
          <w:sz w:val="20"/>
          <w:szCs w:val="20"/>
          <w:color w:val="auto"/>
        </w:rPr>
      </w:pPr>
    </w:p>
    <w:p>
      <w:pPr>
        <w:jc w:val="both"/>
        <w:ind w:right="100"/>
        <w:spacing w:after="0" w:line="255" w:lineRule="auto"/>
        <w:rPr>
          <w:sz w:val="20"/>
          <w:szCs w:val="20"/>
          <w:color w:val="auto"/>
        </w:rPr>
      </w:pPr>
      <w:r>
        <w:rPr>
          <w:rFonts w:ascii="Arial" w:cs="Arial" w:eastAsia="Arial" w:hAnsi="Arial"/>
          <w:sz w:val="16"/>
          <w:szCs w:val="16"/>
          <w:color w:val="auto"/>
        </w:rPr>
        <w:t>Financial instruments classified within Level 2 are measured based on market inputs. This category includes instruments valued using: market prices of similar instruments, whether from active or inactive markets, and other valuation techniques (models) in which all significant inputs are directly or indirectly observable in the market.</w:t>
      </w:r>
    </w:p>
    <w:p>
      <w:pPr>
        <w:spacing w:after="0" w:line="137"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Below, we present a description of how the fair value of the Group’s main financial instruments is determined when valuation techniques with observable market inputs are used, incorporating Credicorp’s estimates regarding the assumptions that market participants would use to value these instruments: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Valuation of derivative financial instruments –</w:t>
      </w:r>
    </w:p>
    <w:p>
      <w:pPr>
        <w:spacing w:after="0" w:line="178"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Derivatives valued using standard models fed with observable market data (such as interest rate curves, forwards, credit spreads, and implied volatilities) are classified within Level 2.</w:t>
      </w:r>
    </w:p>
    <w:p>
      <w:pPr>
        <w:spacing w:after="0" w:line="123"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Interest rate and foreign exchange swaps, as well as foreign exchange forward contracts, are valued using valuation techniques based on observable market inputs. The valuation techniques most frequently used include forward and swap valuation models through present value calculations. These models incorporate various inputs, including counterparties’ credit quality, spot exchange rates, forward rates, and interest rate curves. Options are valued using recognized and generally accepted market models.</w:t>
      </w:r>
    </w:p>
    <w:p>
      <w:pPr>
        <w:spacing w:after="0" w:line="14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 credit valuation adjustment (“CVA”) is applied to the exposure of over-the-counter (OTC) derivatives to consider counterparty default risk when measuring the fair value of derivatives. CVA represents the market cost of protection required to hedge counterparty credit risk in this type of derivatives portfolio. CVA is calculated by multiplying the probability of default (PD), loss given default (LGD), and expected exposure (EE) at the time of default.</w:t>
      </w:r>
    </w:p>
    <w:p>
      <w:pPr>
        <w:spacing w:after="0" w:line="14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 debit valuation adjustment (“DVA”) is applied to incorporate Credicorp’s own credit risk into the fair value of its derivatives (i.e., the risk that the Group may fail to meet its contractual obligations), using the same calculation methodology as for CVA.</w:t>
      </w:r>
    </w:p>
    <w:p>
      <w:pPr>
        <w:spacing w:after="0" w:line="292"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- 172 -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280"/>
          </w:cols>
          <w:pgMar w:left="1180" w:top="316" w:right="439" w:bottom="1440" w:gutter="0" w:footer="0" w:header="0"/>
        </w:sectPr>
      </w:pPr>
    </w:p>
    <w:bookmarkStart w:id="177" w:name="page178"/>
    <w:bookmarkEnd w:id="177"/>
    <w:p>
      <w:pPr>
        <w:ind w:left="280" w:right="200"/>
        <w:spacing w:after="0" w:line="255" w:lineRule="auto"/>
        <w:rPr>
          <w:sz w:val="20"/>
          <w:szCs w:val="20"/>
          <w:color w:val="auto"/>
        </w:rPr>
      </w:pPr>
      <w:r>
        <w:rPr>
          <w:rFonts w:ascii="Arial" w:cs="Arial" w:eastAsia="Arial" w:hAnsi="Arial"/>
          <w:sz w:val="16"/>
          <w:szCs w:val="16"/>
          <w:color w:val="auto"/>
        </w:rPr>
        <w:t>As of December 31, 2025, the balance of derivative financial instruments receivable and payable amounts to S/1,231.9 million and S/1,047.9 million, respectively (see Note 12(c)), resulting in a DVA and CVA adjustment of approximately S/3.0 million and S/4.8 million, respectively. The net effect of both adjustments has been recognized in the consolidated statement of income as a loss of approximately S/0.9 million.</w:t>
      </w:r>
    </w:p>
    <w:p>
      <w:pPr>
        <w:spacing w:after="0" w:line="137" w:lineRule="exact"/>
        <w:rPr>
          <w:sz w:val="20"/>
          <w:szCs w:val="20"/>
          <w:color w:val="auto"/>
        </w:rPr>
      </w:pPr>
    </w:p>
    <w:p>
      <w:pPr>
        <w:jc w:val="both"/>
        <w:ind w:left="280" w:right="40"/>
        <w:spacing w:after="0" w:line="255" w:lineRule="auto"/>
        <w:rPr>
          <w:sz w:val="20"/>
          <w:szCs w:val="20"/>
          <w:color w:val="auto"/>
        </w:rPr>
      </w:pPr>
      <w:r>
        <w:rPr>
          <w:rFonts w:ascii="Arial" w:cs="Arial" w:eastAsia="Arial" w:hAnsi="Arial"/>
          <w:sz w:val="16"/>
          <w:szCs w:val="16"/>
          <w:color w:val="auto"/>
        </w:rPr>
        <w:t>As of December 31, 2024, the balance of derivative financial instruments receivable and payable amounts to S/904.8 million and S/819.5 million, respectively (see Note 12(c)), resulting in a DVA and CVA adjustment of approximately S/3.0 million and S/5.7 million, respectively. The net effect of both adjustments has been recognized in the consolidated statement of income as a loss of approximately S/1.2 million.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   Valuation of debt instruments classified as “fair value through other comprehensive income” and included in Level 1</w:t>
      </w:r>
    </w:p>
    <w:p>
      <w:pPr>
        <w:spacing w:after="0" w:line="177" w:lineRule="exact"/>
        <w:rPr>
          <w:sz w:val="20"/>
          <w:szCs w:val="20"/>
          <w:color w:val="auto"/>
        </w:rPr>
      </w:pPr>
    </w:p>
    <w:p>
      <w:pPr>
        <w:ind w:left="280" w:right="280"/>
        <w:spacing w:after="0" w:line="274" w:lineRule="auto"/>
        <w:rPr>
          <w:sz w:val="20"/>
          <w:szCs w:val="20"/>
          <w:color w:val="auto"/>
        </w:rPr>
      </w:pPr>
      <w:r>
        <w:rPr>
          <w:rFonts w:ascii="Arial" w:cs="Arial" w:eastAsia="Arial" w:hAnsi="Arial"/>
          <w:sz w:val="16"/>
          <w:szCs w:val="16"/>
          <w:color w:val="auto"/>
        </w:rPr>
        <w:t>Financial instruments classified in Level 1 of the fair value hierarchy are measured using quoted (unadjusted) prices in active markets that are directly observable and accessible to the entity at the measurement date.</w:t>
      </w:r>
    </w:p>
    <w:p>
      <w:pPr>
        <w:spacing w:after="0" w:line="122" w:lineRule="exact"/>
        <w:rPr>
          <w:sz w:val="20"/>
          <w:szCs w:val="20"/>
          <w:color w:val="auto"/>
        </w:rPr>
      </w:pPr>
    </w:p>
    <w:p>
      <w:pPr>
        <w:ind w:left="280" w:right="120"/>
        <w:spacing w:after="0" w:line="274" w:lineRule="auto"/>
        <w:rPr>
          <w:sz w:val="20"/>
          <w:szCs w:val="20"/>
          <w:color w:val="auto"/>
        </w:rPr>
      </w:pPr>
      <w:r>
        <w:rPr>
          <w:rFonts w:ascii="Arial" w:cs="Arial" w:eastAsia="Arial" w:hAnsi="Arial"/>
          <w:sz w:val="16"/>
          <w:szCs w:val="16"/>
          <w:color w:val="auto"/>
        </w:rPr>
        <w:t>In these cases, fair value is determined directly from executable market prices derived from frequent and representative transactions carried out under arm’s length conditions, without the need to apply adjustments or use valuation models.</w:t>
      </w:r>
    </w:p>
    <w:p>
      <w:pPr>
        <w:spacing w:after="0" w:line="122" w:lineRule="exact"/>
        <w:rPr>
          <w:sz w:val="20"/>
          <w:szCs w:val="20"/>
          <w:color w:val="auto"/>
        </w:rPr>
      </w:pPr>
    </w:p>
    <w:p>
      <w:pPr>
        <w:ind w:left="280"/>
        <w:spacing w:after="0" w:line="274" w:lineRule="auto"/>
        <w:rPr>
          <w:sz w:val="20"/>
          <w:szCs w:val="20"/>
          <w:color w:val="auto"/>
        </w:rPr>
      </w:pPr>
      <w:r>
        <w:rPr>
          <w:rFonts w:ascii="Arial" w:cs="Arial" w:eastAsia="Arial" w:hAnsi="Arial"/>
          <w:sz w:val="16"/>
          <w:szCs w:val="16"/>
          <w:color w:val="auto"/>
        </w:rPr>
        <w:t>Within this category are sovereign bonds with frequent daily trading, Central Bank Certificates of Deposit issued on the same day, or cases where there is sufficient evidence of observable market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Valuation of debt securities classified in the category “at fair value through other comprehensive income” and included in level 2 –</w:t>
      </w:r>
    </w:p>
    <w:p>
      <w:pPr>
        <w:spacing w:after="0" w:line="177" w:lineRule="exact"/>
        <w:rPr>
          <w:sz w:val="20"/>
          <w:szCs w:val="20"/>
          <w:color w:val="auto"/>
        </w:rPr>
      </w:pPr>
    </w:p>
    <w:p>
      <w:pPr>
        <w:ind w:left="280"/>
        <w:spacing w:after="0" w:line="255" w:lineRule="auto"/>
        <w:rPr>
          <w:sz w:val="20"/>
          <w:szCs w:val="20"/>
          <w:color w:val="auto"/>
        </w:rPr>
      </w:pPr>
      <w:r>
        <w:rPr>
          <w:rFonts w:ascii="Arial" w:cs="Arial" w:eastAsia="Arial" w:hAnsi="Arial"/>
          <w:sz w:val="16"/>
          <w:szCs w:val="16"/>
          <w:color w:val="auto"/>
        </w:rPr>
        <w:t>Instruments are classified within this level when fair value is determined using a valuation model that incorporates observable market inputs, such as sovereign yield curves, benchmark interest rates, credit spreads, or prices of comparable liquid instruments. This criterion applies to instruments whose valuation is based on publicly available and representative information, without requiring significant subjective adjustments.</w:t>
      </w:r>
    </w:p>
    <w:p>
      <w:pPr>
        <w:spacing w:after="0" w:line="137" w:lineRule="exact"/>
        <w:rPr>
          <w:sz w:val="20"/>
          <w:szCs w:val="20"/>
          <w:color w:val="auto"/>
        </w:rPr>
      </w:pPr>
    </w:p>
    <w:p>
      <w:pPr>
        <w:ind w:left="280" w:right="140"/>
        <w:spacing w:after="0" w:line="255" w:lineRule="auto"/>
        <w:rPr>
          <w:sz w:val="20"/>
          <w:szCs w:val="20"/>
          <w:color w:val="auto"/>
        </w:rPr>
      </w:pPr>
      <w:r>
        <w:rPr>
          <w:rFonts w:ascii="Arial" w:cs="Arial" w:eastAsia="Arial" w:hAnsi="Arial"/>
          <w:sz w:val="16"/>
          <w:szCs w:val="16"/>
          <w:color w:val="auto"/>
        </w:rPr>
        <w:t>For example, Central Bank of Peru (BCRP) Certificates of Deposit classified as Level 2, corporate bonds, finance lease bonds, and government treasury bonds are valued by calculating their Net Present Value (NPV) through the discounting of their cash flows, using the relevant zero-coupon yield curves to discount the flows in the respective currency and considering observable market transactions.</w:t>
      </w:r>
    </w:p>
    <w:p>
      <w:pPr>
        <w:spacing w:after="0" w:line="137" w:lineRule="exact"/>
        <w:rPr>
          <w:sz w:val="20"/>
          <w:szCs w:val="20"/>
          <w:color w:val="auto"/>
        </w:rPr>
      </w:pPr>
    </w:p>
    <w:p>
      <w:pPr>
        <w:ind w:left="280" w:right="300"/>
        <w:spacing w:after="0" w:line="255" w:lineRule="auto"/>
        <w:rPr>
          <w:sz w:val="20"/>
          <w:szCs w:val="20"/>
          <w:color w:val="auto"/>
        </w:rPr>
      </w:pPr>
      <w:r>
        <w:rPr>
          <w:rFonts w:ascii="Arial" w:cs="Arial" w:eastAsia="Arial" w:hAnsi="Arial"/>
          <w:sz w:val="16"/>
          <w:szCs w:val="16"/>
          <w:color w:val="auto"/>
        </w:rPr>
        <w:t>Other debt instruments are valued using valuation techniques based on assumptions supported by observable prices from current market transactions, with prices obtained from pricing providers. However, when prices are not determined in an active market, fair value is based on broker quotations and on assets valued using models in which most assumptions are observable in the market.</w:t>
      </w:r>
    </w:p>
    <w:p>
      <w:pPr>
        <w:spacing w:after="0" w:line="306" w:lineRule="exact"/>
        <w:rPr>
          <w:sz w:val="20"/>
          <w:szCs w:val="20"/>
          <w:color w:val="auto"/>
        </w:rPr>
      </w:pPr>
    </w:p>
    <w:p>
      <w:pPr>
        <w:ind w:left="4900" w:hanging="88"/>
        <w:spacing w:after="0"/>
        <w:tabs>
          <w:tab w:leader="none" w:pos="490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20"/>
          </w:cols>
          <w:pgMar w:left="900" w:top="316" w:right="37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t>–   Valuation of financial instruments included in level 3 -</w:t>
      </w:r>
    </w:p>
    <w:p>
      <w:pPr>
        <w:spacing w:after="0" w:line="177" w:lineRule="exact"/>
        <w:rPr>
          <w:sz w:val="20"/>
          <w:szCs w:val="20"/>
          <w:color w:val="auto"/>
        </w:rPr>
      </w:pPr>
    </w:p>
    <w:p>
      <w:pPr>
        <w:ind w:left="280"/>
        <w:spacing w:after="0" w:line="274" w:lineRule="auto"/>
        <w:rPr>
          <w:sz w:val="20"/>
          <w:szCs w:val="20"/>
          <w:color w:val="auto"/>
        </w:rPr>
      </w:pPr>
      <w:r>
        <w:rPr>
          <w:rFonts w:ascii="Arial" w:cs="Arial" w:eastAsia="Arial" w:hAnsi="Arial"/>
          <w:sz w:val="16"/>
          <w:szCs w:val="16"/>
          <w:color w:val="auto"/>
        </w:rPr>
        <w:t>They are measured using valuation techniques (internal models) based on assumptions that are not supported by observable transaction prices in the market for the same instrument, nor by available market data.</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this regard, no significant differences were observed between the estimated fair values and their respective carrying amounts.</w:t>
      </w:r>
    </w:p>
    <w:p>
      <w:pPr>
        <w:spacing w:after="0" w:line="346" w:lineRule="exact"/>
        <w:rPr>
          <w:sz w:val="20"/>
          <w:szCs w:val="20"/>
          <w:color w:val="auto"/>
        </w:rPr>
      </w:pPr>
    </w:p>
    <w:p>
      <w:pPr>
        <w:ind w:left="4900" w:hanging="88"/>
        <w:spacing w:after="0"/>
        <w:tabs>
          <w:tab w:leader="none" w:pos="490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174 -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0"/>
          </w:cols>
          <w:pgMar w:left="900" w:top="316" w:right="339" w:bottom="1440" w:gutter="0" w:footer="0" w:header="0"/>
        </w:sectPr>
      </w:pPr>
    </w:p>
    <w:bookmarkStart w:id="179" w:name="page180"/>
    <w:bookmarkEnd w:id="179"/>
    <w:p>
      <w:pPr>
        <w:spacing w:after="0"/>
        <w:tabs>
          <w:tab w:leader="none" w:pos="260" w:val="left"/>
        </w:tabs>
        <w:rPr>
          <w:sz w:val="20"/>
          <w:szCs w:val="20"/>
          <w:color w:val="auto"/>
        </w:rPr>
      </w:pPr>
      <w:r>
        <w:rPr>
          <w:rFonts w:ascii="Arial" w:cs="Arial" w:eastAsia="Arial" w:hAnsi="Arial"/>
          <w:sz w:val="16"/>
          <w:szCs w:val="16"/>
          <w:color w:val="auto"/>
        </w:rPr>
        <w:t>b)</w:t>
        <w:tab/>
        <w:t>Financial instruments not measured at fair value -</w:t>
      </w:r>
    </w:p>
    <w:p>
      <w:pPr>
        <w:spacing w:after="0" w:line="178" w:lineRule="exact"/>
        <w:rPr>
          <w:sz w:val="20"/>
          <w:szCs w:val="20"/>
          <w:color w:val="auto"/>
        </w:rPr>
      </w:pPr>
    </w:p>
    <w:p>
      <w:pPr>
        <w:ind w:left="280" w:right="180"/>
        <w:spacing w:after="0" w:line="274" w:lineRule="auto"/>
        <w:rPr>
          <w:sz w:val="20"/>
          <w:szCs w:val="20"/>
          <w:color w:val="auto"/>
        </w:rPr>
      </w:pPr>
      <w:r>
        <w:rPr>
          <w:rFonts w:ascii="Arial" w:cs="Arial" w:eastAsia="Arial" w:hAnsi="Arial"/>
          <w:sz w:val="16"/>
          <w:szCs w:val="16"/>
          <w:color w:val="auto"/>
        </w:rPr>
        <w:t>We present below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2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1"/>
                <w:szCs w:val="11"/>
                <w:color w:val="auto"/>
              </w:rPr>
            </w:pPr>
          </w:p>
        </w:tc>
      </w:tr>
      <w:tr>
        <w:trPr>
          <w:trHeight w:val="153"/>
        </w:trPr>
        <w:tc>
          <w:tcPr>
            <w:tcW w:w="2200" w:type="dxa"/>
            <w:vAlign w:val="bottom"/>
          </w:tcPr>
          <w:p>
            <w:pPr>
              <w:spacing w:after="0"/>
              <w:rPr>
                <w:sz w:val="13"/>
                <w:szCs w:val="13"/>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Level 1</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Level 2</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Level 3</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Level 1</w:t>
            </w: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Level 2</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Level 3</w:t>
            </w: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r>
      <w:tr>
        <w:trPr>
          <w:trHeight w:val="168"/>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r>
      <w:tr>
        <w:trPr>
          <w:trHeight w:val="250"/>
        </w:trPr>
        <w:tc>
          <w:tcPr>
            <w:tcW w:w="220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Cash and due from banks</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49,044,457</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49,044,457</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49,044,457</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47,655,196</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47,655,196</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47,655,196</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Cash collateral, reverse repurchase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agreements and securities borrowing</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2,177,200</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2,177,200</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2,177,200</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1,033,177</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1,033,177</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1,033,177</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Investments at amortized cost</w:t>
            </w:r>
          </w:p>
        </w:tc>
        <w:tc>
          <w:tcPr>
            <w:tcW w:w="7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8,292,014</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441,900</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8,733,914</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8,813,657</w:t>
            </w:r>
          </w:p>
        </w:tc>
        <w:tc>
          <w:tcPr>
            <w:tcW w:w="7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8,146,745</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296,793</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8,443,538</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8,967,877</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Loans, net</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9"/>
              </w:rPr>
              <w:t>142,315,004</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142,315,004</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9"/>
              </w:rPr>
              <w:t>142,315,004</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137,737,296</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137,737,296</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137,737,296</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Due from customers on banker’s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acceptances</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345,906</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345,906</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345,906</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528,184</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528,184</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528,184</w:t>
            </w:r>
          </w:p>
        </w:tc>
      </w:tr>
      <w:tr>
        <w:trPr>
          <w:trHeight w:val="165"/>
        </w:trPr>
        <w:tc>
          <w:tcPr>
            <w:tcW w:w="2200" w:type="dxa"/>
            <w:vAlign w:val="bottom"/>
          </w:tcPr>
          <w:p>
            <w:pPr>
              <w:spacing w:after="0"/>
              <w:rPr>
                <w:sz w:val="20"/>
                <w:szCs w:val="20"/>
                <w:color w:val="auto"/>
              </w:rPr>
            </w:pPr>
            <w:r>
              <w:rPr>
                <w:rFonts w:ascii="Arial" w:cs="Arial" w:eastAsia="Arial" w:hAnsi="Arial"/>
                <w:sz w:val="13"/>
                <w:szCs w:val="13"/>
                <w:color w:val="auto"/>
              </w:rPr>
              <w:t>Other assets (*)</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5,102,543</w:t>
            </w:r>
          </w:p>
        </w:tc>
        <w:tc>
          <w:tcPr>
            <w:tcW w:w="40" w:type="dxa"/>
            <w:vAlign w:val="bottom"/>
          </w:tcPr>
          <w:p>
            <w:pPr>
              <w:spacing w:after="0"/>
              <w:rPr>
                <w:sz w:val="14"/>
                <w:szCs w:val="14"/>
                <w:color w:val="auto"/>
              </w:rPr>
            </w:pPr>
          </w:p>
        </w:tc>
        <w:tc>
          <w:tcPr>
            <w:tcW w:w="6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5,102,543</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5,102,543</w:t>
            </w: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3,269,019</w:t>
            </w:r>
          </w:p>
        </w:tc>
        <w:tc>
          <w:tcPr>
            <w:tcW w:w="40" w:type="dxa"/>
            <w:vAlign w:val="bottom"/>
          </w:tcPr>
          <w:p>
            <w:pPr>
              <w:spacing w:after="0"/>
              <w:rPr>
                <w:sz w:val="14"/>
                <w:szCs w:val="14"/>
                <w:color w:val="auto"/>
              </w:rPr>
            </w:pPr>
          </w:p>
        </w:tc>
        <w:tc>
          <w:tcPr>
            <w:tcW w:w="6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3,269,019</w:t>
            </w:r>
          </w:p>
        </w:tc>
        <w:tc>
          <w:tcPr>
            <w:tcW w:w="780" w:type="dxa"/>
            <w:vAlign w:val="bottom"/>
            <w:gridSpan w:val="3"/>
          </w:tcPr>
          <w:p>
            <w:pPr>
              <w:jc w:val="right"/>
              <w:ind w:right="20"/>
              <w:spacing w:after="0"/>
              <w:rPr>
                <w:sz w:val="20"/>
                <w:szCs w:val="20"/>
                <w:color w:val="auto"/>
              </w:rPr>
            </w:pPr>
            <w:r>
              <w:rPr>
                <w:rFonts w:ascii="Arial" w:cs="Arial" w:eastAsia="Arial" w:hAnsi="Arial"/>
                <w:sz w:val="13"/>
                <w:szCs w:val="13"/>
                <w:color w:val="auto"/>
              </w:rPr>
              <w:t>3,269,019</w:t>
            </w:r>
          </w:p>
        </w:tc>
      </w:tr>
      <w:tr>
        <w:trPr>
          <w:trHeight w:val="137"/>
        </w:trPr>
        <w:tc>
          <w:tcPr>
            <w:tcW w:w="220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1"/>
                <w:szCs w:val="11"/>
                <w:color w:val="auto"/>
              </w:rPr>
            </w:pPr>
          </w:p>
        </w:tc>
        <w:tc>
          <w:tcPr>
            <w:tcW w:w="6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8,292,014</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199,427,010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ind w:left="56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207,719,024</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207,798,767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8,146,745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190,519,665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ind w:left="560"/>
              <w:spacing w:after="0" w:line="137" w:lineRule="exact"/>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198,666,410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w w:val="99"/>
              </w:rPr>
              <w:t>199,190,749</w:t>
            </w:r>
          </w:p>
        </w:tc>
      </w:tr>
      <w:tr>
        <w:trPr>
          <w:trHeight w:val="274"/>
        </w:trPr>
        <w:tc>
          <w:tcPr>
            <w:tcW w:w="22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Deposits and obligations</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9"/>
              </w:rPr>
              <w:t>170,401,633</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170,401,633</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9"/>
              </w:rPr>
              <w:t>170,401,633</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161,842,066</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161,842,066</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161,842,066</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Payables on repurchase agreements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and securities lending</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8,243,787</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8,243,787</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8,243,787</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9,060,710</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9,060,710</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9,060,710</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Due to Banks and correspondents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and other entities</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10,651,649</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10,651,649</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10,675,238</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10,820,211</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10,820,211</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10,754,385</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Due from customers on banker’s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acceptances</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345,906</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345,906</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345,906</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528,184</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528,184</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528,184</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Lease liabilities</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612,259</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612,259</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612,259</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404,817</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404,817</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404,817</w:t>
            </w:r>
          </w:p>
        </w:tc>
      </w:tr>
      <w:tr>
        <w:trPr>
          <w:trHeight w:val="145"/>
        </w:trPr>
        <w:tc>
          <w:tcPr>
            <w:tcW w:w="2200" w:type="dxa"/>
            <w:vAlign w:val="bottom"/>
          </w:tcPr>
          <w:p>
            <w:pPr>
              <w:spacing w:after="0" w:line="145" w:lineRule="exact"/>
              <w:rPr>
                <w:sz w:val="20"/>
                <w:szCs w:val="20"/>
                <w:color w:val="auto"/>
              </w:rPr>
            </w:pPr>
            <w:r>
              <w:rPr>
                <w:rFonts w:ascii="Arial" w:cs="Arial" w:eastAsia="Arial" w:hAnsi="Arial"/>
                <w:sz w:val="13"/>
                <w:szCs w:val="13"/>
                <w:color w:val="auto"/>
              </w:rPr>
              <w:t>Bond and notes issued</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14,346,976</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14,346,976</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14,025,535</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17,230,157</w:t>
            </w:r>
          </w:p>
        </w:tc>
        <w:tc>
          <w:tcPr>
            <w:tcW w:w="40" w:type="dxa"/>
            <w:vAlign w:val="bottom"/>
          </w:tcPr>
          <w:p>
            <w:pPr>
              <w:spacing w:after="0"/>
              <w:rPr>
                <w:sz w:val="12"/>
                <w:szCs w:val="12"/>
                <w:color w:val="auto"/>
              </w:rPr>
            </w:pPr>
          </w:p>
        </w:tc>
        <w:tc>
          <w:tcPr>
            <w:tcW w:w="680" w:type="dxa"/>
            <w:vAlign w:val="bottom"/>
            <w:gridSpan w:val="2"/>
          </w:tcPr>
          <w:p>
            <w:pPr>
              <w:ind w:left="56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17,230,157</w:t>
            </w:r>
          </w:p>
        </w:tc>
        <w:tc>
          <w:tcPr>
            <w:tcW w:w="7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17,268,443</w:t>
            </w:r>
          </w:p>
        </w:tc>
      </w:tr>
      <w:tr>
        <w:trPr>
          <w:trHeight w:val="165"/>
        </w:trPr>
        <w:tc>
          <w:tcPr>
            <w:tcW w:w="2200" w:type="dxa"/>
            <w:vAlign w:val="bottom"/>
          </w:tcPr>
          <w:p>
            <w:pPr>
              <w:spacing w:after="0"/>
              <w:rPr>
                <w:sz w:val="20"/>
                <w:szCs w:val="20"/>
                <w:color w:val="auto"/>
              </w:rPr>
            </w:pPr>
            <w:r>
              <w:rPr>
                <w:rFonts w:ascii="Arial" w:cs="Arial" w:eastAsia="Arial" w:hAnsi="Arial"/>
                <w:sz w:val="13"/>
                <w:szCs w:val="13"/>
                <w:color w:val="auto"/>
              </w:rPr>
              <w:t>Other liabilities (**)</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5,700,097</w:t>
            </w:r>
          </w:p>
        </w:tc>
        <w:tc>
          <w:tcPr>
            <w:tcW w:w="40" w:type="dxa"/>
            <w:vAlign w:val="bottom"/>
          </w:tcPr>
          <w:p>
            <w:pPr>
              <w:spacing w:after="0"/>
              <w:rPr>
                <w:sz w:val="14"/>
                <w:szCs w:val="14"/>
                <w:color w:val="auto"/>
              </w:rPr>
            </w:pPr>
          </w:p>
        </w:tc>
        <w:tc>
          <w:tcPr>
            <w:tcW w:w="6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5,700,097</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5,700,097</w:t>
            </w: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5,220,127</w:t>
            </w:r>
          </w:p>
        </w:tc>
        <w:tc>
          <w:tcPr>
            <w:tcW w:w="40" w:type="dxa"/>
            <w:vAlign w:val="bottom"/>
          </w:tcPr>
          <w:p>
            <w:pPr>
              <w:spacing w:after="0"/>
              <w:rPr>
                <w:sz w:val="14"/>
                <w:szCs w:val="14"/>
                <w:color w:val="auto"/>
              </w:rPr>
            </w:pPr>
          </w:p>
        </w:tc>
        <w:tc>
          <w:tcPr>
            <w:tcW w:w="6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5,220,127</w:t>
            </w:r>
          </w:p>
        </w:tc>
        <w:tc>
          <w:tcPr>
            <w:tcW w:w="780" w:type="dxa"/>
            <w:vAlign w:val="bottom"/>
            <w:gridSpan w:val="3"/>
          </w:tcPr>
          <w:p>
            <w:pPr>
              <w:jc w:val="right"/>
              <w:ind w:right="20"/>
              <w:spacing w:after="0"/>
              <w:rPr>
                <w:sz w:val="20"/>
                <w:szCs w:val="20"/>
                <w:color w:val="auto"/>
              </w:rPr>
            </w:pPr>
            <w:r>
              <w:rPr>
                <w:rFonts w:ascii="Arial" w:cs="Arial" w:eastAsia="Arial" w:hAnsi="Arial"/>
                <w:sz w:val="13"/>
                <w:szCs w:val="13"/>
                <w:color w:val="auto"/>
              </w:rPr>
              <w:t>5,220,127</w:t>
            </w:r>
          </w:p>
        </w:tc>
      </w:tr>
      <w:tr>
        <w:trPr>
          <w:trHeight w:val="141"/>
        </w:trPr>
        <w:tc>
          <w:tcPr>
            <w:tcW w:w="220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210,302,307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210,302,307</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210,004,455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99"/>
              </w:rPr>
              <w:t>205,106,272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560"/>
              <w:spacing w:after="0" w:line="137" w:lineRule="exact"/>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205,106,272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w w:val="99"/>
              </w:rPr>
              <w:t>205,078,732</w:t>
            </w:r>
          </w:p>
        </w:tc>
      </w:tr>
    </w:tbl>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Corresponds to receivables, margin call, receivables from sale of investments and operations in process.</w:t>
      </w:r>
    </w:p>
    <w:p>
      <w:pPr>
        <w:spacing w:after="0" w:line="13" w:lineRule="exact"/>
        <w:rPr>
          <w:sz w:val="20"/>
          <w:szCs w:val="20"/>
          <w:color w:val="auto"/>
        </w:rPr>
      </w:pPr>
    </w:p>
    <w:p>
      <w:pPr>
        <w:ind w:left="280" w:right="40" w:firstLine="5"/>
        <w:spacing w:after="0" w:line="253" w:lineRule="auto"/>
        <w:tabs>
          <w:tab w:leader="none" w:pos="55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Corresponds to accounts payable, salaries and other personnel expenses, accounts payable for acquisitions of investments, operations in process, allowance for indirect loan losses and dividends payable.</w:t>
      </w:r>
    </w:p>
    <w:p>
      <w:pPr>
        <w:spacing w:after="0" w:line="307" w:lineRule="exact"/>
        <w:rPr>
          <w:rFonts w:ascii="Arial" w:cs="Arial" w:eastAsia="Arial" w:hAnsi="Arial"/>
          <w:sz w:val="16"/>
          <w:szCs w:val="16"/>
          <w:color w:val="auto"/>
        </w:rPr>
      </w:pPr>
    </w:p>
    <w:p>
      <w:pPr>
        <w:ind w:left="4900" w:hanging="88"/>
        <w:spacing w:after="0"/>
        <w:tabs>
          <w:tab w:leader="none" w:pos="490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400"/>
          </w:cols>
          <w:pgMar w:left="900" w:top="316" w:right="599" w:bottom="1440" w:gutter="0" w:footer="0" w:header="0"/>
        </w:sectPr>
      </w:pPr>
    </w:p>
    <w:bookmarkStart w:id="180" w:name="page181"/>
    <w:bookmarkEnd w:id="180"/>
    <w:p>
      <w:pPr>
        <w:ind w:left="580" w:right="120"/>
        <w:spacing w:after="0" w:line="274" w:lineRule="auto"/>
        <w:rPr>
          <w:sz w:val="20"/>
          <w:szCs w:val="20"/>
          <w:color w:val="auto"/>
        </w:rPr>
      </w:pPr>
      <w:r>
        <w:rPr>
          <w:rFonts w:ascii="Arial" w:cs="Arial" w:eastAsia="Arial" w:hAnsi="Arial"/>
          <w:sz w:val="16"/>
          <w:szCs w:val="16"/>
          <w:color w:val="auto"/>
        </w:rPr>
        <w:t>The methodologies and assumptions used by the Group to determine fair values depend on the terms and risk characteristics of the various financial instruments and include the following:</w:t>
      </w:r>
    </w:p>
    <w:p>
      <w:pPr>
        <w:spacing w:after="0" w:line="123" w:lineRule="exact"/>
        <w:rPr>
          <w:sz w:val="20"/>
          <w:szCs w:val="20"/>
          <w:color w:val="auto"/>
        </w:rPr>
      </w:pPr>
    </w:p>
    <w:p>
      <w:pPr>
        <w:ind w:left="860" w:right="20" w:hanging="284"/>
        <w:spacing w:after="0" w:line="248" w:lineRule="auto"/>
        <w:tabs>
          <w:tab w:leader="none" w:pos="8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considered for the incurred losses of these loans. As of December 31, 2025, and 2024, the carrying amounts of loans, net of allowances, were not materially different from their calculated fair values.</w:t>
      </w:r>
    </w:p>
    <w:p>
      <w:pPr>
        <w:spacing w:after="0" w:line="144" w:lineRule="exact"/>
        <w:rPr>
          <w:rFonts w:ascii="Arial" w:cs="Arial" w:eastAsia="Arial" w:hAnsi="Arial"/>
          <w:sz w:val="16"/>
          <w:szCs w:val="16"/>
          <w:color w:val="auto"/>
        </w:rPr>
      </w:pPr>
    </w:p>
    <w:p>
      <w:pPr>
        <w:ind w:left="860" w:right="260" w:hanging="284"/>
        <w:spacing w:after="0" w:line="255" w:lineRule="auto"/>
        <w:tabs>
          <w:tab w:leader="none" w:pos="8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Assets for which fair values approximate their carrying value - For financial assets and financial liabilities that are liquid or have a short-term maturity (less than three months) it is assumed that the carrying amounts approximate to their fair values. This assumption is also applicable to time deposits, savings accounts without a specific maturity and variable rate financial instruments.</w:t>
      </w:r>
    </w:p>
    <w:p>
      <w:pPr>
        <w:spacing w:after="0" w:line="137" w:lineRule="exact"/>
        <w:rPr>
          <w:rFonts w:ascii="Arial" w:cs="Arial" w:eastAsia="Arial" w:hAnsi="Arial"/>
          <w:sz w:val="16"/>
          <w:szCs w:val="16"/>
          <w:color w:val="auto"/>
        </w:rPr>
      </w:pPr>
    </w:p>
    <w:p>
      <w:pPr>
        <w:ind w:left="860" w:right="40" w:hanging="284"/>
        <w:spacing w:after="0" w:line="245" w:lineRule="auto"/>
        <w:tabs>
          <w:tab w:leader="none" w:pos="8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30.12</w:t>
        <w:tab/>
        <w:t>Fiduciary activities, management of funds and pension funds -</w:t>
      </w:r>
    </w:p>
    <w:p>
      <w:pPr>
        <w:spacing w:after="0" w:line="178" w:lineRule="exact"/>
        <w:rPr>
          <w:sz w:val="20"/>
          <w:szCs w:val="20"/>
          <w:color w:val="auto"/>
        </w:rPr>
      </w:pPr>
    </w:p>
    <w:p>
      <w:pPr>
        <w:ind w:left="580" w:right="200"/>
        <w:spacing w:after="0" w:line="255"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2025 and 2024, the value of the net assets under administration off the balance sheet (in millions of soles)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20" w:type="dxa"/>
            <w:vAlign w:val="bottom"/>
            <w:gridSpan w:val="2"/>
          </w:tcPr>
          <w:p>
            <w:pPr>
              <w:ind w:left="7920"/>
              <w:spacing w:after="0"/>
              <w:rPr>
                <w:sz w:val="20"/>
                <w:szCs w:val="20"/>
                <w:color w:val="auto"/>
              </w:rPr>
            </w:pPr>
            <w:r>
              <w:rPr>
                <w:rFonts w:ascii="Arial" w:cs="Arial" w:eastAsia="Arial" w:hAnsi="Arial"/>
                <w:sz w:val="16"/>
                <w:szCs w:val="16"/>
                <w:b w:val="1"/>
                <w:bCs w:val="1"/>
                <w:color w:val="auto"/>
              </w:rPr>
              <w:t>2025</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780"/>
              <w:spacing w:after="0"/>
              <w:rPr>
                <w:sz w:val="20"/>
                <w:szCs w:val="20"/>
                <w:color w:val="auto"/>
              </w:rPr>
            </w:pPr>
            <w:r>
              <w:rPr>
                <w:rFonts w:ascii="Arial" w:cs="Arial" w:eastAsia="Arial" w:hAnsi="Arial"/>
                <w:sz w:val="16"/>
                <w:szCs w:val="16"/>
                <w:b w:val="1"/>
                <w:bCs w:val="1"/>
                <w:color w:val="auto"/>
                <w:w w:val="95"/>
              </w:rPr>
              <w:t>2024</w:t>
            </w:r>
          </w:p>
        </w:tc>
        <w:tc>
          <w:tcPr>
            <w:tcW w:w="680" w:type="dxa"/>
            <w:vAlign w:val="bottom"/>
          </w:tcPr>
          <w:p>
            <w:pPr>
              <w:spacing w:after="0"/>
              <w:rPr>
                <w:sz w:val="17"/>
                <w:szCs w:val="17"/>
                <w:color w:val="auto"/>
              </w:rPr>
            </w:pPr>
          </w:p>
        </w:tc>
      </w:tr>
      <w:tr>
        <w:trPr>
          <w:trHeight w:val="156"/>
        </w:trPr>
        <w:tc>
          <w:tcPr>
            <w:tcW w:w="7900" w:type="dxa"/>
            <w:vAlign w:val="bottom"/>
          </w:tcPr>
          <w:p>
            <w:pPr>
              <w:ind w:left="580"/>
              <w:spacing w:after="0" w:line="156" w:lineRule="exact"/>
              <w:rPr>
                <w:sz w:val="20"/>
                <w:szCs w:val="20"/>
                <w:color w:val="auto"/>
              </w:rPr>
            </w:pPr>
            <w:r>
              <w:rPr>
                <w:rFonts w:ascii="Arial" w:cs="Arial" w:eastAsia="Arial" w:hAnsi="Arial"/>
                <w:sz w:val="16"/>
                <w:szCs w:val="16"/>
                <w:color w:val="auto"/>
              </w:rPr>
              <w:t>Investment funds and mutual funds</w:t>
            </w:r>
          </w:p>
        </w:tc>
        <w:tc>
          <w:tcPr>
            <w:tcW w:w="5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66,353</w:t>
            </w:r>
          </w:p>
        </w:tc>
        <w:tc>
          <w:tcPr>
            <w:tcW w:w="220" w:type="dxa"/>
            <w:vAlign w:val="bottom"/>
          </w:tcPr>
          <w:p>
            <w:pPr>
              <w:spacing w:after="0"/>
              <w:rPr>
                <w:sz w:val="13"/>
                <w:szCs w:val="13"/>
                <w:color w:val="auto"/>
              </w:rPr>
            </w:pPr>
          </w:p>
        </w:tc>
        <w:tc>
          <w:tcPr>
            <w:tcW w:w="12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64,430</w:t>
            </w:r>
          </w:p>
        </w:tc>
        <w:tc>
          <w:tcPr>
            <w:tcW w:w="680" w:type="dxa"/>
            <w:vAlign w:val="bottom"/>
          </w:tcPr>
          <w:p>
            <w:pPr>
              <w:spacing w:after="0"/>
              <w:rPr>
                <w:sz w:val="13"/>
                <w:szCs w:val="13"/>
                <w:color w:val="auto"/>
              </w:rPr>
            </w:pPr>
          </w:p>
        </w:tc>
      </w:tr>
      <w:tr>
        <w:trPr>
          <w:trHeight w:val="181"/>
        </w:trPr>
        <w:tc>
          <w:tcPr>
            <w:tcW w:w="8420" w:type="dxa"/>
            <w:vAlign w:val="bottom"/>
            <w:gridSpan w:val="2"/>
          </w:tcPr>
          <w:p>
            <w:pPr>
              <w:ind w:left="580"/>
              <w:spacing w:after="0" w:line="181" w:lineRule="exact"/>
              <w:rPr>
                <w:sz w:val="20"/>
                <w:szCs w:val="20"/>
                <w:color w:val="auto"/>
              </w:rPr>
            </w:pPr>
            <w:r>
              <w:rPr>
                <w:rFonts w:ascii="Arial" w:cs="Arial" w:eastAsia="Arial" w:hAnsi="Arial"/>
                <w:sz w:val="16"/>
                <w:szCs w:val="16"/>
                <w:color w:val="auto"/>
              </w:rPr>
              <w:t>Equity managed</w:t>
            </w:r>
          </w:p>
        </w:tc>
        <w:tc>
          <w:tcPr>
            <w:tcW w:w="9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51,368</w:t>
            </w:r>
          </w:p>
        </w:tc>
        <w:tc>
          <w:tcPr>
            <w:tcW w:w="1900" w:type="dxa"/>
            <w:vAlign w:val="bottom"/>
            <w:gridSpan w:val="2"/>
          </w:tcPr>
          <w:p>
            <w:pPr>
              <w:jc w:val="right"/>
              <w:ind w:right="680"/>
              <w:spacing w:after="0" w:line="181" w:lineRule="exact"/>
              <w:rPr>
                <w:sz w:val="20"/>
                <w:szCs w:val="20"/>
                <w:color w:val="auto"/>
              </w:rPr>
            </w:pPr>
            <w:r>
              <w:rPr>
                <w:rFonts w:ascii="Arial" w:cs="Arial" w:eastAsia="Arial" w:hAnsi="Arial"/>
                <w:sz w:val="16"/>
                <w:szCs w:val="16"/>
                <w:color w:val="auto"/>
              </w:rPr>
              <w:t>39,372</w:t>
            </w:r>
          </w:p>
        </w:tc>
      </w:tr>
      <w:tr>
        <w:trPr>
          <w:trHeight w:val="181"/>
        </w:trPr>
        <w:tc>
          <w:tcPr>
            <w:tcW w:w="8420" w:type="dxa"/>
            <w:vAlign w:val="bottom"/>
            <w:gridSpan w:val="2"/>
          </w:tcPr>
          <w:p>
            <w:pPr>
              <w:ind w:left="580"/>
              <w:spacing w:after="0" w:line="181" w:lineRule="exact"/>
              <w:rPr>
                <w:sz w:val="20"/>
                <w:szCs w:val="20"/>
                <w:color w:val="auto"/>
              </w:rPr>
            </w:pPr>
            <w:r>
              <w:rPr>
                <w:rFonts w:ascii="Arial" w:cs="Arial" w:eastAsia="Arial" w:hAnsi="Arial"/>
                <w:sz w:val="16"/>
                <w:szCs w:val="16"/>
                <w:color w:val="auto"/>
              </w:rPr>
              <w:t>Pension funds</w:t>
            </w:r>
          </w:p>
        </w:tc>
        <w:tc>
          <w:tcPr>
            <w:tcW w:w="9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33,538</w:t>
            </w:r>
          </w:p>
        </w:tc>
        <w:tc>
          <w:tcPr>
            <w:tcW w:w="1900" w:type="dxa"/>
            <w:vAlign w:val="bottom"/>
            <w:gridSpan w:val="2"/>
          </w:tcPr>
          <w:p>
            <w:pPr>
              <w:jc w:val="right"/>
              <w:ind w:right="680"/>
              <w:spacing w:after="0" w:line="181" w:lineRule="exact"/>
              <w:rPr>
                <w:sz w:val="20"/>
                <w:szCs w:val="20"/>
                <w:color w:val="auto"/>
              </w:rPr>
            </w:pPr>
            <w:r>
              <w:rPr>
                <w:rFonts w:ascii="Arial" w:cs="Arial" w:eastAsia="Arial" w:hAnsi="Arial"/>
                <w:sz w:val="16"/>
                <w:szCs w:val="16"/>
                <w:color w:val="auto"/>
              </w:rPr>
              <w:t>32,437</w:t>
            </w:r>
          </w:p>
        </w:tc>
      </w:tr>
      <w:tr>
        <w:trPr>
          <w:trHeight w:val="210"/>
        </w:trPr>
        <w:tc>
          <w:tcPr>
            <w:tcW w:w="8420" w:type="dxa"/>
            <w:vAlign w:val="bottom"/>
            <w:gridSpan w:val="2"/>
          </w:tcPr>
          <w:p>
            <w:pPr>
              <w:ind w:left="580"/>
              <w:spacing w:after="0"/>
              <w:rPr>
                <w:sz w:val="20"/>
                <w:szCs w:val="20"/>
                <w:color w:val="auto"/>
              </w:rPr>
            </w:pPr>
            <w:r>
              <w:rPr>
                <w:rFonts w:ascii="Arial" w:cs="Arial" w:eastAsia="Arial" w:hAnsi="Arial"/>
                <w:sz w:val="16"/>
                <w:szCs w:val="16"/>
                <w:color w:val="auto"/>
              </w:rPr>
              <w:t>Bank trusts</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5,155</w:t>
            </w:r>
          </w:p>
        </w:tc>
        <w:tc>
          <w:tcPr>
            <w:tcW w:w="1900" w:type="dxa"/>
            <w:vAlign w:val="bottom"/>
            <w:gridSpan w:val="2"/>
          </w:tcPr>
          <w:p>
            <w:pPr>
              <w:jc w:val="right"/>
              <w:ind w:right="680"/>
              <w:spacing w:after="0"/>
              <w:rPr>
                <w:sz w:val="20"/>
                <w:szCs w:val="20"/>
                <w:color w:val="auto"/>
              </w:rPr>
            </w:pPr>
            <w:r>
              <w:rPr>
                <w:rFonts w:ascii="Arial" w:cs="Arial" w:eastAsia="Arial" w:hAnsi="Arial"/>
                <w:sz w:val="16"/>
                <w:szCs w:val="16"/>
                <w:color w:val="auto"/>
              </w:rPr>
              <w:t>6,120</w:t>
            </w:r>
          </w:p>
        </w:tc>
      </w:tr>
      <w:tr>
        <w:trPr>
          <w:trHeight w:val="177"/>
        </w:trPr>
        <w:tc>
          <w:tcPr>
            <w:tcW w:w="7900" w:type="dxa"/>
            <w:vAlign w:val="bottom"/>
          </w:tcPr>
          <w:p>
            <w:pPr>
              <w:ind w:left="580"/>
              <w:spacing w:after="0" w:line="173"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156,414</w:t>
            </w:r>
          </w:p>
        </w:tc>
        <w:tc>
          <w:tcPr>
            <w:tcW w:w="2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142,359</w:t>
            </w:r>
          </w:p>
        </w:tc>
        <w:tc>
          <w:tcPr>
            <w:tcW w:w="680" w:type="dxa"/>
            <w:vAlign w:val="bottom"/>
          </w:tcPr>
          <w:p>
            <w:pPr>
              <w:spacing w:after="0"/>
              <w:rPr>
                <w:sz w:val="15"/>
                <w:szCs w:val="15"/>
                <w:color w:val="auto"/>
              </w:rPr>
            </w:pPr>
          </w:p>
        </w:tc>
      </w:tr>
      <w:tr>
        <w:trPr>
          <w:trHeight w:val="547"/>
        </w:trPr>
        <w:tc>
          <w:tcPr>
            <w:tcW w:w="7900" w:type="dxa"/>
            <w:vAlign w:val="bottom"/>
          </w:tcPr>
          <w:p>
            <w:pPr>
              <w:ind w:left="5400"/>
              <w:spacing w:after="0"/>
              <w:rPr>
                <w:sz w:val="20"/>
                <w:szCs w:val="20"/>
                <w:color w:val="auto"/>
              </w:rPr>
            </w:pPr>
            <w:r>
              <w:rPr>
                <w:rFonts w:ascii="Arial" w:cs="Arial" w:eastAsia="Arial" w:hAnsi="Arial"/>
                <w:sz w:val="16"/>
                <w:szCs w:val="16"/>
                <w:color w:val="auto"/>
              </w:rPr>
              <w:t>- 176 -</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16" w:right="319" w:bottom="1440" w:gutter="0" w:footer="0" w:header="0"/>
        </w:sectPr>
      </w:pPr>
    </w:p>
    <w:bookmarkStart w:id="181" w:name="page182"/>
    <w:bookmarkEnd w:id="181"/>
    <w:p>
      <w:pPr>
        <w:ind w:left="583" w:hanging="583"/>
        <w:spacing w:after="0"/>
        <w:tabs>
          <w:tab w:leader="none" w:pos="583" w:val="left"/>
        </w:tabs>
        <w:numPr>
          <w:ilvl w:val="0"/>
          <w:numId w:val="197"/>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84" w:lineRule="exact"/>
        <w:rPr>
          <w:rFonts w:ascii="Arial" w:cs="Arial" w:eastAsia="Arial" w:hAnsi="Arial"/>
          <w:sz w:val="14"/>
          <w:szCs w:val="14"/>
          <w:b w:val="1"/>
          <w:bCs w:val="1"/>
          <w:color w:val="auto"/>
        </w:rPr>
      </w:pPr>
    </w:p>
    <w:p>
      <w:pPr>
        <w:ind w:left="863" w:hanging="284"/>
        <w:spacing w:after="0"/>
        <w:tabs>
          <w:tab w:leader="none" w:pos="863" w:val="left"/>
        </w:tabs>
        <w:numPr>
          <w:ilvl w:val="1"/>
          <w:numId w:val="197"/>
        </w:numPr>
        <w:rPr>
          <w:rFonts w:ascii="Arial" w:cs="Arial" w:eastAsia="Arial" w:hAnsi="Arial"/>
          <w:sz w:val="16"/>
          <w:szCs w:val="16"/>
          <w:color w:val="auto"/>
        </w:rPr>
      </w:pPr>
      <w:r>
        <w:rPr>
          <w:rFonts w:ascii="Arial" w:cs="Arial" w:eastAsia="Arial" w:hAnsi="Arial"/>
          <w:sz w:val="16"/>
          <w:szCs w:val="16"/>
          <w:color w:val="auto"/>
        </w:rPr>
        <w:t>Government Investigations –</w:t>
      </w:r>
    </w:p>
    <w:p>
      <w:pPr>
        <w:spacing w:after="0" w:line="177" w:lineRule="exact"/>
        <w:rPr>
          <w:rFonts w:ascii="Arial" w:cs="Arial" w:eastAsia="Arial" w:hAnsi="Arial"/>
          <w:sz w:val="16"/>
          <w:szCs w:val="16"/>
          <w:color w:val="auto"/>
        </w:rPr>
      </w:pPr>
    </w:p>
    <w:p>
      <w:pPr>
        <w:ind w:left="863"/>
        <w:spacing w:after="0" w:line="241" w:lineRule="auto"/>
        <w:rPr>
          <w:rFonts w:ascii="Arial" w:cs="Arial" w:eastAsia="Arial" w:hAnsi="Arial"/>
          <w:sz w:val="16"/>
          <w:szCs w:val="16"/>
          <w:color w:val="auto"/>
        </w:rPr>
      </w:pPr>
      <w:r>
        <w:rPr>
          <w:rFonts w:ascii="Arial" w:cs="Arial" w:eastAsia="Arial" w:hAnsi="Arial"/>
          <w:sz w:val="16"/>
          <w:szCs w:val="16"/>
          <w:color w:val="auto"/>
        </w:rPr>
        <w:t>In 2019, the former chairman and the current vice chairman of the Board of Directors of Credicorp, in their respective capacities as Chairman of the Board and as a Director of BCP, were summoned as witnesses by Peruvian prosecutors, along with 26 other Peruvian business executives, to testify in connection with a judicial investigation that was being carried out regarding contributions made to the electoral campaign of a political party in the 2011 Peruvian presidential elections. The former chairman informed prosecutors that in 2010 and 2011 Credicorp made donations totaling US$3.65 million to the Fuerza 2011 campaign (in total amounts of US$1.7 million in 2010 and US$1.95 million in 2011). These contributions were made in coordination with the General Manager of Credicorp at that time. While the amount of these contributions exceeded the limits then permitted under Peruvian electoral law, the law in place at that time provided no sanction for contributors, and instead only for the recipient of the campaign contribution.</w:t>
      </w:r>
    </w:p>
    <w:p>
      <w:pPr>
        <w:spacing w:after="0" w:line="150" w:lineRule="exact"/>
        <w:rPr>
          <w:rFonts w:ascii="Arial" w:cs="Arial" w:eastAsia="Arial" w:hAnsi="Arial"/>
          <w:sz w:val="16"/>
          <w:szCs w:val="16"/>
          <w:color w:val="auto"/>
        </w:rPr>
      </w:pPr>
    </w:p>
    <w:p>
      <w:pPr>
        <w:ind w:left="863" w:right="40"/>
        <w:spacing w:after="0" w:line="255" w:lineRule="auto"/>
        <w:rPr>
          <w:rFonts w:ascii="Arial" w:cs="Arial" w:eastAsia="Arial" w:hAnsi="Arial"/>
          <w:sz w:val="16"/>
          <w:szCs w:val="16"/>
          <w:color w:val="auto"/>
        </w:rPr>
      </w:pPr>
      <w:r>
        <w:rPr>
          <w:rFonts w:ascii="Arial" w:cs="Arial" w:eastAsia="Arial" w:hAnsi="Arial"/>
          <w:sz w:val="16"/>
          <w:szCs w:val="16"/>
          <w:color w:val="auto"/>
        </w:rPr>
        <w:t>The former chairman also informed prosecutors that in 2016, three subsidiaries of Credicorp (BCP, Mibanco and Grupo Pacífico) made donations totaling S/711,000 (approximately US$200,000) to the “Peruanos Por el Kambio” campaign. These contributions were made in accordance with Peruvian electoral law and Credicorp’s own political contributions guidelines, which were adopted in 2015.</w:t>
      </w:r>
    </w:p>
    <w:p>
      <w:pPr>
        <w:spacing w:after="0" w:line="137" w:lineRule="exact"/>
        <w:rPr>
          <w:rFonts w:ascii="Arial" w:cs="Arial" w:eastAsia="Arial" w:hAnsi="Arial"/>
          <w:sz w:val="16"/>
          <w:szCs w:val="16"/>
          <w:color w:val="auto"/>
        </w:rPr>
      </w:pPr>
    </w:p>
    <w:p>
      <w:pPr>
        <w:ind w:left="863"/>
        <w:spacing w:after="0" w:line="239" w:lineRule="auto"/>
        <w:rPr>
          <w:rFonts w:ascii="Arial" w:cs="Arial" w:eastAsia="Arial" w:hAnsi="Arial"/>
          <w:sz w:val="16"/>
          <w:szCs w:val="16"/>
          <w:color w:val="auto"/>
        </w:rPr>
      </w:pPr>
      <w:r>
        <w:rPr>
          <w:rFonts w:ascii="Arial" w:cs="Arial" w:eastAsia="Arial" w:hAnsi="Arial"/>
          <w:sz w:val="16"/>
          <w:szCs w:val="16"/>
          <w:color w:val="auto"/>
        </w:rPr>
        <w:t>The Peruvian Superintendencia del Mercado de Valores (“SMV”, for its Spanish acronym) initiated sanctioning proceedings against Credicorp for failing to timely disclose to the market the political campaign contributions made in 2011 and 2016. The SMV also initiated sanctioning proceedings against three subsidiaries of Credicorp (BCP, Mibanco and Grupo Pacífico) for failing to timely disclose to the market the political campaign contributions made in connection with the 2016 presidential elections. The SMV notified Credicorp, BCP, Mibanco and Grupo Pacífico of first–instance resolutions in connection with these proceedings. Such resolutions imposed pecuniary sanctions (fines) on Credicorp and its three subsidiaries. Credicorp, BCP, Mibanco and Grupo Pacífico appealed the resolutions. As the appeals were not resolved within the timeframe established by law, Credicorp and each of the three subsidiaries filed contentious–administrative lawsuits against the SMV’s resolutions due to negative administrative silence. Notwithstanding the foregoing, Credicorp and its three subsidiaries paid the fines imposed by the SMV in compliance with Peruvian law. In the Judiciary, first–instance court rulings declared the aforementioned lawsuits unfounded. Credicorp and its three subsidiaries appealed such rulings, and therefore the first–instance decisions are currently under review at the second–instance level. In the case of Credicorp, a second–instance ruling issued in January 2026 confirmed the first–instance decision, against which Credicorp has filed a cassation appeal. Accordingly, as of the date of these financial statements, all four cases remain pending a final resolution by the Judiciary.</w:t>
      </w:r>
    </w:p>
    <w:p>
      <w:pPr>
        <w:spacing w:after="0" w:line="153" w:lineRule="exact"/>
        <w:rPr>
          <w:rFonts w:ascii="Arial" w:cs="Arial" w:eastAsia="Arial" w:hAnsi="Arial"/>
          <w:sz w:val="16"/>
          <w:szCs w:val="16"/>
          <w:color w:val="auto"/>
        </w:rPr>
      </w:pPr>
    </w:p>
    <w:p>
      <w:pPr>
        <w:ind w:left="863" w:right="80"/>
        <w:spacing w:after="0" w:line="255" w:lineRule="auto"/>
        <w:rPr>
          <w:rFonts w:ascii="Arial" w:cs="Arial" w:eastAsia="Arial" w:hAnsi="Arial"/>
          <w:sz w:val="16"/>
          <w:szCs w:val="16"/>
          <w:color w:val="auto"/>
        </w:rPr>
      </w:pPr>
      <w:r>
        <w:rPr>
          <w:rFonts w:ascii="Arial" w:cs="Arial" w:eastAsia="Arial" w:hAnsi="Arial"/>
          <w:sz w:val="16"/>
          <w:szCs w:val="16"/>
          <w:color w:val="auto"/>
        </w:rPr>
        <w:t>Credicorp is of the opinion that the contributions made and the sanctioning processes related to the SMV do not represent a significant risk of material liability for the Group. Furthermore, these processes may not have a negative effect on the Group’s business or financial situation, given that the fines imposed by the SMV have already been paid.</w:t>
      </w:r>
    </w:p>
    <w:p>
      <w:pPr>
        <w:spacing w:after="0" w:line="137" w:lineRule="exact"/>
        <w:rPr>
          <w:rFonts w:ascii="Arial" w:cs="Arial" w:eastAsia="Arial" w:hAnsi="Arial"/>
          <w:sz w:val="16"/>
          <w:szCs w:val="16"/>
          <w:color w:val="auto"/>
        </w:rPr>
      </w:pPr>
    </w:p>
    <w:p>
      <w:pPr>
        <w:ind w:left="863" w:hanging="284"/>
        <w:spacing w:after="0"/>
        <w:tabs>
          <w:tab w:leader="none" w:pos="863" w:val="left"/>
        </w:tabs>
        <w:numPr>
          <w:ilvl w:val="1"/>
          <w:numId w:val="197"/>
        </w:numPr>
        <w:rPr>
          <w:rFonts w:ascii="Arial" w:cs="Arial" w:eastAsia="Arial" w:hAnsi="Arial"/>
          <w:sz w:val="16"/>
          <w:szCs w:val="16"/>
          <w:color w:val="auto"/>
        </w:rPr>
      </w:pPr>
      <w:r>
        <w:rPr>
          <w:rFonts w:ascii="Arial" w:cs="Arial" w:eastAsia="Arial" w:hAnsi="Arial"/>
          <w:sz w:val="16"/>
          <w:szCs w:val="16"/>
          <w:color w:val="auto"/>
        </w:rPr>
        <w:t>Claim regarding alleged withholding on stock exchange transactions –</w:t>
      </w:r>
    </w:p>
    <w:p>
      <w:pPr>
        <w:spacing w:after="0" w:line="177" w:lineRule="exact"/>
        <w:rPr>
          <w:rFonts w:ascii="Arial" w:cs="Arial" w:eastAsia="Arial" w:hAnsi="Arial"/>
          <w:sz w:val="16"/>
          <w:szCs w:val="16"/>
          <w:color w:val="auto"/>
        </w:rPr>
      </w:pPr>
    </w:p>
    <w:p>
      <w:pPr>
        <w:ind w:left="863" w:right="420"/>
        <w:spacing w:after="0" w:line="241" w:lineRule="auto"/>
        <w:rPr>
          <w:rFonts w:ascii="Arial" w:cs="Arial" w:eastAsia="Arial" w:hAnsi="Arial"/>
          <w:sz w:val="16"/>
          <w:szCs w:val="16"/>
          <w:color w:val="auto"/>
        </w:rPr>
      </w:pPr>
      <w:r>
        <w:rPr>
          <w:rFonts w:ascii="Arial" w:cs="Arial" w:eastAsia="Arial" w:hAnsi="Arial"/>
          <w:sz w:val="16"/>
          <w:szCs w:val="16"/>
          <w:color w:val="auto"/>
        </w:rPr>
        <w:t>In June 2025, Grupo Crédito received notifications from the Superintendencia Nacional de Aduanas y de Administración Tributaria (SUNAT) consisting of Tax Assessment and Penalty Resolutions for a total amount of S/1,568.0 million. The resolutions relate to an alleged failure to withhold Income Tax applicable to non-domiciled taxpayers in connection with purchases of shares of Banco de Crédito del Perú carried out through the Lima Stock Exchange during 2018 and 2019, in which Grupo Crédito acted as the acquirer and Credicorp Ltd. as the transferor.</w:t>
      </w:r>
    </w:p>
    <w:p>
      <w:pPr>
        <w:jc w:val="both"/>
        <w:ind w:left="863" w:right="260"/>
        <w:spacing w:after="0" w:line="244" w:lineRule="auto"/>
        <w:rPr>
          <w:rFonts w:ascii="Arial" w:cs="Arial" w:eastAsia="Arial" w:hAnsi="Arial"/>
          <w:sz w:val="16"/>
          <w:szCs w:val="16"/>
          <w:color w:val="auto"/>
        </w:rPr>
      </w:pPr>
      <w:r>
        <w:rPr>
          <w:rFonts w:ascii="Arial" w:cs="Arial" w:eastAsia="Arial" w:hAnsi="Arial"/>
          <w:sz w:val="16"/>
          <w:szCs w:val="16"/>
          <w:color w:val="auto"/>
        </w:rPr>
        <w:t>SUNAT maintains that Grupo Crédito was required to act as a withholding agent; however, in the opinion of Management and its external legal advisors, such withholding obligation was not applicable, as the transactions in question were exempt from Income Tax in accordance with the regulations in force at the time the transactions were executed.</w:t>
      </w:r>
    </w:p>
    <w:p>
      <w:pPr>
        <w:spacing w:after="0" w:line="315" w:lineRule="exact"/>
        <w:rPr>
          <w:rFonts w:ascii="Arial" w:cs="Arial" w:eastAsia="Arial" w:hAnsi="Arial"/>
          <w:sz w:val="16"/>
          <w:szCs w:val="16"/>
          <w:color w:val="auto"/>
        </w:rPr>
      </w:pPr>
    </w:p>
    <w:p>
      <w:pPr>
        <w:ind w:left="5483" w:hanging="88"/>
        <w:spacing w:after="0"/>
        <w:tabs>
          <w:tab w:leader="none" w:pos="5483" w:val="left"/>
        </w:tabs>
        <w:numPr>
          <w:ilvl w:val="2"/>
          <w:numId w:val="197"/>
        </w:numPr>
        <w:rPr>
          <w:rFonts w:ascii="Arial" w:cs="Arial" w:eastAsia="Arial" w:hAnsi="Arial"/>
          <w:sz w:val="16"/>
          <w:szCs w:val="16"/>
          <w:color w:val="auto"/>
        </w:rPr>
      </w:pPr>
      <w:r>
        <w:rPr>
          <w:rFonts w:ascii="Arial" w:cs="Arial" w:eastAsia="Arial" w:hAnsi="Arial"/>
          <w:sz w:val="16"/>
          <w:szCs w:val="16"/>
          <w:color w:val="auto"/>
        </w:rPr>
        <w:t>177 -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3"/>
          </w:cols>
          <w:pgMar w:left="317" w:top="296" w:right="359" w:bottom="1440" w:gutter="0" w:footer="0" w:header="0"/>
        </w:sectPr>
      </w:pPr>
    </w:p>
    <w:bookmarkStart w:id="182" w:name="page183"/>
    <w:bookmarkEnd w:id="182"/>
    <w:p>
      <w:pPr>
        <w:ind w:left="863"/>
        <w:spacing w:after="0" w:line="255" w:lineRule="auto"/>
        <w:rPr>
          <w:sz w:val="20"/>
          <w:szCs w:val="20"/>
          <w:color w:val="auto"/>
        </w:rPr>
      </w:pPr>
      <w:r>
        <w:rPr>
          <w:rFonts w:ascii="Arial" w:cs="Arial" w:eastAsia="Arial" w:hAnsi="Arial"/>
          <w:sz w:val="16"/>
          <w:szCs w:val="16"/>
          <w:color w:val="auto"/>
        </w:rPr>
        <w:t>On August 13, 2025, the amounts included in the Tax Assessment and Penalty Resolutions issued by SUNAT to Grupo Crédito on June 27, 2025, were settled, and the corresponding amounts have been recognized as an asset under the caption “Claim filed with the Tax Authority” within the line item “Other assets” in accordance with IFRS Accounting Standards, the amount is classified as an asset relating to an uncertain tax position.</w:t>
      </w:r>
    </w:p>
    <w:p>
      <w:pPr>
        <w:spacing w:after="0" w:line="137" w:lineRule="exact"/>
        <w:rPr>
          <w:sz w:val="20"/>
          <w:szCs w:val="20"/>
          <w:color w:val="auto"/>
        </w:rPr>
      </w:pPr>
    </w:p>
    <w:p>
      <w:pPr>
        <w:ind w:left="863" w:right="140"/>
        <w:spacing w:after="0" w:line="255" w:lineRule="auto"/>
        <w:rPr>
          <w:sz w:val="20"/>
          <w:szCs w:val="20"/>
          <w:color w:val="auto"/>
        </w:rPr>
      </w:pPr>
      <w:r>
        <w:rPr>
          <w:rFonts w:ascii="Arial" w:cs="Arial" w:eastAsia="Arial" w:hAnsi="Arial"/>
          <w:sz w:val="16"/>
          <w:szCs w:val="16"/>
          <w:color w:val="auto"/>
        </w:rPr>
        <w:t>Grupo Crédito has formally challenged the aforementioned Tax Assessment and Penalty Resolutions by filing an Administrative Claim with SUNAT, and the administrative proceeding is currently pending resolution by the tax authority. If necessary, the Company will continue to defend its position at subsequent administrative and judicial levels, including the Tax Court and the judiciary.</w:t>
      </w:r>
    </w:p>
    <w:p>
      <w:pPr>
        <w:spacing w:after="0" w:line="137" w:lineRule="exact"/>
        <w:rPr>
          <w:sz w:val="20"/>
          <w:szCs w:val="20"/>
          <w:color w:val="auto"/>
        </w:rPr>
      </w:pPr>
    </w:p>
    <w:p>
      <w:pPr>
        <w:ind w:left="863" w:right="80"/>
        <w:spacing w:after="0" w:line="248" w:lineRule="auto"/>
        <w:rPr>
          <w:sz w:val="20"/>
          <w:szCs w:val="20"/>
          <w:color w:val="auto"/>
        </w:rPr>
      </w:pPr>
      <w:r>
        <w:rPr>
          <w:rFonts w:ascii="Arial" w:cs="Arial" w:eastAsia="Arial" w:hAnsi="Arial"/>
          <w:sz w:val="16"/>
          <w:szCs w:val="16"/>
          <w:color w:val="auto"/>
        </w:rPr>
        <w:t>Grupo Crédito S.A. has obtained independent legal opinions that support its tax position and confirm that the Company’s actions were in compliance with the tax, civil and financial legislation applicable and in force at the time the transactions were carried out. Both Management and external advisors concur that there are robust grounds and a high probability of obtaining a favorable outcome. Accordingly, consistent with IFRS Accounting Standards, the amount has been recognized as an asset, as it is more likely than not that the Group’s tax position will be sustained.</w:t>
      </w:r>
    </w:p>
    <w:p>
      <w:pPr>
        <w:spacing w:after="0" w:line="144" w:lineRule="exact"/>
        <w:rPr>
          <w:sz w:val="20"/>
          <w:szCs w:val="20"/>
          <w:color w:val="auto"/>
        </w:rPr>
      </w:pPr>
    </w:p>
    <w:p>
      <w:pPr>
        <w:ind w:left="583" w:hanging="583"/>
        <w:spacing w:after="0"/>
        <w:tabs>
          <w:tab w:leader="none" w:pos="583"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77"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color w:val="auto"/>
        </w:rPr>
        <w:t>From December 31, 2025 until the date of this report, no significant event has occurred which affects the consolidated financial statements.</w:t>
      </w:r>
    </w:p>
    <w:p>
      <w:pPr>
        <w:spacing w:after="0" w:line="346" w:lineRule="exact"/>
        <w:rPr>
          <w:rFonts w:ascii="Arial" w:cs="Arial" w:eastAsia="Arial" w:hAnsi="Arial"/>
          <w:sz w:val="16"/>
          <w:szCs w:val="16"/>
          <w:b w:val="1"/>
          <w:bCs w:val="1"/>
          <w:color w:val="auto"/>
        </w:rPr>
      </w:pPr>
    </w:p>
    <w:p>
      <w:pPr>
        <w:ind w:left="5483" w:hanging="88"/>
        <w:spacing w:after="0"/>
        <w:tabs>
          <w:tab w:leader="none" w:pos="5483" w:val="left"/>
        </w:tabs>
        <w:numPr>
          <w:ilvl w:val="1"/>
          <w:numId w:val="198"/>
        </w:numPr>
        <w:rPr>
          <w:rFonts w:ascii="Arial" w:cs="Arial" w:eastAsia="Arial" w:hAnsi="Arial"/>
          <w:sz w:val="16"/>
          <w:szCs w:val="16"/>
          <w:color w:val="auto"/>
        </w:rPr>
      </w:pPr>
      <w:r>
        <w:rPr>
          <w:rFonts w:ascii="Arial" w:cs="Arial" w:eastAsia="Arial" w:hAnsi="Arial"/>
          <w:sz w:val="16"/>
          <w:szCs w:val="16"/>
          <w:color w:val="auto"/>
        </w:rPr>
        <w:t>178 -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3"/>
          </w:cols>
          <w:pgMar w:left="317" w:top="316" w:right="359" w:bottom="1440"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146925" cy="79667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6925" cy="796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rFonts w:ascii="Arial" w:cs="Arial" w:eastAsia="Arial" w:hAnsi="Arial"/>
          <w:sz w:val="16"/>
          <w:szCs w:val="16"/>
          <w:b w:val="1"/>
          <w:bCs w:val="1"/>
          <w:color w:val="auto"/>
        </w:rPr>
        <w:t>EY | Building a better working world</w:t>
      </w:r>
    </w:p>
    <w:p>
      <w:pPr>
        <w:spacing w:after="0" w:line="178"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EY está construyendo un mejor mundo de negocios al crear nuevo valor para los clientes, las personas, la sociedad y el planeta, mientras genera confianza en los mercados de capitales.</w:t>
      </w:r>
    </w:p>
    <w:p>
      <w:pPr>
        <w:spacing w:after="0" w:line="123"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Impulsados por datos, IA y tecnología avanzada, los equipos de EY ayudan a los clientes a dar forma al futuro con confianza y a desarrollar respuestas para los problemas más urgentes de hoy y mañana.</w:t>
      </w:r>
    </w:p>
    <w:p>
      <w:pPr>
        <w:spacing w:after="0" w:line="12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Los equipos de EY trabajan en un espectro completo de servicios en Auditoría, Consultoría, Impuestos y Estrategia &amp; Transacciones. Brindamos soluciones en más de 150 países y territorios, impulsados por conocimientos sectoriales, una red globalmente conectada y multidisciplinaria y socios de ecosistemas diversos.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in to shape the future with confidence.</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EY se refiere a la organización global y podría referirse a una o más de las firmas integrantes de Ernst &amp; Young Global Limited, cada una de las cuales es una entidad legal independiente. Ernst &amp; Young Global Limited, una compañía del Reino Unida limitada por garantia, no proporciona servicios a clientes. Para conocer la información sobre cómo EY recaba y utiliza los datos personales y una descripción de los derechos que tienen las personas conforme a la ley de protección de datos, ingrese a ey.com/privacy. Las firmas miembro de EY no ofrecen servicios legales en los casos en que las leyes locales lo prohiban.</w:t>
      </w:r>
    </w:p>
    <w:p>
      <w:pPr>
        <w:spacing w:after="0" w:line="144" w:lineRule="exact"/>
        <w:rPr>
          <w:sz w:val="20"/>
          <w:szCs w:val="20"/>
          <w:color w:val="auto"/>
        </w:rPr>
      </w:pPr>
    </w:p>
    <w:p>
      <w:pPr>
        <w:ind w:right="4500"/>
        <w:spacing w:after="0" w:line="364" w:lineRule="auto"/>
        <w:rPr>
          <w:sz w:val="20"/>
          <w:szCs w:val="20"/>
          <w:color w:val="auto"/>
        </w:rPr>
      </w:pPr>
      <w:r>
        <w:rPr>
          <w:rFonts w:ascii="Arial" w:cs="Arial" w:eastAsia="Arial" w:hAnsi="Arial"/>
          <w:sz w:val="16"/>
          <w:szCs w:val="16"/>
          <w:color w:val="auto"/>
        </w:rPr>
        <w:t>Para obtener mayor información acerca de nuestra organización, ingrese a www.ey.com/es_pe © EY.</w:t>
      </w:r>
    </w:p>
    <w:p>
      <w:pPr>
        <w:spacing w:after="0" w:line="237" w:lineRule="auto"/>
        <w:rPr>
          <w:sz w:val="20"/>
          <w:szCs w:val="20"/>
          <w:color w:val="auto"/>
        </w:rPr>
      </w:pPr>
      <w:r>
        <w:rPr>
          <w:rFonts w:ascii="Arial" w:cs="Arial" w:eastAsia="Arial" w:hAnsi="Arial"/>
          <w:sz w:val="16"/>
          <w:szCs w:val="16"/>
          <w:color w:val="auto"/>
        </w:rPr>
        <w:t>Miembro de Ernst &amp; Young Global</w:t>
      </w:r>
    </w:p>
    <w:p>
      <w:pPr>
        <w:spacing w:after="0"/>
        <w:rPr>
          <w:sz w:val="20"/>
          <w:szCs w:val="20"/>
          <w:color w:val="auto"/>
        </w:rPr>
      </w:pPr>
      <w:r>
        <w:rPr>
          <w:rFonts w:ascii="Arial" w:cs="Arial" w:eastAsia="Arial" w:hAnsi="Arial"/>
          <w:sz w:val="16"/>
          <w:szCs w:val="16"/>
          <w:color w:val="auto"/>
        </w:rPr>
        <w:t>Derechos Reservados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14692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925" cy="30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6925" cy="3048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231140</wp:posOffset>
            </wp:positionV>
            <wp:extent cx="4281805" cy="7277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81805" cy="72771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CREDICORP LTD.</w:t>
      </w:r>
    </w:p>
    <w:p>
      <w:pPr>
        <w:spacing w:after="0" w:line="178"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SEPARATE FINANCIAL STATEMENTS</w:t>
      </w:r>
    </w:p>
    <w:p>
      <w:pPr>
        <w:spacing w:after="0" w:line="13"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1859915</wp:posOffset>
            </wp:positionV>
            <wp:extent cx="714692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6925" cy="1524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243840</wp:posOffset>
            </wp:positionV>
            <wp:extent cx="1141095" cy="12407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41095" cy="1240790"/>
                    </a:xfrm>
                    <a:prstGeom prst="rect">
                      <a:avLst/>
                    </a:prstGeom>
                    <a:noFill/>
                  </pic:spPr>
                </pic:pic>
              </a:graphicData>
            </a:graphic>
          </wp:anchor>
        </w:drawing>
      </w:r>
    </w:p>
    <w:p>
      <w:pPr>
        <w:sectPr>
          <w:pgSz w:w="11900" w:h="16838" w:orient="portrait"/>
          <w:cols w:equalWidth="0" w:num="1">
            <w:col w:w="10140"/>
          </w:cols>
          <w:pgMar w:left="1440" w:top="244" w:right="31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22"/>
        </w:trPr>
        <w:tc>
          <w:tcPr>
            <w:tcW w:w="7020" w:type="dxa"/>
            <w:vAlign w:val="bottom"/>
            <w:gridSpan w:val="2"/>
          </w:tcPr>
          <w:p>
            <w:pPr>
              <w:spacing w:after="0"/>
              <w:rPr>
                <w:sz w:val="20"/>
                <w:szCs w:val="20"/>
                <w:color w:val="auto"/>
              </w:rPr>
            </w:pPr>
            <w:r>
              <w:rPr>
                <w:rFonts w:ascii="Arial" w:cs="Arial" w:eastAsia="Arial" w:hAnsi="Arial"/>
                <w:sz w:val="16"/>
                <w:szCs w:val="16"/>
                <w:b w:val="1"/>
                <w:bCs w:val="1"/>
                <w:color w:val="auto"/>
              </w:rPr>
              <w:t>CREDICORP LTD.</w:t>
            </w:r>
          </w:p>
        </w:tc>
        <w:tc>
          <w:tcPr>
            <w:tcW w:w="4240" w:type="dxa"/>
            <w:vAlign w:val="bottom"/>
          </w:tcPr>
          <w:p>
            <w:pPr>
              <w:spacing w:after="0"/>
              <w:rPr>
                <w:sz w:val="19"/>
                <w:szCs w:val="19"/>
                <w:color w:val="auto"/>
              </w:rPr>
            </w:pPr>
          </w:p>
        </w:tc>
      </w:tr>
      <w:tr>
        <w:trPr>
          <w:trHeight w:val="321"/>
        </w:trPr>
        <w:tc>
          <w:tcPr>
            <w:tcW w:w="7020" w:type="dxa"/>
            <w:vAlign w:val="bottom"/>
            <w:gridSpan w:val="2"/>
          </w:tcPr>
          <w:p>
            <w:pPr>
              <w:spacing w:after="0"/>
              <w:rPr>
                <w:sz w:val="20"/>
                <w:szCs w:val="20"/>
                <w:color w:val="auto"/>
              </w:rPr>
            </w:pPr>
            <w:r>
              <w:rPr>
                <w:rFonts w:ascii="Arial" w:cs="Arial" w:eastAsia="Arial" w:hAnsi="Arial"/>
                <w:sz w:val="16"/>
                <w:szCs w:val="16"/>
                <w:color w:val="auto"/>
              </w:rPr>
              <w:t>SEPARATE FINANCIAL STATEMENTS</w:t>
            </w:r>
          </w:p>
        </w:tc>
        <w:tc>
          <w:tcPr>
            <w:tcW w:w="4240" w:type="dxa"/>
            <w:vAlign w:val="bottom"/>
          </w:tcPr>
          <w:p>
            <w:pPr>
              <w:spacing w:after="0"/>
              <w:rPr>
                <w:sz w:val="24"/>
                <w:szCs w:val="24"/>
                <w:color w:val="auto"/>
              </w:rPr>
            </w:pPr>
          </w:p>
        </w:tc>
      </w:tr>
      <w:tr>
        <w:trPr>
          <w:trHeight w:val="214"/>
        </w:trPr>
        <w:tc>
          <w:tcPr>
            <w:tcW w:w="7020" w:type="dxa"/>
            <w:vAlign w:val="bottom"/>
            <w:gridSpan w:val="2"/>
          </w:tcPr>
          <w:p>
            <w:pPr>
              <w:spacing w:after="0"/>
              <w:rPr>
                <w:sz w:val="20"/>
                <w:szCs w:val="20"/>
                <w:color w:val="auto"/>
              </w:rPr>
            </w:pPr>
            <w:r>
              <w:rPr>
                <w:rFonts w:ascii="Arial" w:cs="Arial" w:eastAsia="Arial" w:hAnsi="Arial"/>
                <w:sz w:val="16"/>
                <w:szCs w:val="16"/>
                <w:color w:val="auto"/>
              </w:rPr>
              <w:t>AS OF DECEMBER 31, 2025 AND 2024</w:t>
            </w:r>
          </w:p>
        </w:tc>
        <w:tc>
          <w:tcPr>
            <w:tcW w:w="4240" w:type="dxa"/>
            <w:vAlign w:val="bottom"/>
          </w:tcPr>
          <w:p>
            <w:pPr>
              <w:spacing w:after="0"/>
              <w:rPr>
                <w:sz w:val="18"/>
                <w:szCs w:val="18"/>
                <w:color w:val="auto"/>
              </w:rPr>
            </w:pPr>
          </w:p>
        </w:tc>
      </w:tr>
      <w:tr>
        <w:trPr>
          <w:trHeight w:val="362"/>
        </w:trPr>
        <w:tc>
          <w:tcPr>
            <w:tcW w:w="1020" w:type="dxa"/>
            <w:vAlign w:val="bottom"/>
          </w:tcPr>
          <w:p>
            <w:pPr>
              <w:spacing w:after="0"/>
              <w:rPr>
                <w:sz w:val="20"/>
                <w:szCs w:val="20"/>
                <w:color w:val="auto"/>
              </w:rPr>
            </w:pPr>
            <w:r>
              <w:rPr>
                <w:rFonts w:ascii="Arial" w:cs="Arial" w:eastAsia="Arial" w:hAnsi="Arial"/>
                <w:sz w:val="16"/>
                <w:szCs w:val="16"/>
                <w:color w:val="auto"/>
              </w:rPr>
              <w:t>CONTENTS</w:t>
            </w:r>
          </w:p>
        </w:tc>
        <w:tc>
          <w:tcPr>
            <w:tcW w:w="600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6"/>
                <w:szCs w:val="16"/>
                <w:color w:val="auto"/>
              </w:rPr>
              <w:t>Pages</w:t>
            </w:r>
          </w:p>
        </w:tc>
      </w:tr>
      <w:tr>
        <w:trPr>
          <w:trHeight w:val="362"/>
        </w:trPr>
        <w:tc>
          <w:tcPr>
            <w:tcW w:w="7020" w:type="dxa"/>
            <w:vAlign w:val="bottom"/>
            <w:gridSpan w:val="2"/>
          </w:tcPr>
          <w:p>
            <w:pPr>
              <w:spacing w:after="0"/>
              <w:rPr>
                <w:sz w:val="20"/>
                <w:szCs w:val="20"/>
                <w:color w:val="auto"/>
              </w:rPr>
            </w:pPr>
            <w:r>
              <w:rPr>
                <w:rFonts w:ascii="Arial" w:cs="Arial" w:eastAsia="Arial" w:hAnsi="Arial"/>
                <w:sz w:val="16"/>
                <w:szCs w:val="16"/>
                <w:color w:val="auto"/>
              </w:rPr>
              <w:t>Independent auditor’s report</w:t>
            </w:r>
          </w:p>
        </w:tc>
        <w:tc>
          <w:tcPr>
            <w:tcW w:w="4240" w:type="dxa"/>
            <w:vAlign w:val="bottom"/>
          </w:tcPr>
          <w:p>
            <w:pPr>
              <w:jc w:val="right"/>
              <w:spacing w:after="0"/>
              <w:rPr>
                <w:sz w:val="20"/>
                <w:szCs w:val="20"/>
                <w:color w:val="auto"/>
              </w:rPr>
            </w:pPr>
            <w:r>
              <w:rPr>
                <w:rFonts w:ascii="Arial" w:cs="Arial" w:eastAsia="Arial" w:hAnsi="Arial"/>
                <w:sz w:val="16"/>
                <w:szCs w:val="16"/>
                <w:color w:val="auto"/>
              </w:rPr>
              <w:t>1 - 4</w:t>
            </w:r>
          </w:p>
        </w:tc>
      </w:tr>
      <w:tr>
        <w:trPr>
          <w:trHeight w:val="362"/>
        </w:trPr>
        <w:tc>
          <w:tcPr>
            <w:tcW w:w="7020" w:type="dxa"/>
            <w:vAlign w:val="bottom"/>
            <w:gridSpan w:val="2"/>
          </w:tcPr>
          <w:p>
            <w:pPr>
              <w:spacing w:after="0"/>
              <w:rPr>
                <w:sz w:val="20"/>
                <w:szCs w:val="20"/>
                <w:color w:val="auto"/>
              </w:rPr>
            </w:pPr>
            <w:r>
              <w:rPr>
                <w:rFonts w:ascii="Arial" w:cs="Arial" w:eastAsia="Arial" w:hAnsi="Arial"/>
                <w:sz w:val="16"/>
                <w:szCs w:val="16"/>
                <w:color w:val="auto"/>
              </w:rPr>
              <w:t>Separate statement of financial position</w:t>
            </w:r>
          </w:p>
        </w:tc>
        <w:tc>
          <w:tcPr>
            <w:tcW w:w="42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62"/>
        </w:trPr>
        <w:tc>
          <w:tcPr>
            <w:tcW w:w="7020" w:type="dxa"/>
            <w:vAlign w:val="bottom"/>
            <w:gridSpan w:val="2"/>
          </w:tcPr>
          <w:p>
            <w:pPr>
              <w:spacing w:after="0"/>
              <w:rPr>
                <w:sz w:val="20"/>
                <w:szCs w:val="20"/>
                <w:color w:val="auto"/>
              </w:rPr>
            </w:pPr>
            <w:r>
              <w:rPr>
                <w:rFonts w:ascii="Arial" w:cs="Arial" w:eastAsia="Arial" w:hAnsi="Arial"/>
                <w:sz w:val="16"/>
                <w:szCs w:val="16"/>
                <w:color w:val="auto"/>
              </w:rPr>
              <w:t>Separate statement of income</w:t>
            </w:r>
          </w:p>
        </w:tc>
        <w:tc>
          <w:tcPr>
            <w:tcW w:w="42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2"/>
        </w:trPr>
        <w:tc>
          <w:tcPr>
            <w:tcW w:w="7020" w:type="dxa"/>
            <w:vAlign w:val="bottom"/>
            <w:gridSpan w:val="2"/>
          </w:tcPr>
          <w:p>
            <w:pPr>
              <w:spacing w:after="0"/>
              <w:rPr>
                <w:sz w:val="20"/>
                <w:szCs w:val="20"/>
                <w:color w:val="auto"/>
              </w:rPr>
            </w:pPr>
            <w:r>
              <w:rPr>
                <w:rFonts w:ascii="Arial" w:cs="Arial" w:eastAsia="Arial" w:hAnsi="Arial"/>
                <w:sz w:val="16"/>
                <w:szCs w:val="16"/>
                <w:color w:val="auto"/>
              </w:rPr>
              <w:t>Separate statement of comprehensive income</w:t>
            </w:r>
          </w:p>
        </w:tc>
        <w:tc>
          <w:tcPr>
            <w:tcW w:w="42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62"/>
        </w:trPr>
        <w:tc>
          <w:tcPr>
            <w:tcW w:w="7020" w:type="dxa"/>
            <w:vAlign w:val="bottom"/>
            <w:gridSpan w:val="2"/>
          </w:tcPr>
          <w:p>
            <w:pPr>
              <w:spacing w:after="0"/>
              <w:rPr>
                <w:sz w:val="20"/>
                <w:szCs w:val="20"/>
                <w:color w:val="auto"/>
              </w:rPr>
            </w:pPr>
            <w:r>
              <w:rPr>
                <w:rFonts w:ascii="Arial" w:cs="Arial" w:eastAsia="Arial" w:hAnsi="Arial"/>
                <w:sz w:val="16"/>
                <w:szCs w:val="16"/>
                <w:color w:val="auto"/>
              </w:rPr>
              <w:t>Separate statement of changes in equity</w:t>
            </w:r>
          </w:p>
        </w:tc>
        <w:tc>
          <w:tcPr>
            <w:tcW w:w="42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62"/>
        </w:trPr>
        <w:tc>
          <w:tcPr>
            <w:tcW w:w="7020" w:type="dxa"/>
            <w:vAlign w:val="bottom"/>
            <w:gridSpan w:val="2"/>
          </w:tcPr>
          <w:p>
            <w:pPr>
              <w:spacing w:after="0"/>
              <w:rPr>
                <w:sz w:val="20"/>
                <w:szCs w:val="20"/>
                <w:color w:val="auto"/>
              </w:rPr>
            </w:pPr>
            <w:r>
              <w:rPr>
                <w:rFonts w:ascii="Arial" w:cs="Arial" w:eastAsia="Arial" w:hAnsi="Arial"/>
                <w:sz w:val="16"/>
                <w:szCs w:val="16"/>
                <w:color w:val="auto"/>
              </w:rPr>
              <w:t>Separate statement of cash flows</w:t>
            </w:r>
          </w:p>
        </w:tc>
        <w:tc>
          <w:tcPr>
            <w:tcW w:w="4240" w:type="dxa"/>
            <w:vAlign w:val="bottom"/>
          </w:tcPr>
          <w:p>
            <w:pPr>
              <w:jc w:val="right"/>
              <w:spacing w:after="0"/>
              <w:rPr>
                <w:sz w:val="20"/>
                <w:szCs w:val="20"/>
                <w:color w:val="auto"/>
              </w:rPr>
            </w:pPr>
            <w:r>
              <w:rPr>
                <w:rFonts w:ascii="Arial" w:cs="Arial" w:eastAsia="Arial" w:hAnsi="Arial"/>
                <w:sz w:val="16"/>
                <w:szCs w:val="16"/>
                <w:color w:val="auto"/>
              </w:rPr>
              <w:t>9 - 10</w:t>
            </w:r>
          </w:p>
        </w:tc>
      </w:tr>
      <w:tr>
        <w:trPr>
          <w:trHeight w:val="362"/>
        </w:trPr>
        <w:tc>
          <w:tcPr>
            <w:tcW w:w="7020" w:type="dxa"/>
            <w:vAlign w:val="bottom"/>
            <w:gridSpan w:val="2"/>
          </w:tcPr>
          <w:p>
            <w:pPr>
              <w:spacing w:after="0"/>
              <w:rPr>
                <w:sz w:val="20"/>
                <w:szCs w:val="20"/>
                <w:color w:val="auto"/>
              </w:rPr>
            </w:pPr>
            <w:r>
              <w:rPr>
                <w:rFonts w:ascii="Arial" w:cs="Arial" w:eastAsia="Arial" w:hAnsi="Arial"/>
                <w:sz w:val="16"/>
                <w:szCs w:val="16"/>
                <w:color w:val="auto"/>
              </w:rPr>
              <w:t>Notes to the separate financial statements</w:t>
            </w:r>
          </w:p>
        </w:tc>
        <w:tc>
          <w:tcPr>
            <w:tcW w:w="4240" w:type="dxa"/>
            <w:vAlign w:val="bottom"/>
          </w:tcPr>
          <w:p>
            <w:pPr>
              <w:jc w:val="right"/>
              <w:spacing w:after="0"/>
              <w:rPr>
                <w:sz w:val="20"/>
                <w:szCs w:val="20"/>
                <w:color w:val="auto"/>
              </w:rPr>
            </w:pPr>
            <w:r>
              <w:rPr>
                <w:rFonts w:ascii="Arial" w:cs="Arial" w:eastAsia="Arial" w:hAnsi="Arial"/>
                <w:sz w:val="16"/>
                <w:szCs w:val="16"/>
                <w:color w:val="auto"/>
              </w:rPr>
              <w:t>11 - 42</w:t>
            </w:r>
          </w:p>
        </w:tc>
      </w:tr>
      <w:tr>
        <w:trPr>
          <w:trHeight w:val="329"/>
        </w:trPr>
        <w:tc>
          <w:tcPr>
            <w:tcW w:w="7020" w:type="dxa"/>
            <w:vAlign w:val="bottom"/>
            <w:gridSpan w:val="2"/>
          </w:tcPr>
          <w:p>
            <w:pPr>
              <w:spacing w:after="0"/>
              <w:rPr>
                <w:sz w:val="20"/>
                <w:szCs w:val="20"/>
                <w:color w:val="auto"/>
              </w:rPr>
            </w:pPr>
            <w:r>
              <w:rPr>
                <w:rFonts w:ascii="Arial" w:cs="Arial" w:eastAsia="Arial" w:hAnsi="Arial"/>
                <w:sz w:val="16"/>
                <w:szCs w:val="16"/>
                <w:color w:val="auto"/>
              </w:rPr>
              <w:t>US$, U.S. dollars = United States Dollar</w:t>
            </w:r>
          </w:p>
        </w:tc>
        <w:tc>
          <w:tcPr>
            <w:tcW w:w="4240" w:type="dxa"/>
            <w:vAlign w:val="bottom"/>
          </w:tcPr>
          <w:p>
            <w:pPr>
              <w:spacing w:after="0"/>
              <w:rPr>
                <w:sz w:val="24"/>
                <w:szCs w:val="24"/>
                <w:color w:val="auto"/>
              </w:rPr>
            </w:pPr>
          </w:p>
        </w:tc>
      </w:tr>
      <w:tr>
        <w:trPr>
          <w:trHeight w:val="214"/>
        </w:trPr>
        <w:tc>
          <w:tcPr>
            <w:tcW w:w="1020" w:type="dxa"/>
            <w:vAlign w:val="bottom"/>
          </w:tcPr>
          <w:p>
            <w:pPr>
              <w:spacing w:after="0"/>
              <w:rPr>
                <w:sz w:val="20"/>
                <w:szCs w:val="20"/>
                <w:color w:val="auto"/>
              </w:rPr>
            </w:pPr>
            <w:r>
              <w:rPr>
                <w:rFonts w:ascii="Arial" w:cs="Arial" w:eastAsia="Arial" w:hAnsi="Arial"/>
                <w:sz w:val="16"/>
                <w:szCs w:val="16"/>
                <w:color w:val="auto"/>
              </w:rPr>
              <w:t>S/</w:t>
            </w:r>
          </w:p>
        </w:tc>
        <w:tc>
          <w:tcPr>
            <w:tcW w:w="6000" w:type="dxa"/>
            <w:vAlign w:val="bottom"/>
          </w:tcPr>
          <w:p>
            <w:pPr>
              <w:ind w:left="160"/>
              <w:spacing w:after="0"/>
              <w:rPr>
                <w:sz w:val="20"/>
                <w:szCs w:val="20"/>
                <w:color w:val="auto"/>
              </w:rPr>
            </w:pPr>
            <w:r>
              <w:rPr>
                <w:rFonts w:ascii="Arial" w:cs="Arial" w:eastAsia="Arial" w:hAnsi="Arial"/>
                <w:sz w:val="16"/>
                <w:szCs w:val="16"/>
                <w:color w:val="auto"/>
              </w:rPr>
              <w:t>= Sol</w:t>
            </w:r>
          </w:p>
        </w:tc>
        <w:tc>
          <w:tcPr>
            <w:tcW w:w="4240" w:type="dxa"/>
            <w:vAlign w:val="bottom"/>
          </w:tcPr>
          <w:p>
            <w:pPr>
              <w:spacing w:after="0"/>
              <w:rPr>
                <w:sz w:val="18"/>
                <w:szCs w:val="18"/>
                <w:color w:val="auto"/>
              </w:rPr>
            </w:pPr>
          </w:p>
        </w:tc>
      </w:tr>
      <w:tr>
        <w:trPr>
          <w:trHeight w:val="555"/>
        </w:trPr>
        <w:tc>
          <w:tcPr>
            <w:tcW w:w="10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4" w:right="319" w:bottom="1440" w:gutter="0" w:footer="0" w:header="0"/>
        </w:sectPr>
      </w:pPr>
    </w:p>
    <w:bookmarkStart w:id="187" w:name="page188"/>
    <w:bookmarkEnd w:id="187"/>
    <w:p>
      <w:pPr>
        <w:ind w:left="1160"/>
        <w:spacing w:after="0"/>
        <w:rPr>
          <w:sz w:val="20"/>
          <w:szCs w:val="20"/>
          <w:color w:val="auto"/>
        </w:rPr>
      </w:pPr>
      <w:r>
        <w:rPr>
          <w:rFonts w:ascii="Arial" w:cs="Arial" w:eastAsia="Arial" w:hAnsi="Arial"/>
          <w:sz w:val="13"/>
          <w:szCs w:val="13"/>
          <w:b w:val="1"/>
          <w:bCs w:val="1"/>
          <w:color w:val="2D2D38"/>
        </w:rPr>
        <w:drawing>
          <wp:anchor simplePos="0" relativeHeight="251657728" behindDoc="1" locked="0" layoutInCell="0" allowOverlap="1">
            <wp:simplePos x="0" y="0"/>
            <wp:positionH relativeFrom="page">
              <wp:posOffset>201295</wp:posOffset>
            </wp:positionH>
            <wp:positionV relativeFrom="page">
              <wp:posOffset>318770</wp:posOffset>
            </wp:positionV>
            <wp:extent cx="735330" cy="7505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t>Tanaka, Valdivia, Arribas &amp; Asociados</w:t>
      </w:r>
    </w:p>
    <w:p>
      <w:pPr>
        <w:spacing w:after="0" w:line="7"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2D2D38"/>
        </w:rPr>
        <w:t>Sociedad Civil de R. 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3"/>
          <w:szCs w:val="23"/>
          <w:color w:val="auto"/>
        </w:rPr>
        <w:t>Independent auditor’s report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Directors of Credicorp Ltd.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Report on the audit of the separate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have audited the separate financial statements of Credicorp Ltd. (the Company), which comprise the separate statement of financial position as at December 31, 2025, and the separate statements of income, comprehensive income, changes in equity and cash flows for the year then ended, and notes to the separate financial statements, including material accounting policy information.</w:t>
      </w:r>
    </w:p>
    <w:p>
      <w:pPr>
        <w:spacing w:after="0" w:line="137"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In our opinion, the accompanying separate financial statements present fairly, in all material respects, the separate financial position of the Company as at December 31, 2025, and its separate financial performance and its separate cash flows for the year then ended in accordance with IFRS Accounting Standards.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 xml:space="preserve">We conducted our audit in accordance with International Standards on Auditing (ISAs) approved for application in Peru by the Board of Deans of Associations of Public Accountants of Peru. Our responsibilities under those standards are further described in the </w:t>
      </w:r>
      <w:r>
        <w:rPr>
          <w:rFonts w:ascii="Arial" w:cs="Arial" w:eastAsia="Arial" w:hAnsi="Arial"/>
          <w:sz w:val="16"/>
          <w:szCs w:val="16"/>
          <w:i w:val="1"/>
          <w:iCs w:val="1"/>
          <w:color w:val="auto"/>
        </w:rPr>
        <w:t>Auditor's responsibilities for the audit of the separate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section of our report. We are independent of the Company in accordance with the International Ethics Standards Board for Accountants’</w:t>
      </w:r>
      <w:r>
        <w:rPr>
          <w:rFonts w:ascii="Arial" w:cs="Arial" w:eastAsia="Arial" w:hAnsi="Arial"/>
          <w:sz w:val="16"/>
          <w:szCs w:val="16"/>
          <w:i w:val="1"/>
          <w:iCs w:val="1"/>
          <w:color w:val="auto"/>
        </w:rPr>
        <w:t xml:space="preserve"> International Code of Ethics for Professional Accountants </w:t>
      </w:r>
      <w:r>
        <w:rPr>
          <w:rFonts w:ascii="Arial" w:cs="Arial" w:eastAsia="Arial" w:hAnsi="Arial"/>
          <w:sz w:val="16"/>
          <w:szCs w:val="16"/>
          <w:color w:val="auto"/>
        </w:rPr>
        <w:t>(including International Independence Standards) (IESBA Code), as applicable to audits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public interest entities, together with the ethical requirements that are relevant to audits of the separate financial statements of public interest entities in Peru. We have also fulfilled our other ethical responsibilities in accordance with these requirements and the IESBA Code. We believe that the audit evidence we have obtained is sufficient and appropriate to provide a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Key audit matters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Key audit matters are those matters that, in our professional judgment, were of most significance in our audit of the financial statements of the current period.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We have determined that there are no key audit matters to communicate in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620" cy="1841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20" cy="184150"/>
                    </a:xfrm>
                    <a:prstGeom prst="rect">
                      <a:avLst/>
                    </a:prstGeom>
                    <a:noFill/>
                  </pic:spPr>
                </pic:pic>
              </a:graphicData>
            </a:graphic>
          </wp:anchor>
        </w:drawing>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520" w:type="dxa"/>
            <w:vAlign w:val="bottom"/>
            <w:tcBorders>
              <w:right w:val="single" w:sz="8" w:color="FFFF00"/>
            </w:tcBorders>
          </w:tcPr>
          <w:p>
            <w:pPr>
              <w:ind w:left="20"/>
              <w:spacing w:after="0"/>
              <w:rPr>
                <w:sz w:val="20"/>
                <w:szCs w:val="20"/>
                <w:color w:val="auto"/>
              </w:rPr>
            </w:pPr>
            <w:r>
              <w:rPr>
                <w:rFonts w:ascii="Arial" w:cs="Arial" w:eastAsia="Arial" w:hAnsi="Arial"/>
                <w:sz w:val="13"/>
                <w:szCs w:val="13"/>
                <w:color w:val="656565"/>
              </w:rPr>
              <w:t>Lima</w:t>
            </w:r>
          </w:p>
        </w:tc>
        <w:tc>
          <w:tcPr>
            <w:tcW w:w="15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Lima II</w:t>
            </w:r>
          </w:p>
        </w:tc>
        <w:tc>
          <w:tcPr>
            <w:tcW w:w="15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Lima III</w:t>
            </w:r>
          </w:p>
        </w:tc>
        <w:tc>
          <w:tcPr>
            <w:tcW w:w="15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Arequipa</w:t>
            </w:r>
          </w:p>
        </w:tc>
        <w:tc>
          <w:tcPr>
            <w:tcW w:w="15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Trujillo</w:t>
            </w:r>
          </w:p>
        </w:tc>
        <w:tc>
          <w:tcPr>
            <w:tcW w:w="16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Chiclayo (satélite)</w:t>
            </w:r>
          </w:p>
        </w:tc>
        <w:tc>
          <w:tcPr>
            <w:tcW w:w="1380" w:type="dxa"/>
            <w:vAlign w:val="bottom"/>
          </w:tcPr>
          <w:p>
            <w:pPr>
              <w:ind w:left="80"/>
              <w:spacing w:after="0"/>
              <w:rPr>
                <w:sz w:val="20"/>
                <w:szCs w:val="20"/>
                <w:color w:val="auto"/>
              </w:rPr>
            </w:pPr>
            <w:r>
              <w:rPr>
                <w:rFonts w:ascii="Arial" w:cs="Arial" w:eastAsia="Arial" w:hAnsi="Arial"/>
                <w:sz w:val="13"/>
                <w:szCs w:val="13"/>
                <w:color w:val="656565"/>
              </w:rPr>
              <w:t>Cusco (satélite)</w:t>
            </w:r>
          </w:p>
        </w:tc>
      </w:tr>
      <w:tr>
        <w:trPr>
          <w:trHeight w:val="153"/>
        </w:trPr>
        <w:tc>
          <w:tcPr>
            <w:tcW w:w="1520" w:type="dxa"/>
            <w:vAlign w:val="bottom"/>
            <w:tcBorders>
              <w:right w:val="single" w:sz="8" w:color="FFFF00"/>
            </w:tcBorders>
          </w:tcPr>
          <w:p>
            <w:pPr>
              <w:ind w:left="20"/>
              <w:spacing w:after="0"/>
              <w:rPr>
                <w:sz w:val="20"/>
                <w:szCs w:val="20"/>
                <w:color w:val="auto"/>
              </w:rPr>
            </w:pPr>
            <w:r>
              <w:rPr>
                <w:rFonts w:ascii="Arial" w:cs="Arial" w:eastAsia="Arial" w:hAnsi="Arial"/>
                <w:sz w:val="13"/>
                <w:szCs w:val="13"/>
                <w:color w:val="656565"/>
              </w:rPr>
              <w:t>Av. Víctor Andrés</w:t>
            </w:r>
          </w:p>
        </w:tc>
        <w:tc>
          <w:tcPr>
            <w:tcW w:w="15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Av. Jorge</w:t>
            </w:r>
          </w:p>
        </w:tc>
        <w:tc>
          <w:tcPr>
            <w:tcW w:w="15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Av. Jorge</w:t>
            </w:r>
          </w:p>
        </w:tc>
        <w:tc>
          <w:tcPr>
            <w:tcW w:w="15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Edificio City Center,</w:t>
            </w:r>
          </w:p>
        </w:tc>
        <w:tc>
          <w:tcPr>
            <w:tcW w:w="15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Av. El Golf 591,</w:t>
            </w:r>
          </w:p>
        </w:tc>
        <w:tc>
          <w:tcPr>
            <w:tcW w:w="1680" w:type="dxa"/>
            <w:vAlign w:val="bottom"/>
            <w:tcBorders>
              <w:right w:val="single" w:sz="8" w:color="FFFF00"/>
            </w:tcBorders>
          </w:tcPr>
          <w:p>
            <w:pPr>
              <w:ind w:left="80"/>
              <w:spacing w:after="0"/>
              <w:rPr>
                <w:sz w:val="20"/>
                <w:szCs w:val="20"/>
                <w:color w:val="auto"/>
              </w:rPr>
            </w:pPr>
            <w:r>
              <w:rPr>
                <w:rFonts w:ascii="Arial" w:cs="Arial" w:eastAsia="Arial" w:hAnsi="Arial"/>
                <w:sz w:val="13"/>
                <w:szCs w:val="13"/>
                <w:color w:val="656565"/>
              </w:rPr>
              <w:t>Av. Federico Villareal 115,</w:t>
            </w:r>
          </w:p>
        </w:tc>
        <w:tc>
          <w:tcPr>
            <w:tcW w:w="1380" w:type="dxa"/>
            <w:vAlign w:val="bottom"/>
          </w:tcPr>
          <w:p>
            <w:pPr>
              <w:ind w:left="80"/>
              <w:spacing w:after="0"/>
              <w:rPr>
                <w:sz w:val="20"/>
                <w:szCs w:val="20"/>
                <w:color w:val="auto"/>
              </w:rPr>
            </w:pPr>
            <w:r>
              <w:rPr>
                <w:rFonts w:ascii="Arial" w:cs="Arial" w:eastAsia="Arial" w:hAnsi="Arial"/>
                <w:sz w:val="13"/>
                <w:szCs w:val="13"/>
                <w:color w:val="656565"/>
                <w:w w:val="96"/>
              </w:rPr>
              <w:t>Jr. Ricardo Palma #18,</w:t>
            </w:r>
          </w:p>
        </w:tc>
      </w:tr>
      <w:tr>
        <w:trPr>
          <w:trHeight w:val="137"/>
        </w:trPr>
        <w:tc>
          <w:tcPr>
            <w:tcW w:w="1520" w:type="dxa"/>
            <w:vAlign w:val="bottom"/>
          </w:tcPr>
          <w:p>
            <w:pPr>
              <w:spacing w:after="0" w:line="137" w:lineRule="exact"/>
              <w:rPr>
                <w:sz w:val="20"/>
                <w:szCs w:val="20"/>
                <w:color w:val="auto"/>
              </w:rPr>
            </w:pPr>
            <w:r>
              <w:rPr>
                <w:rFonts w:ascii="Arial" w:cs="Arial" w:eastAsia="Arial" w:hAnsi="Arial"/>
                <w:sz w:val="13"/>
                <w:szCs w:val="13"/>
                <w:color w:val="656565"/>
              </w:rPr>
              <w:t>Belaunde 171,</w:t>
            </w:r>
          </w:p>
        </w:tc>
        <w:tc>
          <w:tcPr>
            <w:tcW w:w="1580" w:type="dxa"/>
            <w:vAlign w:val="bottom"/>
          </w:tcPr>
          <w:p>
            <w:pPr>
              <w:ind w:left="60"/>
              <w:spacing w:after="0" w:line="137" w:lineRule="exact"/>
              <w:rPr>
                <w:sz w:val="20"/>
                <w:szCs w:val="20"/>
                <w:color w:val="auto"/>
              </w:rPr>
            </w:pPr>
            <w:r>
              <w:rPr>
                <w:rFonts w:ascii="Arial" w:cs="Arial" w:eastAsia="Arial" w:hAnsi="Arial"/>
                <w:sz w:val="13"/>
                <w:szCs w:val="13"/>
                <w:color w:val="656565"/>
              </w:rPr>
              <w:t>Basadre 330,</w:t>
            </w:r>
          </w:p>
        </w:tc>
        <w:tc>
          <w:tcPr>
            <w:tcW w:w="1580" w:type="dxa"/>
            <w:vAlign w:val="bottom"/>
          </w:tcPr>
          <w:p>
            <w:pPr>
              <w:ind w:left="60"/>
              <w:spacing w:after="0" w:line="137" w:lineRule="exact"/>
              <w:rPr>
                <w:sz w:val="20"/>
                <w:szCs w:val="20"/>
                <w:color w:val="auto"/>
              </w:rPr>
            </w:pPr>
            <w:r>
              <w:rPr>
                <w:rFonts w:ascii="Arial" w:cs="Arial" w:eastAsia="Arial" w:hAnsi="Arial"/>
                <w:sz w:val="13"/>
                <w:szCs w:val="13"/>
                <w:color w:val="656565"/>
              </w:rPr>
              <w:t>Basadre 350,</w:t>
            </w:r>
          </w:p>
        </w:tc>
        <w:tc>
          <w:tcPr>
            <w:tcW w:w="1580" w:type="dxa"/>
            <w:vAlign w:val="bottom"/>
          </w:tcPr>
          <w:p>
            <w:pPr>
              <w:ind w:left="60"/>
              <w:spacing w:after="0" w:line="137" w:lineRule="exact"/>
              <w:rPr>
                <w:sz w:val="20"/>
                <w:szCs w:val="20"/>
                <w:color w:val="auto"/>
              </w:rPr>
            </w:pPr>
            <w:r>
              <w:rPr>
                <w:rFonts w:ascii="Arial" w:cs="Arial" w:eastAsia="Arial" w:hAnsi="Arial"/>
                <w:sz w:val="13"/>
                <w:szCs w:val="13"/>
                <w:color w:val="656565"/>
              </w:rPr>
              <w:t>piso 13, Torre Sur,</w:t>
            </w:r>
          </w:p>
        </w:tc>
        <w:tc>
          <w:tcPr>
            <w:tcW w:w="1580" w:type="dxa"/>
            <w:vAlign w:val="bottom"/>
          </w:tcPr>
          <w:p>
            <w:pPr>
              <w:ind w:left="60"/>
              <w:spacing w:after="0" w:line="137" w:lineRule="exact"/>
              <w:rPr>
                <w:sz w:val="20"/>
                <w:szCs w:val="20"/>
                <w:color w:val="auto"/>
              </w:rPr>
            </w:pPr>
            <w:r>
              <w:rPr>
                <w:rFonts w:ascii="Arial" w:cs="Arial" w:eastAsia="Arial" w:hAnsi="Arial"/>
                <w:sz w:val="13"/>
                <w:szCs w:val="13"/>
                <w:color w:val="656565"/>
              </w:rPr>
              <w:t>Víctor Larco Herrera,</w:t>
            </w:r>
          </w:p>
        </w:tc>
        <w:tc>
          <w:tcPr>
            <w:tcW w:w="1680" w:type="dxa"/>
            <w:vAlign w:val="bottom"/>
          </w:tcPr>
          <w:p>
            <w:pPr>
              <w:ind w:left="60"/>
              <w:spacing w:after="0" w:line="137" w:lineRule="exact"/>
              <w:rPr>
                <w:sz w:val="20"/>
                <w:szCs w:val="20"/>
                <w:color w:val="auto"/>
              </w:rPr>
            </w:pPr>
            <w:r>
              <w:rPr>
                <w:rFonts w:ascii="Arial" w:cs="Arial" w:eastAsia="Arial" w:hAnsi="Arial"/>
                <w:sz w:val="13"/>
                <w:szCs w:val="13"/>
                <w:color w:val="656565"/>
              </w:rPr>
              <w:t>Lambayeque</w:t>
            </w:r>
          </w:p>
        </w:tc>
        <w:tc>
          <w:tcPr>
            <w:tcW w:w="1380" w:type="dxa"/>
            <w:vAlign w:val="bottom"/>
          </w:tcPr>
          <w:p>
            <w:pPr>
              <w:ind w:left="60"/>
              <w:spacing w:after="0" w:line="137" w:lineRule="exact"/>
              <w:rPr>
                <w:sz w:val="20"/>
                <w:szCs w:val="20"/>
                <w:color w:val="auto"/>
              </w:rPr>
            </w:pPr>
            <w:r>
              <w:rPr>
                <w:rFonts w:ascii="Arial" w:cs="Arial" w:eastAsia="Arial" w:hAnsi="Arial"/>
                <w:sz w:val="13"/>
                <w:szCs w:val="13"/>
                <w:color w:val="656565"/>
              </w:rPr>
              <w:t>Urb. Santa Mónica,</w:t>
            </w:r>
          </w:p>
        </w:tc>
      </w:tr>
      <w:tr>
        <w:trPr>
          <w:trHeight w:val="145"/>
        </w:trPr>
        <w:tc>
          <w:tcPr>
            <w:tcW w:w="1520" w:type="dxa"/>
            <w:vAlign w:val="bottom"/>
          </w:tcPr>
          <w:p>
            <w:pPr>
              <w:spacing w:after="0" w:line="145" w:lineRule="exact"/>
              <w:rPr>
                <w:sz w:val="20"/>
                <w:szCs w:val="20"/>
                <w:color w:val="auto"/>
              </w:rPr>
            </w:pPr>
            <w:r>
              <w:rPr>
                <w:rFonts w:ascii="Arial" w:cs="Arial" w:eastAsia="Arial" w:hAnsi="Arial"/>
                <w:sz w:val="13"/>
                <w:szCs w:val="13"/>
                <w:color w:val="656565"/>
              </w:rPr>
              <w:t>San Isidro</w:t>
            </w:r>
          </w:p>
        </w:tc>
        <w:tc>
          <w:tcPr>
            <w:tcW w:w="1580" w:type="dxa"/>
            <w:vAlign w:val="bottom"/>
          </w:tcPr>
          <w:p>
            <w:pPr>
              <w:ind w:left="60"/>
              <w:spacing w:after="0" w:line="145" w:lineRule="exact"/>
              <w:rPr>
                <w:sz w:val="20"/>
                <w:szCs w:val="20"/>
                <w:color w:val="auto"/>
              </w:rPr>
            </w:pPr>
            <w:r>
              <w:rPr>
                <w:rFonts w:ascii="Arial" w:cs="Arial" w:eastAsia="Arial" w:hAnsi="Arial"/>
                <w:sz w:val="13"/>
                <w:szCs w:val="13"/>
                <w:color w:val="656565"/>
              </w:rPr>
              <w:t>San Isidro</w:t>
            </w:r>
          </w:p>
        </w:tc>
        <w:tc>
          <w:tcPr>
            <w:tcW w:w="1580" w:type="dxa"/>
            <w:vAlign w:val="bottom"/>
          </w:tcPr>
          <w:p>
            <w:pPr>
              <w:ind w:left="60"/>
              <w:spacing w:after="0" w:line="145" w:lineRule="exact"/>
              <w:rPr>
                <w:sz w:val="20"/>
                <w:szCs w:val="20"/>
                <w:color w:val="auto"/>
              </w:rPr>
            </w:pPr>
            <w:r>
              <w:rPr>
                <w:rFonts w:ascii="Arial" w:cs="Arial" w:eastAsia="Arial" w:hAnsi="Arial"/>
                <w:sz w:val="13"/>
                <w:szCs w:val="13"/>
                <w:color w:val="656565"/>
              </w:rPr>
              <w:t>San Isidro</w:t>
            </w:r>
          </w:p>
        </w:tc>
        <w:tc>
          <w:tcPr>
            <w:tcW w:w="1580" w:type="dxa"/>
            <w:vAlign w:val="bottom"/>
          </w:tcPr>
          <w:p>
            <w:pPr>
              <w:ind w:left="60"/>
              <w:spacing w:after="0" w:line="145" w:lineRule="exact"/>
              <w:rPr>
                <w:sz w:val="20"/>
                <w:szCs w:val="20"/>
                <w:color w:val="auto"/>
              </w:rPr>
            </w:pPr>
            <w:r>
              <w:rPr>
                <w:rFonts w:ascii="Arial" w:cs="Arial" w:eastAsia="Arial" w:hAnsi="Arial"/>
                <w:sz w:val="13"/>
                <w:szCs w:val="13"/>
                <w:color w:val="656565"/>
              </w:rPr>
              <w:t>Cerro Colorado</w:t>
            </w:r>
          </w:p>
        </w:tc>
        <w:tc>
          <w:tcPr>
            <w:tcW w:w="1580" w:type="dxa"/>
            <w:vAlign w:val="bottom"/>
          </w:tcPr>
          <w:p>
            <w:pPr>
              <w:ind w:left="60"/>
              <w:spacing w:after="0" w:line="145" w:lineRule="exact"/>
              <w:rPr>
                <w:sz w:val="20"/>
                <w:szCs w:val="20"/>
                <w:color w:val="auto"/>
              </w:rPr>
            </w:pPr>
            <w:r>
              <w:rPr>
                <w:rFonts w:ascii="Arial" w:cs="Arial" w:eastAsia="Arial" w:hAnsi="Arial"/>
                <w:sz w:val="13"/>
                <w:szCs w:val="13"/>
                <w:color w:val="656565"/>
              </w:rPr>
              <w:t>Sede</w:t>
            </w:r>
          </w:p>
        </w:tc>
        <w:tc>
          <w:tcPr>
            <w:tcW w:w="1680" w:type="dxa"/>
            <w:vAlign w:val="bottom"/>
          </w:tcPr>
          <w:p>
            <w:pPr>
              <w:spacing w:after="0"/>
              <w:rPr>
                <w:sz w:val="12"/>
                <w:szCs w:val="12"/>
                <w:color w:val="auto"/>
              </w:rPr>
            </w:pPr>
          </w:p>
        </w:tc>
        <w:tc>
          <w:tcPr>
            <w:tcW w:w="1380" w:type="dxa"/>
            <w:vAlign w:val="bottom"/>
          </w:tcPr>
          <w:p>
            <w:pPr>
              <w:ind w:left="60"/>
              <w:spacing w:after="0" w:line="145" w:lineRule="exact"/>
              <w:rPr>
                <w:sz w:val="20"/>
                <w:szCs w:val="20"/>
                <w:color w:val="auto"/>
              </w:rPr>
            </w:pPr>
            <w:r>
              <w:rPr>
                <w:rFonts w:ascii="Arial" w:cs="Arial" w:eastAsia="Arial" w:hAnsi="Arial"/>
                <w:sz w:val="13"/>
                <w:szCs w:val="13"/>
                <w:color w:val="656565"/>
              </w:rPr>
              <w:t>Wanchaq</w:t>
            </w:r>
          </w:p>
        </w:tc>
      </w:tr>
      <w:tr>
        <w:trPr>
          <w:trHeight w:val="145"/>
        </w:trPr>
        <w:tc>
          <w:tcPr>
            <w:tcW w:w="1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ind w:left="60"/>
              <w:spacing w:after="0" w:line="145" w:lineRule="exact"/>
              <w:rPr>
                <w:sz w:val="20"/>
                <w:szCs w:val="20"/>
                <w:color w:val="auto"/>
              </w:rPr>
            </w:pPr>
            <w:r>
              <w:rPr>
                <w:rFonts w:ascii="Arial" w:cs="Arial" w:eastAsia="Arial" w:hAnsi="Arial"/>
                <w:sz w:val="13"/>
                <w:szCs w:val="13"/>
                <w:color w:val="656565"/>
              </w:rPr>
              <w:t>Miguel Ángel Quijano</w:t>
            </w: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5"/>
        </w:trPr>
        <w:tc>
          <w:tcPr>
            <w:tcW w:w="1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ind w:left="60"/>
              <w:spacing w:after="0" w:line="145" w:lineRule="exact"/>
              <w:rPr>
                <w:sz w:val="20"/>
                <w:szCs w:val="20"/>
                <w:color w:val="auto"/>
              </w:rPr>
            </w:pPr>
            <w:r>
              <w:rPr>
                <w:rFonts w:ascii="Arial" w:cs="Arial" w:eastAsia="Arial" w:hAnsi="Arial"/>
                <w:sz w:val="13"/>
                <w:szCs w:val="13"/>
                <w:color w:val="656565"/>
              </w:rPr>
              <w:t>Doig,</w:t>
            </w: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8"/>
        </w:trPr>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ind w:left="60"/>
              <w:spacing w:after="0"/>
              <w:rPr>
                <w:sz w:val="20"/>
                <w:szCs w:val="20"/>
                <w:color w:val="auto"/>
              </w:rPr>
            </w:pPr>
            <w:r>
              <w:rPr>
                <w:rFonts w:ascii="Arial" w:cs="Arial" w:eastAsia="Arial" w:hAnsi="Arial"/>
                <w:sz w:val="13"/>
                <w:szCs w:val="13"/>
                <w:color w:val="656565"/>
              </w:rPr>
              <w:t>La Libertad</w:t>
            </w: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656565"/>
        </w:rPr>
        <w:t>Inscrita en la partida 11396556 del Registro de Personas Jurídicas de Lima y Callao</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656565"/>
        </w:rPr>
        <w:t>Miembro de Ernst &amp; Young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354330</wp:posOffset>
            </wp:positionV>
            <wp:extent cx="714692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188" w:name="page189"/>
    <w:bookmarkEnd w:id="188"/>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203835</wp:posOffset>
            </wp:positionV>
            <wp:extent cx="735330" cy="7505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Other matter</w:t>
      </w:r>
    </w:p>
    <w:p>
      <w:pPr>
        <w:spacing w:after="0" w:line="176" w:lineRule="exact"/>
        <w:rPr>
          <w:sz w:val="20"/>
          <w:szCs w:val="20"/>
          <w:color w:val="auto"/>
        </w:rPr>
      </w:pPr>
    </w:p>
    <w:p>
      <w:pPr>
        <w:ind w:right="420"/>
        <w:spacing w:after="0" w:line="255" w:lineRule="auto"/>
        <w:rPr>
          <w:sz w:val="20"/>
          <w:szCs w:val="20"/>
          <w:color w:val="auto"/>
        </w:rPr>
      </w:pPr>
      <w:r>
        <w:rPr>
          <w:rFonts w:ascii="Arial" w:cs="Arial" w:eastAsia="Arial" w:hAnsi="Arial"/>
          <w:sz w:val="16"/>
          <w:szCs w:val="16"/>
          <w:color w:val="auto"/>
        </w:rPr>
        <w:t>The separate financial statements of Credicorp Ltd. have been prepared in compliance with the current legal requirements in Peru for the presentation of financial information, as indicated in note 2. These separate financial statements should be read together with the consolidated financial statements of Credicorp Ltd. and Subsidiaries as of December 31, 2025, which are prepared and presented separately.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Other information included in the Company's 2025 Annual Report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consists of the information included in the Annual Report, other than the separate financial statements and our auditor’s report thereon.</w:t>
      </w:r>
    </w:p>
    <w:p>
      <w:pPr>
        <w:spacing w:after="0"/>
        <w:rPr>
          <w:sz w:val="20"/>
          <w:szCs w:val="20"/>
          <w:color w:val="auto"/>
        </w:rPr>
      </w:pPr>
      <w:r>
        <w:rPr>
          <w:rFonts w:ascii="Arial" w:cs="Arial" w:eastAsia="Arial" w:hAnsi="Arial"/>
          <w:sz w:val="16"/>
          <w:szCs w:val="16"/>
          <w:color w:val="auto"/>
        </w:rPr>
        <w:t>Management is responsible for the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Our opinion on the separate financial statements does not cover the other information and we do not express any form of assurance conclusion thereon.</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connection with our audit of the separate financial statements, our responsibility is to read the other information and, in doing so, consider whether the other information is materially inconsistent with the separate financial statements or our knowledge obtained in the audit or otherwise appears to be materially misstated. If, based on the work we have performed, we conclude that there is a material misstatement of this other information, we are required to report that fact. We have nothing to report in this regard.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Responsibilities of the Company's management and those charged with Company’s governance for the separate financial statements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Management is responsible for the preparation and fair presentation of the separate financial statements in accordance with IFRS Accounting Standards, and for such internal control as management determines is necessary to enable the preparation of separate financial statements that are free from material misstatement, whether due to fraud or error.</w:t>
      </w:r>
    </w:p>
    <w:p>
      <w:pPr>
        <w:spacing w:after="0" w:line="137" w:lineRule="exact"/>
        <w:rPr>
          <w:sz w:val="20"/>
          <w:szCs w:val="20"/>
          <w:color w:val="auto"/>
        </w:rPr>
      </w:pPr>
    </w:p>
    <w:p>
      <w:pPr>
        <w:jc w:val="both"/>
        <w:ind w:right="80"/>
        <w:spacing w:after="0" w:line="255" w:lineRule="auto"/>
        <w:rPr>
          <w:sz w:val="20"/>
          <w:szCs w:val="20"/>
          <w:color w:val="auto"/>
        </w:rPr>
      </w:pPr>
      <w:r>
        <w:rPr>
          <w:rFonts w:ascii="Arial" w:cs="Arial" w:eastAsia="Arial" w:hAnsi="Arial"/>
          <w:sz w:val="16"/>
          <w:szCs w:val="16"/>
          <w:color w:val="auto"/>
        </w:rPr>
        <w:t>In preparing the separate financial statements, management is responsible for assessing the Company's ability to continue as a going concern, disclosing, as applicable, matters related to going concern and using the going concern basis of accounting unless management either intends to liquidate the Company or to cease operations, or has no realistic alternative but to do so.</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 xml:space="preserve">Those charged with Company’s governance are responsible for </w:t>
      </w:r>
      <w:r>
        <w:rPr>
          <w:rFonts w:ascii="Arial" w:cs="Arial" w:eastAsia="Arial" w:hAnsi="Arial"/>
          <w:sz w:val="16"/>
          <w:szCs w:val="16"/>
          <w:color w:val="000000"/>
        </w:rPr>
        <w:t>overseeing the Company's financial reporting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368935</wp:posOffset>
            </wp:positionV>
            <wp:extent cx="714692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203835</wp:posOffset>
            </wp:positionV>
            <wp:extent cx="735330" cy="7505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Auditor's responsibilities for the audit of the separate financial statements</w:t>
      </w:r>
    </w:p>
    <w:p>
      <w:pPr>
        <w:spacing w:after="0" w:line="176"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Our objectives are to obtain reasonable assurance about whether the separate financial statements as a whole are free from material misstatement, whether due to fraud or error, and to issue an auditor’s report that includes our opinion. Reasonable assurance is a high level of assurance, but is not a guarantee that an audit conducted in accordance with ISAs will always detect a material misstatement when it exists. Misstatements can arise from fraud or error and are considered material if, individually or in the aggregate, they could reasonably be expected to influence the economic decisions of users taken on the basis of these separate financial statements.</w:t>
      </w:r>
    </w:p>
    <w:p>
      <w:pPr>
        <w:spacing w:after="0" w:line="147" w:lineRule="exact"/>
        <w:rPr>
          <w:sz w:val="20"/>
          <w:szCs w:val="20"/>
          <w:color w:val="auto"/>
        </w:rPr>
      </w:pPr>
    </w:p>
    <w:p>
      <w:pPr>
        <w:ind w:right="640"/>
        <w:spacing w:after="0" w:line="274" w:lineRule="auto"/>
        <w:rPr>
          <w:sz w:val="20"/>
          <w:szCs w:val="20"/>
          <w:color w:val="auto"/>
        </w:rPr>
      </w:pPr>
      <w:r>
        <w:rPr>
          <w:rFonts w:ascii="Arial" w:cs="Arial" w:eastAsia="Arial" w:hAnsi="Arial"/>
          <w:sz w:val="16"/>
          <w:szCs w:val="16"/>
          <w:color w:val="auto"/>
        </w:rPr>
        <w:t>As part of an audit in accordance with ISAs approved for application in Peru, we exercise professional judgment and maintain professional skepticism throughout the audit. We also:</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Identify and assess the risks of material misstatement of the separate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44"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Evaluate the appropriateness of accounting policies used and the reasonableness of accounting estimates and related disclosures made by management.</w:t>
      </w:r>
    </w:p>
    <w:p>
      <w:pPr>
        <w:spacing w:after="0" w:line="178" w:lineRule="exact"/>
        <w:rPr>
          <w:sz w:val="20"/>
          <w:szCs w:val="20"/>
          <w:color w:val="auto"/>
        </w:rPr>
      </w:pPr>
    </w:p>
    <w:p>
      <w:pPr>
        <w:ind w:right="460"/>
        <w:spacing w:after="0" w:line="245" w:lineRule="auto"/>
        <w:rPr>
          <w:sz w:val="20"/>
          <w:szCs w:val="20"/>
          <w:color w:val="auto"/>
        </w:rPr>
      </w:pPr>
      <w:r>
        <w:rPr>
          <w:rFonts w:ascii="Arial" w:cs="Arial" w:eastAsia="Arial" w:hAnsi="Arial"/>
          <w:sz w:val="16"/>
          <w:szCs w:val="16"/>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separate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pacing w:after="0" w:line="147" w:lineRule="exact"/>
        <w:rPr>
          <w:sz w:val="20"/>
          <w:szCs w:val="20"/>
          <w:color w:val="auto"/>
        </w:rPr>
      </w:pPr>
    </w:p>
    <w:p>
      <w:pPr>
        <w:ind w:right="340"/>
        <w:spacing w:after="0" w:line="274" w:lineRule="auto"/>
        <w:rPr>
          <w:sz w:val="20"/>
          <w:szCs w:val="20"/>
          <w:color w:val="auto"/>
        </w:rPr>
      </w:pPr>
      <w:r>
        <w:rPr>
          <w:rFonts w:ascii="Arial" w:cs="Arial" w:eastAsia="Arial" w:hAnsi="Arial"/>
          <w:sz w:val="16"/>
          <w:szCs w:val="16"/>
          <w:color w:val="auto"/>
        </w:rPr>
        <w:t>Evaluate the overall presentation, structure and content of the separate financial statements, including the disclosures, and whether the separate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334010</wp:posOffset>
            </wp:positionV>
            <wp:extent cx="714692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203835</wp:posOffset>
            </wp:positionV>
            <wp:extent cx="735330" cy="7505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35330" cy="7505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 xml:space="preserve">Independent auditor’s report </w:t>
      </w:r>
      <w:r>
        <w:rPr>
          <w:rFonts w:ascii="Arial" w:cs="Arial" w:eastAsia="Arial" w:hAnsi="Arial"/>
          <w:sz w:val="16"/>
          <w:szCs w:val="16"/>
          <w:color w:val="auto"/>
        </w:rPr>
        <w:t>(continued)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represent the underlying transactions and events in a manner that achieves fair presentation.</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Plan and perform the Company audit to obtain sufficient appropriate audit evidence regarding the financial information of the entities or business units within the group as a basis for forming an opinion on the separate financial statements. We are responsible for the direction, supervision and review of the audit work performed for the purposes of the Company’s audit. We remain solely responsible for our audit opinion.</w:t>
      </w:r>
    </w:p>
    <w:p>
      <w:pPr>
        <w:spacing w:after="0" w:line="137"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We communicate with those charged with Company's governance regarding, among other matters, the planned scope and timing of the audit and significant audit findings, including any significant deficiencies in internal control that we identify during our audit.</w:t>
      </w:r>
    </w:p>
    <w:p>
      <w:pPr>
        <w:spacing w:after="0" w:line="123"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We also provide those charged with Company's governance with a statement that we have complied with relevant ethical requirements regarding independence, and to communicate with them all relationships and other matters that may reasonably be thought to bear on our independence, and where applicable, actions taken to eliminate threats or safeguards applied.</w:t>
      </w:r>
    </w:p>
    <w:p>
      <w:pPr>
        <w:spacing w:after="0" w:line="13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From the matters communicated with those charged with Company's governance, we determine those matters that were of most significance in the audit of the separate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Lima, Peru</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Endorsed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1050290</wp:posOffset>
            </wp:positionV>
            <wp:extent cx="143256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3256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123825</wp:posOffset>
            </wp:positionV>
            <wp:extent cx="765810" cy="7658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5810" cy="76581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123825</wp:posOffset>
            </wp:positionV>
            <wp:extent cx="2489835" cy="643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8983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Victor Tanaka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Partner-in-Charge</w:t>
      </w:r>
    </w:p>
    <w:p>
      <w:pPr>
        <w:spacing w:after="0"/>
        <w:rPr>
          <w:sz w:val="20"/>
          <w:szCs w:val="20"/>
          <w:color w:val="auto"/>
        </w:rPr>
      </w:pPr>
      <w:r>
        <w:rPr>
          <w:rFonts w:ascii="Arial" w:cs="Arial" w:eastAsia="Arial" w:hAnsi="Arial"/>
          <w:sz w:val="16"/>
          <w:szCs w:val="16"/>
          <w:color w:val="auto"/>
        </w:rPr>
        <w:t>C.P.C.C. Registration No. 25613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358775</wp:posOffset>
            </wp:positionV>
            <wp:extent cx="714692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b w:val="1"/>
          <w:bCs w:val="1"/>
          <w:color w:val="auto"/>
        </w:rPr>
        <w:t>CREDICORP LTD.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SEPARATE STATEMENT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3"/>
                <w:szCs w:val="13"/>
                <w:b w:val="1"/>
                <w:bCs w:val="1"/>
                <w:color w:val="auto"/>
              </w:rPr>
              <w:t>Nota</w:t>
            </w:r>
          </w:p>
        </w:tc>
        <w:tc>
          <w:tcPr>
            <w:tcW w:w="80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Nota</w:t>
            </w:r>
          </w:p>
        </w:tc>
        <w:tc>
          <w:tcPr>
            <w:tcW w:w="90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18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Liabilities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8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320" w:type="dxa"/>
            <w:vAlign w:val="bottom"/>
          </w:tcPr>
          <w:p>
            <w:pPr>
              <w:jc w:val="center"/>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320,909</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399,943</w:t>
            </w:r>
          </w:p>
        </w:tc>
        <w:tc>
          <w:tcPr>
            <w:tcW w:w="2520" w:type="dxa"/>
            <w:vAlign w:val="bottom"/>
          </w:tcPr>
          <w:p>
            <w:pPr>
              <w:ind w:left="60"/>
              <w:spacing w:after="0"/>
              <w:rPr>
                <w:sz w:val="20"/>
                <w:szCs w:val="20"/>
                <w:color w:val="auto"/>
              </w:rPr>
            </w:pPr>
            <w:r>
              <w:rPr>
                <w:rFonts w:ascii="Arial" w:cs="Arial" w:eastAsia="Arial" w:hAnsi="Arial"/>
                <w:sz w:val="13"/>
                <w:szCs w:val="13"/>
                <w:color w:val="auto"/>
              </w:rPr>
              <w:t>Bonds and notes issued</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1,829,657</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Other liabilities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1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274,606</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230,660</w:t>
            </w:r>
          </w:p>
        </w:tc>
        <w:tc>
          <w:tcPr>
            <w:tcW w:w="0" w:type="dxa"/>
            <w:vAlign w:val="bottom"/>
          </w:tcPr>
          <w:p>
            <w:pPr>
              <w:spacing w:after="0"/>
              <w:rPr>
                <w:sz w:val="1"/>
                <w:szCs w:val="1"/>
                <w:color w:val="auto"/>
              </w:rPr>
            </w:pPr>
          </w:p>
        </w:tc>
      </w:tr>
      <w:tr>
        <w:trPr>
          <w:trHeight w:val="137"/>
        </w:trPr>
        <w:tc>
          <w:tcPr>
            <w:tcW w:w="4180" w:type="dxa"/>
            <w:vAlign w:val="bottom"/>
          </w:tcPr>
          <w:p>
            <w:pPr>
              <w:spacing w:after="0" w:line="137" w:lineRule="exact"/>
              <w:rPr>
                <w:sz w:val="20"/>
                <w:szCs w:val="20"/>
                <w:color w:val="auto"/>
              </w:rPr>
            </w:pPr>
            <w:r>
              <w:rPr>
                <w:rFonts w:ascii="Arial" w:cs="Arial" w:eastAsia="Arial" w:hAnsi="Arial"/>
                <w:sz w:val="13"/>
                <w:szCs w:val="13"/>
                <w:color w:val="auto"/>
              </w:rPr>
              <w:t>Investment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20" w:type="dxa"/>
            <w:vAlign w:val="bottom"/>
          </w:tcPr>
          <w:p>
            <w:pPr>
              <w:ind w:left="60"/>
              <w:spacing w:after="0" w:line="137" w:lineRule="exact"/>
              <w:rPr>
                <w:sz w:val="20"/>
                <w:szCs w:val="20"/>
                <w:color w:val="auto"/>
              </w:rPr>
            </w:pPr>
            <w:r>
              <w:rPr>
                <w:rFonts w:ascii="Arial" w:cs="Arial" w:eastAsia="Arial" w:hAnsi="Arial"/>
                <w:sz w:val="13"/>
                <w:szCs w:val="13"/>
                <w:b w:val="1"/>
                <w:bCs w:val="1"/>
                <w:color w:val="auto"/>
              </w:rPr>
              <w:t>Total liabilities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274,606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2,060,317</w:t>
            </w:r>
          </w:p>
        </w:tc>
        <w:tc>
          <w:tcPr>
            <w:tcW w:w="0" w:type="dxa"/>
            <w:vAlign w:val="bottom"/>
          </w:tcPr>
          <w:p>
            <w:pPr>
              <w:spacing w:after="0"/>
              <w:rPr>
                <w:sz w:val="1"/>
                <w:szCs w:val="1"/>
                <w:color w:val="auto"/>
              </w:rPr>
            </w:pPr>
          </w:p>
        </w:tc>
      </w:tr>
      <w:tr>
        <w:trPr>
          <w:trHeight w:val="129"/>
        </w:trPr>
        <w:tc>
          <w:tcPr>
            <w:tcW w:w="4180" w:type="dxa"/>
            <w:vAlign w:val="bottom"/>
          </w:tcPr>
          <w:p>
            <w:pPr>
              <w:spacing w:after="0" w:line="129" w:lineRule="exact"/>
              <w:rPr>
                <w:sz w:val="20"/>
                <w:szCs w:val="20"/>
                <w:color w:val="auto"/>
              </w:rPr>
            </w:pPr>
            <w:r>
              <w:rPr>
                <w:rFonts w:ascii="Arial" w:cs="Arial" w:eastAsia="Arial" w:hAnsi="Arial"/>
                <w:sz w:val="13"/>
                <w:szCs w:val="13"/>
                <w:color w:val="auto"/>
              </w:rPr>
              <w:t>At fair value through other comprehensive income</w:t>
            </w:r>
          </w:p>
        </w:tc>
        <w:tc>
          <w:tcPr>
            <w:tcW w:w="440" w:type="dxa"/>
            <w:vAlign w:val="bottom"/>
            <w:gridSpan w:val="2"/>
          </w:tcPr>
          <w:p>
            <w:pPr>
              <w:jc w:val="center"/>
              <w:ind w:right="120"/>
              <w:spacing w:after="0" w:line="129" w:lineRule="exact"/>
              <w:rPr>
                <w:sz w:val="20"/>
                <w:szCs w:val="20"/>
                <w:color w:val="auto"/>
              </w:rPr>
            </w:pPr>
            <w:r>
              <w:rPr>
                <w:rFonts w:ascii="Arial" w:cs="Arial" w:eastAsia="Arial" w:hAnsi="Arial"/>
                <w:sz w:val="13"/>
                <w:szCs w:val="13"/>
                <w:color w:val="auto"/>
              </w:rPr>
              <w:t>5(a)</w:t>
            </w:r>
          </w:p>
        </w:tc>
        <w:tc>
          <w:tcPr>
            <w:tcW w:w="9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101,684</w:t>
            </w: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1,262,327</w:t>
            </w:r>
          </w:p>
        </w:tc>
        <w:tc>
          <w:tcPr>
            <w:tcW w:w="2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80" w:type="dxa"/>
            <w:vAlign w:val="bottom"/>
          </w:tcPr>
          <w:p>
            <w:pPr>
              <w:spacing w:after="0" w:line="145" w:lineRule="exact"/>
              <w:rPr>
                <w:sz w:val="20"/>
                <w:szCs w:val="20"/>
                <w:color w:val="auto"/>
              </w:rPr>
            </w:pPr>
            <w:r>
              <w:rPr>
                <w:rFonts w:ascii="Arial" w:cs="Arial" w:eastAsia="Arial" w:hAnsi="Arial"/>
                <w:sz w:val="13"/>
                <w:szCs w:val="13"/>
                <w:color w:val="auto"/>
              </w:rPr>
              <w:t>In subsidiaries</w:t>
            </w:r>
          </w:p>
        </w:tc>
        <w:tc>
          <w:tcPr>
            <w:tcW w:w="440" w:type="dxa"/>
            <w:vAlign w:val="bottom"/>
            <w:gridSpan w:val="2"/>
          </w:tcPr>
          <w:p>
            <w:pPr>
              <w:jc w:val="center"/>
              <w:ind w:right="120"/>
              <w:spacing w:after="0" w:line="145" w:lineRule="exact"/>
              <w:rPr>
                <w:sz w:val="20"/>
                <w:szCs w:val="20"/>
                <w:color w:val="auto"/>
              </w:rPr>
            </w:pPr>
            <w:r>
              <w:rPr>
                <w:rFonts w:ascii="Arial" w:cs="Arial" w:eastAsia="Arial" w:hAnsi="Arial"/>
                <w:sz w:val="13"/>
                <w:szCs w:val="13"/>
                <w:color w:val="auto"/>
              </w:rPr>
              <w:t>5(b)</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42,246,654</w:t>
            </w:r>
          </w:p>
        </w:tc>
        <w:tc>
          <w:tcPr>
            <w:tcW w:w="8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38,291,133</w:t>
            </w: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tcPr>
          <w:p>
            <w:pPr>
              <w:spacing w:after="0" w:line="145" w:lineRule="exact"/>
              <w:rPr>
                <w:sz w:val="20"/>
                <w:szCs w:val="20"/>
                <w:color w:val="auto"/>
              </w:rPr>
            </w:pPr>
            <w:r>
              <w:rPr>
                <w:rFonts w:ascii="Arial" w:cs="Arial" w:eastAsia="Arial" w:hAnsi="Arial"/>
                <w:sz w:val="13"/>
                <w:szCs w:val="13"/>
                <w:color w:val="auto"/>
              </w:rPr>
              <w:t>At amortized cost</w:t>
            </w:r>
          </w:p>
        </w:tc>
        <w:tc>
          <w:tcPr>
            <w:tcW w:w="440" w:type="dxa"/>
            <w:vAlign w:val="bottom"/>
            <w:gridSpan w:val="2"/>
          </w:tcPr>
          <w:p>
            <w:pPr>
              <w:jc w:val="center"/>
              <w:ind w:right="120"/>
              <w:spacing w:after="0" w:line="145" w:lineRule="exact"/>
              <w:rPr>
                <w:sz w:val="20"/>
                <w:szCs w:val="20"/>
                <w:color w:val="auto"/>
              </w:rPr>
            </w:pPr>
            <w:r>
              <w:rPr>
                <w:rFonts w:ascii="Arial" w:cs="Arial" w:eastAsia="Arial" w:hAnsi="Arial"/>
                <w:sz w:val="13"/>
                <w:szCs w:val="13"/>
                <w:color w:val="auto"/>
              </w:rPr>
              <w:t>5(c)</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695,652</w:t>
            </w:r>
          </w:p>
        </w:tc>
        <w:tc>
          <w:tcPr>
            <w:tcW w:w="2520" w:type="dxa"/>
            <w:vAlign w:val="bottom"/>
          </w:tcPr>
          <w:p>
            <w:pPr>
              <w:ind w:left="60"/>
              <w:spacing w:after="0" w:line="145" w:lineRule="exact"/>
              <w:rPr>
                <w:sz w:val="20"/>
                <w:szCs w:val="20"/>
                <w:color w:val="auto"/>
              </w:rPr>
            </w:pPr>
            <w:r>
              <w:rPr>
                <w:rFonts w:ascii="Arial" w:cs="Arial" w:eastAsia="Arial" w:hAnsi="Arial"/>
                <w:sz w:val="13"/>
                <w:szCs w:val="13"/>
                <w:b w:val="1"/>
                <w:bCs w:val="1"/>
                <w:color w:val="auto"/>
              </w:rPr>
              <w:t>Equity</w:t>
            </w:r>
          </w:p>
        </w:tc>
        <w:tc>
          <w:tcPr>
            <w:tcW w:w="320" w:type="dxa"/>
            <w:vAlign w:val="bottom"/>
          </w:tcPr>
          <w:p>
            <w:pPr>
              <w:jc w:val="center"/>
              <w:spacing w:after="0" w:line="145" w:lineRule="exact"/>
              <w:rPr>
                <w:sz w:val="20"/>
                <w:szCs w:val="20"/>
                <w:color w:val="auto"/>
              </w:rPr>
            </w:pPr>
            <w:r>
              <w:rPr>
                <w:rFonts w:ascii="Arial" w:cs="Arial" w:eastAsia="Arial" w:hAnsi="Arial"/>
                <w:sz w:val="13"/>
                <w:szCs w:val="13"/>
                <w:color w:val="auto"/>
                <w:w w:val="82"/>
              </w:rPr>
              <w:t>8</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ind w:left="60"/>
              <w:spacing w:after="0" w:line="145" w:lineRule="exact"/>
              <w:rPr>
                <w:sz w:val="20"/>
                <w:szCs w:val="20"/>
                <w:color w:val="auto"/>
              </w:rPr>
            </w:pPr>
            <w:r>
              <w:rPr>
                <w:rFonts w:ascii="Arial" w:cs="Arial" w:eastAsia="Arial" w:hAnsi="Arial"/>
                <w:sz w:val="13"/>
                <w:szCs w:val="13"/>
                <w:color w:val="auto"/>
              </w:rPr>
              <w:t>Capital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1,318,993</w:t>
            </w:r>
          </w:p>
        </w:tc>
        <w:tc>
          <w:tcPr>
            <w:tcW w:w="100" w:type="dxa"/>
            <w:vAlign w:val="bottom"/>
          </w:tcPr>
          <w:p>
            <w:pPr>
              <w:spacing w:after="0"/>
              <w:rPr>
                <w:sz w:val="12"/>
                <w:szCs w:val="12"/>
                <w:color w:val="auto"/>
              </w:rPr>
            </w:pPr>
          </w:p>
        </w:tc>
        <w:tc>
          <w:tcPr>
            <w:tcW w:w="92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1,318,993</w:t>
            </w:r>
          </w:p>
        </w:tc>
        <w:tc>
          <w:tcPr>
            <w:tcW w:w="0" w:type="dxa"/>
            <w:vAlign w:val="bottom"/>
          </w:tcPr>
          <w:p>
            <w:pPr>
              <w:spacing w:after="0"/>
              <w:rPr>
                <w:sz w:val="1"/>
                <w:szCs w:val="1"/>
                <w:color w:val="auto"/>
              </w:rPr>
            </w:pPr>
          </w:p>
        </w:tc>
      </w:tr>
      <w:tr>
        <w:trPr>
          <w:trHeight w:val="145"/>
        </w:trPr>
        <w:tc>
          <w:tcPr>
            <w:tcW w:w="4180" w:type="dxa"/>
            <w:vAlign w:val="bottom"/>
          </w:tcPr>
          <w:p>
            <w:pPr>
              <w:spacing w:after="0" w:line="145" w:lineRule="exact"/>
              <w:rPr>
                <w:sz w:val="20"/>
                <w:szCs w:val="20"/>
                <w:color w:val="auto"/>
              </w:rPr>
            </w:pPr>
            <w:r>
              <w:rPr>
                <w:rFonts w:ascii="Arial" w:cs="Arial" w:eastAsia="Arial" w:hAnsi="Arial"/>
                <w:sz w:val="13"/>
                <w:szCs w:val="13"/>
                <w:color w:val="auto"/>
              </w:rPr>
              <w:t>Other 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8,837</w:t>
            </w:r>
          </w:p>
        </w:tc>
        <w:tc>
          <w:tcPr>
            <w:tcW w:w="8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6,777</w:t>
            </w:r>
          </w:p>
        </w:tc>
        <w:tc>
          <w:tcPr>
            <w:tcW w:w="2520" w:type="dxa"/>
            <w:vAlign w:val="bottom"/>
          </w:tcPr>
          <w:p>
            <w:pPr>
              <w:ind w:left="60"/>
              <w:spacing w:after="0" w:line="145" w:lineRule="exact"/>
              <w:rPr>
                <w:sz w:val="20"/>
                <w:szCs w:val="20"/>
                <w:color w:val="auto"/>
              </w:rPr>
            </w:pPr>
            <w:r>
              <w:rPr>
                <w:rFonts w:ascii="Arial" w:cs="Arial" w:eastAsia="Arial" w:hAnsi="Arial"/>
                <w:sz w:val="13"/>
                <w:szCs w:val="13"/>
                <w:color w:val="auto"/>
              </w:rPr>
              <w:t>Capital surplus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384,542</w:t>
            </w:r>
          </w:p>
        </w:tc>
        <w:tc>
          <w:tcPr>
            <w:tcW w:w="92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384,542</w:t>
            </w: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ind w:left="60"/>
              <w:spacing w:after="0" w:line="145" w:lineRule="exact"/>
              <w:rPr>
                <w:sz w:val="20"/>
                <w:szCs w:val="20"/>
                <w:color w:val="auto"/>
              </w:rPr>
            </w:pPr>
            <w:r>
              <w:rPr>
                <w:rFonts w:ascii="Arial" w:cs="Arial" w:eastAsia="Arial" w:hAnsi="Arial"/>
                <w:sz w:val="13"/>
                <w:szCs w:val="13"/>
                <w:color w:val="auto"/>
              </w:rPr>
              <w:t>Reserve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28,438,708</w:t>
            </w:r>
          </w:p>
        </w:tc>
        <w:tc>
          <w:tcPr>
            <w:tcW w:w="92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26,651,390</w:t>
            </w: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ind w:left="60"/>
              <w:spacing w:after="0" w:line="145" w:lineRule="exact"/>
              <w:rPr>
                <w:sz w:val="20"/>
                <w:szCs w:val="20"/>
                <w:color w:val="auto"/>
              </w:rPr>
            </w:pPr>
            <w:r>
              <w:rPr>
                <w:rFonts w:ascii="Arial" w:cs="Arial" w:eastAsia="Arial" w:hAnsi="Arial"/>
                <w:sz w:val="13"/>
                <w:szCs w:val="13"/>
                <w:color w:val="auto"/>
              </w:rPr>
              <w:t>Unrealized results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275,191</w:t>
            </w:r>
          </w:p>
        </w:tc>
        <w:tc>
          <w:tcPr>
            <w:tcW w:w="92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35,535</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Retained earnings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11,986,044</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10,205,055</w:t>
            </w: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Total equity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spacing w:after="0"/>
              <w:rPr>
                <w:sz w:val="11"/>
                <w:szCs w:val="11"/>
                <w:color w:val="auto"/>
              </w:rPr>
            </w:pPr>
          </w:p>
        </w:tc>
        <w:tc>
          <w:tcPr>
            <w:tcW w:w="9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42,403,478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38,595,515</w:t>
            </w:r>
          </w:p>
        </w:tc>
        <w:tc>
          <w:tcPr>
            <w:tcW w:w="0" w:type="dxa"/>
            <w:vAlign w:val="bottom"/>
          </w:tcPr>
          <w:p>
            <w:pPr>
              <w:spacing w:after="0"/>
              <w:rPr>
                <w:sz w:val="1"/>
                <w:szCs w:val="1"/>
                <w:color w:val="auto"/>
              </w:rPr>
            </w:pPr>
          </w:p>
        </w:tc>
      </w:tr>
      <w:tr>
        <w:trPr>
          <w:trHeight w:val="137"/>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Total assets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Total liabilities and equity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42,678,084</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40,655,832</w:t>
            </w:r>
          </w:p>
        </w:tc>
        <w:tc>
          <w:tcPr>
            <w:tcW w:w="6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42,678,084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40,655,832</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separated financial statement.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20"/>
                <w:szCs w:val="20"/>
                <w:color w:val="auto"/>
              </w:rPr>
            </w:pPr>
            <w:r>
              <w:rPr>
                <w:rFonts w:ascii="Arial" w:cs="Arial" w:eastAsia="Arial" w:hAnsi="Arial"/>
                <w:sz w:val="16"/>
                <w:szCs w:val="16"/>
                <w:b w:val="1"/>
                <w:bCs w:val="1"/>
                <w:color w:val="auto"/>
              </w:rPr>
              <w:t>CREDICORP LTD.</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1"/>
        </w:trPr>
        <w:tc>
          <w:tcPr>
            <w:tcW w:w="6760" w:type="dxa"/>
            <w:vAlign w:val="bottom"/>
          </w:tcPr>
          <w:p>
            <w:pPr>
              <w:spacing w:after="0"/>
              <w:rPr>
                <w:sz w:val="20"/>
                <w:szCs w:val="20"/>
                <w:color w:val="auto"/>
              </w:rPr>
            </w:pPr>
            <w:r>
              <w:rPr>
                <w:rFonts w:ascii="Arial" w:cs="Arial" w:eastAsia="Arial" w:hAnsi="Arial"/>
                <w:sz w:val="16"/>
                <w:szCs w:val="16"/>
                <w:color w:val="auto"/>
              </w:rPr>
              <w:t>SEPARATE STATEMENT OF INCOME</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6760" w:type="dxa"/>
            <w:vAlign w:val="bottom"/>
          </w:tcPr>
          <w:p>
            <w:pPr>
              <w:spacing w:after="0"/>
              <w:rPr>
                <w:sz w:val="20"/>
                <w:szCs w:val="20"/>
                <w:color w:val="auto"/>
              </w:rPr>
            </w:pPr>
            <w:r>
              <w:rPr>
                <w:rFonts w:ascii="Arial" w:cs="Arial" w:eastAsia="Arial" w:hAnsi="Arial"/>
                <w:sz w:val="16"/>
                <w:szCs w:val="16"/>
                <w:color w:val="auto"/>
              </w:rPr>
              <w:t>FOR THE YEARS ENDED DECEMBER 31, 2025 AND 2024</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6"/>
        </w:trPr>
        <w:tc>
          <w:tcPr>
            <w:tcW w:w="676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6"/>
                <w:szCs w:val="16"/>
                <w:b w:val="1"/>
                <w:bCs w:val="1"/>
                <w:color w:val="auto"/>
              </w:rPr>
              <w:t>Note</w:t>
            </w:r>
          </w:p>
        </w:tc>
        <w:tc>
          <w:tcPr>
            <w:tcW w:w="2040" w:type="dxa"/>
            <w:vAlign w:val="bottom"/>
            <w:gridSpan w:val="2"/>
          </w:tcPr>
          <w:p>
            <w:pPr>
              <w:ind w:left="340"/>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r>
      <w:tr>
        <w:trPr>
          <w:trHeight w:val="214"/>
        </w:trPr>
        <w:tc>
          <w:tcPr>
            <w:tcW w:w="67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676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6760" w:type="dxa"/>
            <w:vAlign w:val="bottom"/>
          </w:tcPr>
          <w:p>
            <w:pPr>
              <w:spacing w:after="0" w:line="181" w:lineRule="exact"/>
              <w:rPr>
                <w:sz w:val="20"/>
                <w:szCs w:val="20"/>
                <w:color w:val="auto"/>
              </w:rPr>
            </w:pPr>
            <w:r>
              <w:rPr>
                <w:rFonts w:ascii="Arial" w:cs="Arial" w:eastAsia="Arial" w:hAnsi="Arial"/>
                <w:sz w:val="16"/>
                <w:szCs w:val="16"/>
                <w:color w:val="auto"/>
              </w:rPr>
              <w:t>Net share of the income from investments in</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760" w:type="dxa"/>
            <w:vAlign w:val="bottom"/>
          </w:tcPr>
          <w:p>
            <w:pPr>
              <w:spacing w:after="0" w:line="181" w:lineRule="exact"/>
              <w:rPr>
                <w:sz w:val="20"/>
                <w:szCs w:val="20"/>
                <w:color w:val="auto"/>
              </w:rPr>
            </w:pPr>
            <w:r>
              <w:rPr>
                <w:rFonts w:ascii="Arial" w:cs="Arial" w:eastAsia="Arial" w:hAnsi="Arial"/>
                <w:sz w:val="16"/>
                <w:szCs w:val="16"/>
                <w:color w:val="auto"/>
              </w:rPr>
              <w:t>subsidiaries</w:t>
            </w:r>
          </w:p>
        </w:tc>
        <w:tc>
          <w:tcPr>
            <w:tcW w:w="660" w:type="dxa"/>
            <w:vAlign w:val="bottom"/>
          </w:tcPr>
          <w:p>
            <w:pPr>
              <w:jc w:val="center"/>
              <w:spacing w:after="0" w:line="181" w:lineRule="exact"/>
              <w:rPr>
                <w:sz w:val="20"/>
                <w:szCs w:val="20"/>
                <w:color w:val="auto"/>
              </w:rPr>
            </w:pPr>
            <w:r>
              <w:rPr>
                <w:rFonts w:ascii="Arial" w:cs="Arial" w:eastAsia="Arial" w:hAnsi="Arial"/>
                <w:sz w:val="16"/>
                <w:szCs w:val="16"/>
                <w:color w:val="auto"/>
              </w:rPr>
              <w:t>5(b)</w:t>
            </w:r>
          </w:p>
        </w:tc>
        <w:tc>
          <w:tcPr>
            <w:tcW w:w="226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7,671,185</w:t>
            </w:r>
          </w:p>
        </w:tc>
        <w:tc>
          <w:tcPr>
            <w:tcW w:w="16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6,313,139</w:t>
            </w:r>
          </w:p>
        </w:tc>
      </w:tr>
      <w:tr>
        <w:trPr>
          <w:trHeight w:val="181"/>
        </w:trPr>
        <w:tc>
          <w:tcPr>
            <w:tcW w:w="6760" w:type="dxa"/>
            <w:vAlign w:val="bottom"/>
          </w:tcPr>
          <w:p>
            <w:pPr>
              <w:spacing w:after="0" w:line="181" w:lineRule="exact"/>
              <w:rPr>
                <w:sz w:val="20"/>
                <w:szCs w:val="20"/>
                <w:color w:val="auto"/>
              </w:rPr>
            </w:pPr>
            <w:r>
              <w:rPr>
                <w:rFonts w:ascii="Arial" w:cs="Arial" w:eastAsia="Arial" w:hAnsi="Arial"/>
                <w:sz w:val="16"/>
                <w:szCs w:val="16"/>
                <w:color w:val="auto"/>
              </w:rPr>
              <w:t>Interest and similar income</w:t>
            </w:r>
          </w:p>
        </w:tc>
        <w:tc>
          <w:tcPr>
            <w:tcW w:w="660" w:type="dxa"/>
            <w:vAlign w:val="bottom"/>
          </w:tcPr>
          <w:p>
            <w:pPr>
              <w:spacing w:after="0"/>
              <w:rPr>
                <w:sz w:val="15"/>
                <w:szCs w:val="15"/>
                <w:color w:val="auto"/>
              </w:rPr>
            </w:pPr>
          </w:p>
        </w:tc>
        <w:tc>
          <w:tcPr>
            <w:tcW w:w="226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41,191</w:t>
            </w:r>
          </w:p>
        </w:tc>
        <w:tc>
          <w:tcPr>
            <w:tcW w:w="16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93,486</w:t>
            </w:r>
          </w:p>
        </w:tc>
      </w:tr>
      <w:tr>
        <w:trPr>
          <w:trHeight w:val="181"/>
        </w:trPr>
        <w:tc>
          <w:tcPr>
            <w:tcW w:w="6760" w:type="dxa"/>
            <w:vAlign w:val="bottom"/>
          </w:tcPr>
          <w:p>
            <w:pPr>
              <w:spacing w:after="0" w:line="181" w:lineRule="exact"/>
              <w:rPr>
                <w:sz w:val="20"/>
                <w:szCs w:val="20"/>
                <w:color w:val="auto"/>
              </w:rPr>
            </w:pPr>
            <w:r>
              <w:rPr>
                <w:rFonts w:ascii="Arial" w:cs="Arial" w:eastAsia="Arial" w:hAnsi="Arial"/>
                <w:sz w:val="16"/>
                <w:szCs w:val="16"/>
                <w:color w:val="auto"/>
              </w:rPr>
              <w:t>Net gain on financial assets at fair value</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4"/>
        </w:trPr>
        <w:tc>
          <w:tcPr>
            <w:tcW w:w="6760" w:type="dxa"/>
            <w:vAlign w:val="bottom"/>
          </w:tcPr>
          <w:p>
            <w:pPr>
              <w:spacing w:after="0"/>
              <w:rPr>
                <w:sz w:val="20"/>
                <w:szCs w:val="20"/>
                <w:color w:val="auto"/>
              </w:rPr>
            </w:pPr>
            <w:r>
              <w:rPr>
                <w:rFonts w:ascii="Arial" w:cs="Arial" w:eastAsia="Arial" w:hAnsi="Arial"/>
                <w:sz w:val="16"/>
                <w:szCs w:val="16"/>
                <w:color w:val="auto"/>
              </w:rPr>
              <w:t>through profit or loss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1,234</w:t>
            </w:r>
          </w:p>
        </w:tc>
      </w:tr>
      <w:tr>
        <w:trPr>
          <w:trHeight w:val="329"/>
        </w:trPr>
        <w:tc>
          <w:tcPr>
            <w:tcW w:w="676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6760" w:type="dxa"/>
            <w:vAlign w:val="bottom"/>
          </w:tcPr>
          <w:p>
            <w:pPr>
              <w:spacing w:after="0"/>
              <w:rPr>
                <w:sz w:val="20"/>
                <w:szCs w:val="20"/>
                <w:color w:val="auto"/>
              </w:rPr>
            </w:pPr>
            <w:r>
              <w:rPr>
                <w:rFonts w:ascii="Arial" w:cs="Arial" w:eastAsia="Arial" w:hAnsi="Arial"/>
                <w:sz w:val="16"/>
                <w:szCs w:val="16"/>
                <w:color w:val="auto"/>
              </w:rPr>
              <w:t>Administrative and general expenses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(18,085)</w:t>
            </w:r>
          </w:p>
        </w:tc>
      </w:tr>
      <w:tr>
        <w:trPr>
          <w:trHeight w:val="378"/>
        </w:trPr>
        <w:tc>
          <w:tcPr>
            <w:tcW w:w="67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660" w:type="dxa"/>
            <w:vAlign w:val="bottom"/>
          </w:tcPr>
          <w:p>
            <w:pPr>
              <w:spacing w:after="0"/>
              <w:rPr>
                <w:sz w:val="24"/>
                <w:szCs w:val="24"/>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6"/>
                <w:szCs w:val="16"/>
                <w:color w:val="auto"/>
              </w:rPr>
              <w:t>7,686,780</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6,389,774</w:t>
            </w:r>
          </w:p>
        </w:tc>
      </w:tr>
      <w:tr>
        <w:trPr>
          <w:trHeight w:val="321"/>
        </w:trPr>
        <w:tc>
          <w:tcPr>
            <w:tcW w:w="6760" w:type="dxa"/>
            <w:vAlign w:val="bottom"/>
          </w:tcPr>
          <w:p>
            <w:pPr>
              <w:spacing w:after="0"/>
              <w:rPr>
                <w:sz w:val="20"/>
                <w:szCs w:val="20"/>
                <w:color w:val="auto"/>
              </w:rPr>
            </w:pPr>
            <w:r>
              <w:rPr>
                <w:rFonts w:ascii="Arial" w:cs="Arial" w:eastAsia="Arial" w:hAnsi="Arial"/>
                <w:sz w:val="16"/>
                <w:szCs w:val="16"/>
                <w:color w:val="auto"/>
              </w:rPr>
              <w:t>Interest and similar expenses</w:t>
            </w:r>
          </w:p>
        </w:tc>
        <w:tc>
          <w:tcPr>
            <w:tcW w:w="660" w:type="dxa"/>
            <w:vAlign w:val="bottom"/>
          </w:tcPr>
          <w:p>
            <w:pPr>
              <w:spacing w:after="0"/>
              <w:rPr>
                <w:sz w:val="24"/>
                <w:szCs w:val="24"/>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6"/>
                <w:szCs w:val="16"/>
                <w:color w:val="auto"/>
              </w:rPr>
              <w:t>(24,511)</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(54,237)</w:t>
            </w:r>
          </w:p>
        </w:tc>
      </w:tr>
      <w:tr>
        <w:trPr>
          <w:trHeight w:val="181"/>
        </w:trPr>
        <w:tc>
          <w:tcPr>
            <w:tcW w:w="6760" w:type="dxa"/>
            <w:vAlign w:val="bottom"/>
          </w:tcPr>
          <w:p>
            <w:pPr>
              <w:spacing w:after="0" w:line="181" w:lineRule="exact"/>
              <w:rPr>
                <w:sz w:val="20"/>
                <w:szCs w:val="20"/>
                <w:color w:val="auto"/>
              </w:rPr>
            </w:pPr>
            <w:r>
              <w:rPr>
                <w:rFonts w:ascii="Arial" w:cs="Arial" w:eastAsia="Arial" w:hAnsi="Arial"/>
                <w:sz w:val="16"/>
                <w:szCs w:val="16"/>
                <w:color w:val="auto"/>
              </w:rPr>
              <w:t>Exchange differences, net</w:t>
            </w:r>
          </w:p>
        </w:tc>
        <w:tc>
          <w:tcPr>
            <w:tcW w:w="660" w:type="dxa"/>
            <w:vAlign w:val="bottom"/>
          </w:tcPr>
          <w:p>
            <w:pPr>
              <w:spacing w:after="0"/>
              <w:rPr>
                <w:sz w:val="15"/>
                <w:szCs w:val="15"/>
                <w:color w:val="auto"/>
              </w:rPr>
            </w:pPr>
          </w:p>
        </w:tc>
        <w:tc>
          <w:tcPr>
            <w:tcW w:w="226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(2,984)</w:t>
            </w:r>
          </w:p>
        </w:tc>
        <w:tc>
          <w:tcPr>
            <w:tcW w:w="16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(2,681)</w:t>
            </w:r>
          </w:p>
        </w:tc>
      </w:tr>
      <w:tr>
        <w:trPr>
          <w:trHeight w:val="198"/>
        </w:trPr>
        <w:tc>
          <w:tcPr>
            <w:tcW w:w="6760" w:type="dxa"/>
            <w:vAlign w:val="bottom"/>
          </w:tcPr>
          <w:p>
            <w:pPr>
              <w:spacing w:after="0"/>
              <w:rPr>
                <w:sz w:val="20"/>
                <w:szCs w:val="20"/>
                <w:color w:val="auto"/>
              </w:rPr>
            </w:pPr>
            <w:r>
              <w:rPr>
                <w:rFonts w:ascii="Arial" w:cs="Arial" w:eastAsia="Arial" w:hAnsi="Arial"/>
                <w:sz w:val="16"/>
                <w:szCs w:val="16"/>
                <w:color w:val="auto"/>
              </w:rPr>
              <w:t>Other, net</w:t>
            </w:r>
          </w:p>
        </w:tc>
        <w:tc>
          <w:tcPr>
            <w:tcW w:w="660" w:type="dxa"/>
            <w:vAlign w:val="bottom"/>
          </w:tcPr>
          <w:p>
            <w:pPr>
              <w:spacing w:after="0"/>
              <w:rPr>
                <w:sz w:val="17"/>
                <w:szCs w:val="17"/>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6"/>
                <w:szCs w:val="16"/>
                <w:color w:val="auto"/>
              </w:rPr>
              <w:t>(320)</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(292)</w:t>
            </w:r>
          </w:p>
        </w:tc>
      </w:tr>
      <w:tr>
        <w:trPr>
          <w:trHeight w:val="173"/>
        </w:trPr>
        <w:tc>
          <w:tcPr>
            <w:tcW w:w="6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(27,815)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(57,210)</w:t>
            </w:r>
          </w:p>
        </w:tc>
      </w:tr>
      <w:tr>
        <w:trPr>
          <w:trHeight w:val="337"/>
        </w:trPr>
        <w:tc>
          <w:tcPr>
            <w:tcW w:w="6760" w:type="dxa"/>
            <w:vAlign w:val="bottom"/>
          </w:tcPr>
          <w:p>
            <w:pPr>
              <w:spacing w:after="0"/>
              <w:rPr>
                <w:sz w:val="20"/>
                <w:szCs w:val="20"/>
                <w:color w:val="auto"/>
              </w:rPr>
            </w:pPr>
            <w:r>
              <w:rPr>
                <w:rFonts w:ascii="Arial" w:cs="Arial" w:eastAsia="Arial" w:hAnsi="Arial"/>
                <w:sz w:val="16"/>
                <w:szCs w:val="16"/>
                <w:b w:val="1"/>
                <w:bCs w:val="1"/>
                <w:color w:val="auto"/>
              </w:rPr>
              <w:t>Profit before income tax</w:t>
            </w:r>
          </w:p>
        </w:tc>
        <w:tc>
          <w:tcPr>
            <w:tcW w:w="660" w:type="dxa"/>
            <w:vAlign w:val="bottom"/>
          </w:tcPr>
          <w:p>
            <w:pPr>
              <w:spacing w:after="0"/>
              <w:rPr>
                <w:sz w:val="24"/>
                <w:szCs w:val="24"/>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6"/>
                <w:szCs w:val="16"/>
                <w:color w:val="auto"/>
              </w:rPr>
              <w:t>7,658,965</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6,332,564</w:t>
            </w:r>
          </w:p>
        </w:tc>
      </w:tr>
      <w:tr>
        <w:trPr>
          <w:trHeight w:val="198"/>
        </w:trPr>
        <w:tc>
          <w:tcPr>
            <w:tcW w:w="6760" w:type="dxa"/>
            <w:vAlign w:val="bottom"/>
          </w:tcPr>
          <w:p>
            <w:pPr>
              <w:spacing w:after="0"/>
              <w:rPr>
                <w:sz w:val="20"/>
                <w:szCs w:val="20"/>
                <w:color w:val="auto"/>
              </w:rPr>
            </w:pPr>
            <w:r>
              <w:rPr>
                <w:rFonts w:ascii="Arial" w:cs="Arial" w:eastAsia="Arial" w:hAnsi="Arial"/>
                <w:sz w:val="16"/>
                <w:szCs w:val="16"/>
                <w:color w:val="auto"/>
              </w:rPr>
              <w:t>Income tax on dividends received</w:t>
            </w:r>
          </w:p>
        </w:tc>
        <w:tc>
          <w:tcPr>
            <w:tcW w:w="660" w:type="dxa"/>
            <w:vAlign w:val="bottom"/>
          </w:tcPr>
          <w:p>
            <w:pPr>
              <w:jc w:val="right"/>
              <w:ind w:right="200"/>
              <w:spacing w:after="0"/>
              <w:rPr>
                <w:sz w:val="20"/>
                <w:szCs w:val="20"/>
                <w:color w:val="auto"/>
              </w:rPr>
            </w:pPr>
            <w:r>
              <w:rPr>
                <w:rFonts w:ascii="Arial" w:cs="Arial" w:eastAsia="Arial" w:hAnsi="Arial"/>
                <w:sz w:val="16"/>
                <w:szCs w:val="16"/>
                <w:color w:val="auto"/>
              </w:rPr>
              <w:t>9</w:t>
            </w:r>
          </w:p>
        </w:tc>
        <w:tc>
          <w:tcPr>
            <w:tcW w:w="2260" w:type="dxa"/>
            <w:vAlign w:val="bottom"/>
            <w:gridSpan w:val="3"/>
          </w:tcPr>
          <w:p>
            <w:pPr>
              <w:jc w:val="right"/>
              <w:ind w:right="220"/>
              <w:spacing w:after="0"/>
              <w:rPr>
                <w:sz w:val="20"/>
                <w:szCs w:val="20"/>
                <w:color w:val="auto"/>
              </w:rPr>
            </w:pPr>
            <w:r>
              <w:rPr>
                <w:rFonts w:ascii="Arial" w:cs="Arial" w:eastAsia="Arial" w:hAnsi="Arial"/>
                <w:sz w:val="16"/>
                <w:szCs w:val="16"/>
                <w:color w:val="auto"/>
              </w:rPr>
              <w:t>(215,852)</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(146,713)</w:t>
            </w:r>
          </w:p>
        </w:tc>
      </w:tr>
      <w:tr>
        <w:trPr>
          <w:trHeight w:val="177"/>
        </w:trPr>
        <w:tc>
          <w:tcPr>
            <w:tcW w:w="6760" w:type="dxa"/>
            <w:vAlign w:val="bottom"/>
          </w:tcPr>
          <w:p>
            <w:pPr>
              <w:spacing w:after="0" w:line="173" w:lineRule="exact"/>
              <w:rPr>
                <w:sz w:val="20"/>
                <w:szCs w:val="20"/>
                <w:color w:val="auto"/>
              </w:rPr>
            </w:pPr>
            <w:r>
              <w:rPr>
                <w:rFonts w:ascii="Arial" w:cs="Arial" w:eastAsia="Arial" w:hAnsi="Arial"/>
                <w:sz w:val="16"/>
                <w:szCs w:val="16"/>
                <w:b w:val="1"/>
                <w:bCs w:val="1"/>
                <w:color w:val="auto"/>
              </w:rPr>
              <w:t>Net profit</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7,443,113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6,185,851</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separated financial statement.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22"/>
        </w:trPr>
        <w:tc>
          <w:tcPr>
            <w:tcW w:w="6420" w:type="dxa"/>
            <w:vAlign w:val="bottom"/>
          </w:tcPr>
          <w:p>
            <w:pPr>
              <w:spacing w:after="0"/>
              <w:rPr>
                <w:sz w:val="20"/>
                <w:szCs w:val="20"/>
                <w:color w:val="auto"/>
              </w:rPr>
            </w:pPr>
            <w:r>
              <w:rPr>
                <w:rFonts w:ascii="Arial" w:cs="Arial" w:eastAsia="Arial" w:hAnsi="Arial"/>
                <w:sz w:val="16"/>
                <w:szCs w:val="16"/>
                <w:b w:val="1"/>
                <w:bCs w:val="1"/>
                <w:color w:val="auto"/>
              </w:rPr>
              <w:t>CREDICORP LTD.</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6420" w:type="dxa"/>
            <w:vAlign w:val="bottom"/>
          </w:tcPr>
          <w:p>
            <w:pPr>
              <w:spacing w:after="0"/>
              <w:rPr>
                <w:sz w:val="20"/>
                <w:szCs w:val="20"/>
                <w:color w:val="auto"/>
              </w:rPr>
            </w:pPr>
            <w:r>
              <w:rPr>
                <w:rFonts w:ascii="Arial" w:cs="Arial" w:eastAsia="Arial" w:hAnsi="Arial"/>
                <w:sz w:val="16"/>
                <w:szCs w:val="16"/>
                <w:color w:val="auto"/>
              </w:rPr>
              <w:t>SEPARATE STATEMENT OF COMPREHENSIVE INCOME</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420" w:type="dxa"/>
            <w:vAlign w:val="bottom"/>
          </w:tcPr>
          <w:p>
            <w:pPr>
              <w:spacing w:after="0"/>
              <w:rPr>
                <w:sz w:val="20"/>
                <w:szCs w:val="20"/>
                <w:color w:val="auto"/>
              </w:rPr>
            </w:pPr>
            <w:r>
              <w:rPr>
                <w:rFonts w:ascii="Arial" w:cs="Arial" w:eastAsia="Arial" w:hAnsi="Arial"/>
                <w:sz w:val="16"/>
                <w:szCs w:val="16"/>
                <w:color w:val="auto"/>
              </w:rPr>
              <w:t>FOR THE YEARS ENDED DECEMBER 31, 2025 AND 2024</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64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Note</w:t>
            </w:r>
          </w:p>
        </w:tc>
        <w:tc>
          <w:tcPr>
            <w:tcW w:w="2360" w:type="dxa"/>
            <w:vAlign w:val="bottom"/>
            <w:gridSpan w:val="2"/>
          </w:tcPr>
          <w:p>
            <w:pPr>
              <w:ind w:left="680"/>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6420" w:type="dxa"/>
            <w:vAlign w:val="bottom"/>
          </w:tcPr>
          <w:p>
            <w:pPr>
              <w:spacing w:after="0"/>
              <w:rPr>
                <w:sz w:val="20"/>
                <w:szCs w:val="20"/>
                <w:color w:val="auto"/>
              </w:rPr>
            </w:pPr>
            <w:r>
              <w:rPr>
                <w:rFonts w:ascii="Arial" w:cs="Arial" w:eastAsia="Arial" w:hAnsi="Arial"/>
                <w:sz w:val="16"/>
                <w:szCs w:val="16"/>
                <w:b w:val="1"/>
                <w:bCs w:val="1"/>
                <w:color w:val="auto"/>
              </w:rPr>
              <w:t>Net profit</w:t>
            </w:r>
          </w:p>
        </w:tc>
        <w:tc>
          <w:tcPr>
            <w:tcW w:w="680" w:type="dxa"/>
            <w:vAlign w:val="bottom"/>
          </w:tcPr>
          <w:p>
            <w:pPr>
              <w:spacing w:after="0"/>
              <w:rPr>
                <w:sz w:val="24"/>
                <w:szCs w:val="24"/>
                <w:color w:val="auto"/>
              </w:rPr>
            </w:pPr>
          </w:p>
        </w:tc>
        <w:tc>
          <w:tcPr>
            <w:tcW w:w="2580" w:type="dxa"/>
            <w:vAlign w:val="bottom"/>
            <w:gridSpan w:val="3"/>
          </w:tcPr>
          <w:p>
            <w:pPr>
              <w:jc w:val="right"/>
              <w:ind w:right="220"/>
              <w:spacing w:after="0"/>
              <w:rPr>
                <w:sz w:val="20"/>
                <w:szCs w:val="20"/>
                <w:color w:val="auto"/>
              </w:rPr>
            </w:pPr>
            <w:r>
              <w:rPr>
                <w:rFonts w:ascii="Arial" w:cs="Arial" w:eastAsia="Arial" w:hAnsi="Arial"/>
                <w:sz w:val="16"/>
                <w:szCs w:val="16"/>
                <w:color w:val="auto"/>
              </w:rPr>
              <w:t>7,443,113</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6,185,851</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6420" w:type="dxa"/>
            <w:vAlign w:val="bottom"/>
          </w:tcPr>
          <w:p>
            <w:pPr>
              <w:spacing w:after="0"/>
              <w:rPr>
                <w:sz w:val="20"/>
                <w:szCs w:val="20"/>
                <w:color w:val="auto"/>
              </w:rPr>
            </w:pPr>
            <w:r>
              <w:rPr>
                <w:rFonts w:ascii="Arial" w:cs="Arial" w:eastAsia="Arial" w:hAnsi="Arial"/>
                <w:sz w:val="16"/>
                <w:szCs w:val="16"/>
                <w:color w:val="auto"/>
              </w:rPr>
              <w:t>Net gain on investments at fair value</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420" w:type="dxa"/>
            <w:vAlign w:val="bottom"/>
          </w:tcPr>
          <w:p>
            <w:pPr>
              <w:spacing w:after="0" w:line="181" w:lineRule="exact"/>
              <w:rPr>
                <w:sz w:val="20"/>
                <w:szCs w:val="20"/>
                <w:color w:val="auto"/>
              </w:rPr>
            </w:pPr>
            <w:r>
              <w:rPr>
                <w:rFonts w:ascii="Arial" w:cs="Arial" w:eastAsia="Arial" w:hAnsi="Arial"/>
                <w:sz w:val="16"/>
                <w:szCs w:val="16"/>
                <w:color w:val="auto"/>
              </w:rPr>
              <w:t>through other comprehensive income</w:t>
            </w:r>
          </w:p>
        </w:tc>
        <w:tc>
          <w:tcPr>
            <w:tcW w:w="680" w:type="dxa"/>
            <w:vAlign w:val="bottom"/>
          </w:tcPr>
          <w:p>
            <w:pPr>
              <w:spacing w:after="0"/>
              <w:rPr>
                <w:sz w:val="15"/>
                <w:szCs w:val="15"/>
                <w:color w:val="auto"/>
              </w:rPr>
            </w:pPr>
          </w:p>
        </w:tc>
        <w:tc>
          <w:tcPr>
            <w:tcW w:w="2580" w:type="dxa"/>
            <w:vAlign w:val="bottom"/>
            <w:gridSpan w:val="3"/>
          </w:tcPr>
          <w:p>
            <w:pPr>
              <w:jc w:val="right"/>
              <w:ind w:right="220"/>
              <w:spacing w:after="0" w:line="181" w:lineRule="exact"/>
              <w:rPr>
                <w:sz w:val="20"/>
                <w:szCs w:val="20"/>
                <w:color w:val="auto"/>
              </w:rPr>
            </w:pPr>
            <w:r>
              <w:rPr>
                <w:rFonts w:ascii="Arial" w:cs="Arial" w:eastAsia="Arial" w:hAnsi="Arial"/>
                <w:sz w:val="16"/>
                <w:szCs w:val="16"/>
                <w:color w:val="auto"/>
              </w:rPr>
              <w:t>(26,948)</w:t>
            </w:r>
          </w:p>
        </w:tc>
        <w:tc>
          <w:tcPr>
            <w:tcW w:w="16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(116,059)</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Arial" w:cs="Arial" w:eastAsia="Arial" w:hAnsi="Arial"/>
                <w:sz w:val="16"/>
                <w:szCs w:val="16"/>
                <w:color w:val="auto"/>
              </w:rPr>
              <w:t>Income tax</w:t>
            </w:r>
          </w:p>
        </w:tc>
        <w:tc>
          <w:tcPr>
            <w:tcW w:w="680" w:type="dxa"/>
            <w:vAlign w:val="bottom"/>
          </w:tcPr>
          <w:p>
            <w:pPr>
              <w:spacing w:after="0"/>
              <w:rPr>
                <w:sz w:val="17"/>
                <w:szCs w:val="17"/>
                <w:color w:val="auto"/>
              </w:rPr>
            </w:pPr>
          </w:p>
        </w:tc>
        <w:tc>
          <w:tcPr>
            <w:tcW w:w="2580" w:type="dxa"/>
            <w:vAlign w:val="bottom"/>
            <w:gridSpan w:val="3"/>
          </w:tcPr>
          <w:p>
            <w:pPr>
              <w:jc w:val="right"/>
              <w:ind w:right="220"/>
              <w:spacing w:after="0"/>
              <w:rPr>
                <w:sz w:val="20"/>
                <w:szCs w:val="20"/>
                <w:color w:val="auto"/>
              </w:rPr>
            </w:pPr>
            <w:r>
              <w:rPr>
                <w:rFonts w:ascii="Arial" w:cs="Arial" w:eastAsia="Arial" w:hAnsi="Arial"/>
                <w:sz w:val="16"/>
                <w:szCs w:val="16"/>
                <w:color w:val="auto"/>
              </w:rPr>
              <w:t>1,211</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206"/>
        </w:trPr>
        <w:tc>
          <w:tcPr>
            <w:tcW w:w="6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(25,737)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(110,168)</w:t>
            </w:r>
          </w:p>
        </w:tc>
        <w:tc>
          <w:tcPr>
            <w:tcW w:w="0" w:type="dxa"/>
            <w:vAlign w:val="bottom"/>
          </w:tcPr>
          <w:p>
            <w:pPr>
              <w:spacing w:after="0"/>
              <w:rPr>
                <w:sz w:val="1"/>
                <w:szCs w:val="1"/>
                <w:color w:val="auto"/>
              </w:rPr>
            </w:pPr>
          </w:p>
        </w:tc>
      </w:tr>
      <w:tr>
        <w:trPr>
          <w:trHeight w:val="329"/>
        </w:trPr>
        <w:tc>
          <w:tcPr>
            <w:tcW w:w="6420" w:type="dxa"/>
            <w:vAlign w:val="bottom"/>
          </w:tcPr>
          <w:p>
            <w:pPr>
              <w:spacing w:after="0"/>
              <w:rPr>
                <w:sz w:val="20"/>
                <w:szCs w:val="20"/>
                <w:color w:val="auto"/>
              </w:rPr>
            </w:pPr>
            <w:r>
              <w:rPr>
                <w:rFonts w:ascii="Arial" w:cs="Arial" w:eastAsia="Arial" w:hAnsi="Arial"/>
                <w:sz w:val="16"/>
                <w:szCs w:val="16"/>
                <w:color w:val="auto"/>
              </w:rPr>
              <w:t>Unrealized gain of subsidiaries</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5(b)</w:t>
            </w:r>
          </w:p>
        </w:tc>
        <w:tc>
          <w:tcPr>
            <w:tcW w:w="2580" w:type="dxa"/>
            <w:vAlign w:val="bottom"/>
            <w:gridSpan w:val="3"/>
          </w:tcPr>
          <w:p>
            <w:pPr>
              <w:jc w:val="right"/>
              <w:ind w:right="220"/>
              <w:spacing w:after="0"/>
              <w:rPr>
                <w:sz w:val="20"/>
                <w:szCs w:val="20"/>
                <w:color w:val="auto"/>
              </w:rPr>
            </w:pPr>
            <w:r>
              <w:rPr>
                <w:rFonts w:ascii="Arial" w:cs="Arial" w:eastAsia="Arial" w:hAnsi="Arial"/>
                <w:sz w:val="16"/>
                <w:szCs w:val="16"/>
                <w:color w:val="auto"/>
              </w:rPr>
              <w:t>432,227</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58,174</w:t>
            </w:r>
          </w:p>
        </w:tc>
        <w:tc>
          <w:tcPr>
            <w:tcW w:w="0" w:type="dxa"/>
            <w:vAlign w:val="bottom"/>
          </w:tcPr>
          <w:p>
            <w:pPr>
              <w:spacing w:after="0"/>
              <w:rPr>
                <w:sz w:val="1"/>
                <w:szCs w:val="1"/>
                <w:color w:val="auto"/>
              </w:rPr>
            </w:pPr>
          </w:p>
        </w:tc>
      </w:tr>
      <w:tr>
        <w:trPr>
          <w:trHeight w:val="206"/>
        </w:trPr>
        <w:tc>
          <w:tcPr>
            <w:tcW w:w="6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432,227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58,174</w:t>
            </w:r>
          </w:p>
        </w:tc>
        <w:tc>
          <w:tcPr>
            <w:tcW w:w="0" w:type="dxa"/>
            <w:vAlign w:val="bottom"/>
          </w:tcPr>
          <w:p>
            <w:pPr>
              <w:spacing w:after="0"/>
              <w:rPr>
                <w:sz w:val="1"/>
                <w:szCs w:val="1"/>
                <w:color w:val="auto"/>
              </w:rPr>
            </w:pPr>
          </w:p>
        </w:tc>
      </w:tr>
      <w:tr>
        <w:trPr>
          <w:trHeight w:val="313"/>
        </w:trPr>
        <w:tc>
          <w:tcPr>
            <w:tcW w:w="6420" w:type="dxa"/>
            <w:vAlign w:val="bottom"/>
          </w:tcPr>
          <w:p>
            <w:pPr>
              <w:spacing w:after="0"/>
              <w:rPr>
                <w:sz w:val="20"/>
                <w:szCs w:val="20"/>
                <w:color w:val="auto"/>
              </w:rPr>
            </w:pPr>
            <w:r>
              <w:rPr>
                <w:rFonts w:ascii="Arial" w:cs="Arial" w:eastAsia="Arial" w:hAnsi="Arial"/>
                <w:sz w:val="16"/>
                <w:szCs w:val="16"/>
                <w:color w:val="auto"/>
              </w:rPr>
              <w:t>Exchange differences on translation of</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rPr>
                <w:sz w:val="20"/>
                <w:szCs w:val="20"/>
                <w:color w:val="auto"/>
              </w:rPr>
            </w:pPr>
            <w:r>
              <w:rPr>
                <w:rFonts w:ascii="Arial" w:cs="Arial" w:eastAsia="Arial" w:hAnsi="Arial"/>
                <w:sz w:val="16"/>
                <w:szCs w:val="16"/>
                <w:color w:val="auto"/>
              </w:rPr>
              <w:t>foreign operations</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5(b)</w:t>
            </w:r>
          </w:p>
        </w:tc>
        <w:tc>
          <w:tcPr>
            <w:tcW w:w="2580" w:type="dxa"/>
            <w:vAlign w:val="bottom"/>
            <w:gridSpan w:val="3"/>
          </w:tcPr>
          <w:p>
            <w:pPr>
              <w:jc w:val="right"/>
              <w:ind w:right="220"/>
              <w:spacing w:after="0"/>
              <w:rPr>
                <w:sz w:val="20"/>
                <w:szCs w:val="20"/>
                <w:color w:val="auto"/>
              </w:rPr>
            </w:pPr>
            <w:r>
              <w:rPr>
                <w:rFonts w:ascii="Arial" w:cs="Arial" w:eastAsia="Arial" w:hAnsi="Arial"/>
                <w:sz w:val="16"/>
                <w:szCs w:val="16"/>
                <w:color w:val="auto"/>
              </w:rPr>
              <w:t>(166,834)</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19,473</w:t>
            </w:r>
          </w:p>
        </w:tc>
        <w:tc>
          <w:tcPr>
            <w:tcW w:w="0" w:type="dxa"/>
            <w:vAlign w:val="bottom"/>
          </w:tcPr>
          <w:p>
            <w:pPr>
              <w:spacing w:after="0"/>
              <w:rPr>
                <w:sz w:val="1"/>
                <w:szCs w:val="1"/>
                <w:color w:val="auto"/>
              </w:rPr>
            </w:pPr>
          </w:p>
        </w:tc>
      </w:tr>
      <w:tr>
        <w:trPr>
          <w:trHeight w:val="206"/>
        </w:trPr>
        <w:tc>
          <w:tcPr>
            <w:tcW w:w="6420" w:type="dxa"/>
            <w:vAlign w:val="bottom"/>
            <w:vMerge w:val="restart"/>
          </w:tcPr>
          <w:p>
            <w:pPr>
              <w:spacing w:after="0"/>
              <w:rPr>
                <w:sz w:val="20"/>
                <w:szCs w:val="20"/>
                <w:color w:val="auto"/>
              </w:rPr>
            </w:pPr>
            <w:r>
              <w:rPr>
                <w:rFonts w:ascii="Arial" w:cs="Arial" w:eastAsia="Arial" w:hAnsi="Arial"/>
                <w:sz w:val="16"/>
                <w:szCs w:val="16"/>
                <w:b w:val="1"/>
                <w:bCs w:val="1"/>
                <w:color w:val="auto"/>
              </w:rPr>
              <w:t>Other comprehensive income for the year,</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(166,834)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19,473</w:t>
            </w: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20" w:type="dxa"/>
            <w:vAlign w:val="bottom"/>
          </w:tcPr>
          <w:p>
            <w:pPr>
              <w:spacing w:after="0" w:line="173" w:lineRule="exact"/>
              <w:rPr>
                <w:sz w:val="20"/>
                <w:szCs w:val="20"/>
                <w:color w:val="auto"/>
              </w:rPr>
            </w:pPr>
            <w:r>
              <w:rPr>
                <w:rFonts w:ascii="Arial" w:cs="Arial" w:eastAsia="Arial" w:hAnsi="Arial"/>
                <w:sz w:val="16"/>
                <w:szCs w:val="16"/>
                <w:b w:val="1"/>
                <w:bCs w:val="1"/>
                <w:color w:val="auto"/>
              </w:rPr>
              <w:t>net of income tax</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239,656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(32,521)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6420" w:type="dxa"/>
            <w:vAlign w:val="bottom"/>
          </w:tcPr>
          <w:p>
            <w:pPr>
              <w:spacing w:after="0"/>
              <w:rPr>
                <w:sz w:val="20"/>
                <w:szCs w:val="20"/>
                <w:color w:val="auto"/>
              </w:rPr>
            </w:pPr>
            <w:r>
              <w:rPr>
                <w:rFonts w:ascii="Arial" w:cs="Arial" w:eastAsia="Arial" w:hAnsi="Arial"/>
                <w:sz w:val="16"/>
                <w:szCs w:val="16"/>
                <w:b w:val="1"/>
                <w:bCs w:val="1"/>
                <w:color w:val="auto"/>
              </w:rPr>
              <w:t>Net income from comprehensive income</w:t>
            </w:r>
          </w:p>
        </w:tc>
        <w:tc>
          <w:tcPr>
            <w:tcW w:w="680" w:type="dxa"/>
            <w:vAlign w:val="bottom"/>
          </w:tcPr>
          <w:p>
            <w:pPr>
              <w:spacing w:after="0"/>
              <w:rPr>
                <w:sz w:val="24"/>
                <w:szCs w:val="24"/>
                <w:color w:val="auto"/>
              </w:rPr>
            </w:pPr>
          </w:p>
        </w:tc>
        <w:tc>
          <w:tcPr>
            <w:tcW w:w="2580" w:type="dxa"/>
            <w:vAlign w:val="bottom"/>
            <w:gridSpan w:val="3"/>
          </w:tcPr>
          <w:p>
            <w:pPr>
              <w:jc w:val="right"/>
              <w:ind w:right="220"/>
              <w:spacing w:after="0"/>
              <w:rPr>
                <w:sz w:val="20"/>
                <w:szCs w:val="20"/>
                <w:color w:val="auto"/>
              </w:rPr>
            </w:pPr>
            <w:r>
              <w:rPr>
                <w:rFonts w:ascii="Arial" w:cs="Arial" w:eastAsia="Arial" w:hAnsi="Arial"/>
                <w:sz w:val="16"/>
                <w:szCs w:val="16"/>
                <w:color w:val="auto"/>
              </w:rPr>
              <w:t>7,682,769</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6,153,330</w:t>
            </w:r>
          </w:p>
        </w:tc>
        <w:tc>
          <w:tcPr>
            <w:tcW w:w="0" w:type="dxa"/>
            <w:vAlign w:val="bottom"/>
          </w:tcPr>
          <w:p>
            <w:pPr>
              <w:spacing w:after="0"/>
              <w:rPr>
                <w:sz w:val="1"/>
                <w:szCs w:val="1"/>
                <w:color w:val="auto"/>
              </w:rPr>
            </w:pPr>
          </w:p>
        </w:tc>
      </w:tr>
      <w:tr>
        <w:trPr>
          <w:trHeight w:val="378"/>
        </w:trPr>
        <w:tc>
          <w:tcPr>
            <w:tcW w:w="6420" w:type="dxa"/>
            <w:vAlign w:val="bottom"/>
          </w:tcPr>
          <w:p>
            <w:pPr>
              <w:spacing w:after="0"/>
              <w:rPr>
                <w:sz w:val="20"/>
                <w:szCs w:val="20"/>
                <w:color w:val="auto"/>
              </w:rPr>
            </w:pPr>
            <w:r>
              <w:rPr>
                <w:rFonts w:ascii="Arial" w:cs="Arial" w:eastAsia="Arial" w:hAnsi="Arial"/>
                <w:sz w:val="16"/>
                <w:szCs w:val="16"/>
                <w:color w:val="auto"/>
              </w:rPr>
              <w:t>The accompanying notes are an integral part of these separate financial statement.</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420" w:type="dxa"/>
            <w:vAlign w:val="bottom"/>
          </w:tcPr>
          <w:p>
            <w:pPr>
              <w:ind w:left="5480"/>
              <w:spacing w:after="0"/>
              <w:rPr>
                <w:sz w:val="20"/>
                <w:szCs w:val="20"/>
                <w:color w:val="auto"/>
              </w:rPr>
            </w:pPr>
            <w:r>
              <w:rPr>
                <w:rFonts w:ascii="Arial" w:cs="Arial" w:eastAsia="Arial" w:hAnsi="Arial"/>
                <w:sz w:val="16"/>
                <w:szCs w:val="16"/>
                <w:color w:val="auto"/>
              </w:rPr>
              <w:t>- 7 -</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4" w:right="31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b w:val="1"/>
          <w:bCs w:val="1"/>
          <w:color w:val="auto"/>
        </w:rPr>
        <w:t>CREDICORP LTD.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SEPARATE STATEMENT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AND 2024</w:t>
      </w:r>
    </w:p>
    <w:p>
      <w:pPr>
        <w:spacing w:after="0" w:line="166" w:lineRule="exact"/>
        <w:rPr>
          <w:sz w:val="20"/>
          <w:szCs w:val="20"/>
          <w:color w:val="auto"/>
        </w:rPr>
      </w:pPr>
    </w:p>
    <w:tbl>
      <w:tblPr>
        <w:tblLayout w:type="fixed"/>
        <w:tblInd w:w="3940" w:type="dxa"/>
        <w:tblCellMar>
          <w:top w:w="0" w:type="dxa"/>
          <w:left w:w="0" w:type="dxa"/>
          <w:bottom w:w="0" w:type="dxa"/>
          <w:right w:w="0" w:type="dxa"/>
        </w:tblCellMar>
      </w:tblPr>
      <w:tr>
        <w:trPr>
          <w:trHeight w:val="149"/>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Number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5"/>
        </w:trPr>
        <w:tc>
          <w:tcPr>
            <w:tcW w:w="11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shares</w:t>
            </w:r>
          </w:p>
        </w:tc>
        <w:tc>
          <w:tcPr>
            <w:tcW w:w="9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Capital</w:t>
            </w:r>
          </w:p>
        </w:tc>
        <w:tc>
          <w:tcPr>
            <w:tcW w:w="1000" w:type="dxa"/>
            <w:vAlign w:val="bottom"/>
          </w:tcPr>
          <w:p>
            <w:pPr>
              <w:spacing w:after="0" w:line="145" w:lineRule="exact"/>
              <w:rPr>
                <w:sz w:val="20"/>
                <w:szCs w:val="20"/>
                <w:color w:val="auto"/>
              </w:rPr>
            </w:pPr>
            <w:r>
              <w:rPr>
                <w:rFonts w:ascii="Arial" w:cs="Arial" w:eastAsia="Arial" w:hAnsi="Arial"/>
                <w:sz w:val="13"/>
                <w:szCs w:val="13"/>
                <w:b w:val="1"/>
                <w:bCs w:val="1"/>
                <w:color w:val="auto"/>
              </w:rPr>
              <w:t>Capital</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Unrealized</w:t>
            </w:r>
          </w:p>
        </w:tc>
        <w:tc>
          <w:tcPr>
            <w:tcW w:w="10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Retained</w:t>
            </w:r>
          </w:p>
        </w:tc>
        <w:tc>
          <w:tcPr>
            <w:tcW w:w="900" w:type="dxa"/>
            <w:vAlign w:val="bottom"/>
          </w:tcPr>
          <w:p>
            <w:pPr>
              <w:spacing w:after="0"/>
              <w:rPr>
                <w:sz w:val="12"/>
                <w:szCs w:val="12"/>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outstanding</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stock</w:t>
            </w:r>
          </w:p>
        </w:tc>
        <w:tc>
          <w:tcPr>
            <w:tcW w:w="1000" w:type="dxa"/>
            <w:vAlign w:val="bottom"/>
          </w:tcPr>
          <w:p>
            <w:pPr>
              <w:spacing w:after="0"/>
              <w:rPr>
                <w:sz w:val="20"/>
                <w:szCs w:val="20"/>
                <w:color w:val="auto"/>
              </w:rPr>
            </w:pPr>
            <w:r>
              <w:rPr>
                <w:rFonts w:ascii="Arial" w:cs="Arial" w:eastAsia="Arial" w:hAnsi="Arial"/>
                <w:sz w:val="13"/>
                <w:szCs w:val="13"/>
                <w:b w:val="1"/>
                <w:bCs w:val="1"/>
                <w:color w:val="auto"/>
              </w:rPr>
              <w:t>surplus</w:t>
            </w:r>
          </w:p>
        </w:tc>
        <w:tc>
          <w:tcPr>
            <w:tcW w:w="1240" w:type="dxa"/>
            <w:vAlign w:val="bottom"/>
            <w:gridSpan w:val="3"/>
          </w:tcPr>
          <w:p>
            <w:pPr>
              <w:ind w:left="240"/>
              <w:spacing w:after="0"/>
              <w:rPr>
                <w:sz w:val="20"/>
                <w:szCs w:val="20"/>
                <w:color w:val="auto"/>
              </w:rPr>
            </w:pPr>
            <w:r>
              <w:rPr>
                <w:rFonts w:ascii="Arial" w:cs="Arial" w:eastAsia="Arial" w:hAnsi="Arial"/>
                <w:sz w:val="13"/>
                <w:szCs w:val="13"/>
                <w:b w:val="1"/>
                <w:bCs w:val="1"/>
                <w:color w:val="auto"/>
              </w:rPr>
              <w:t>Reserves</w:t>
            </w:r>
          </w:p>
        </w:tc>
        <w:tc>
          <w:tcPr>
            <w:tcW w:w="1120" w:type="dxa"/>
            <w:vAlign w:val="bottom"/>
            <w:gridSpan w:val="2"/>
          </w:tcPr>
          <w:p>
            <w:pPr>
              <w:spacing w:after="0"/>
              <w:rPr>
                <w:sz w:val="20"/>
                <w:szCs w:val="20"/>
                <w:color w:val="auto"/>
              </w:rPr>
            </w:pPr>
            <w:r>
              <w:rPr>
                <w:rFonts w:ascii="Arial" w:cs="Arial" w:eastAsia="Arial" w:hAnsi="Arial"/>
                <w:sz w:val="13"/>
                <w:szCs w:val="13"/>
                <w:b w:val="1"/>
                <w:bCs w:val="1"/>
                <w:color w:val="auto"/>
              </w:rPr>
              <w:t>results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900" w:type="dxa"/>
            <w:vAlign w:val="bottom"/>
          </w:tcPr>
          <w:p>
            <w:pPr>
              <w:spacing w:after="0"/>
              <w:rPr>
                <w:sz w:val="20"/>
                <w:szCs w:val="20"/>
                <w:color w:val="auto"/>
              </w:rPr>
            </w:pPr>
            <w:r>
              <w:rPr>
                <w:rFonts w:ascii="Arial" w:cs="Arial" w:eastAsia="Arial" w:hAnsi="Arial"/>
                <w:sz w:val="13"/>
                <w:szCs w:val="13"/>
                <w:b w:val="1"/>
                <w:bCs w:val="1"/>
                <w:color w:val="auto"/>
              </w:rPr>
              <w:t>Total</w:t>
            </w:r>
          </w:p>
        </w:tc>
      </w:tr>
      <w:tr>
        <w:trPr>
          <w:trHeight w:val="168"/>
        </w:trPr>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20"/>
                <w:szCs w:val="20"/>
                <w:color w:val="auto"/>
              </w:rPr>
            </w:pPr>
            <w:r>
              <w:rPr>
                <w:rFonts w:ascii="Arial" w:cs="Arial" w:eastAsia="Arial" w:hAnsi="Arial"/>
                <w:sz w:val="13"/>
                <w:szCs w:val="13"/>
                <w:b w:val="1"/>
                <w:bCs w:val="1"/>
                <w:color w:val="auto"/>
              </w:rPr>
              <w:t>Balances at January 1, 2024</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94,382,317</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1,318,993</w:t>
            </w:r>
          </w:p>
        </w:tc>
        <w:tc>
          <w:tcPr>
            <w:tcW w:w="1000" w:type="dxa"/>
            <w:vAlign w:val="bottom"/>
          </w:tcPr>
          <w:p>
            <w:pPr>
              <w:jc w:val="right"/>
              <w:spacing w:after="0"/>
              <w:rPr>
                <w:sz w:val="20"/>
                <w:szCs w:val="20"/>
                <w:color w:val="auto"/>
              </w:rPr>
            </w:pPr>
            <w:r>
              <w:rPr>
                <w:rFonts w:ascii="Arial" w:cs="Arial" w:eastAsia="Arial" w:hAnsi="Arial"/>
                <w:sz w:val="13"/>
                <w:szCs w:val="13"/>
                <w:color w:val="auto"/>
              </w:rPr>
              <w:t>384,542</w:t>
            </w: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25,905,526</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68,056</w:t>
            </w:r>
          </w:p>
        </w:tc>
        <w:tc>
          <w:tcPr>
            <w:tcW w:w="900" w:type="dxa"/>
            <w:vAlign w:val="bottom"/>
          </w:tcPr>
          <w:p>
            <w:pPr>
              <w:jc w:val="right"/>
              <w:spacing w:after="0"/>
              <w:rPr>
                <w:sz w:val="20"/>
                <w:szCs w:val="20"/>
                <w:color w:val="auto"/>
              </w:rPr>
            </w:pPr>
            <w:r>
              <w:rPr>
                <w:rFonts w:ascii="Arial" w:cs="Arial" w:eastAsia="Arial" w:hAnsi="Arial"/>
                <w:sz w:val="13"/>
                <w:szCs w:val="13"/>
                <w:color w:val="auto"/>
              </w:rPr>
              <w:t>9,004,185</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36,681,302</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Net profit</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6,185,851</w:t>
            </w:r>
          </w:p>
        </w:tc>
        <w:tc>
          <w:tcPr>
            <w:tcW w:w="10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6,185,851</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Disposal of investments measured at fair value with changes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recognized in other comprehensive income (OCI)</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(89,814)</w:t>
            </w: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89,814</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r>
      <w:tr>
        <w:trPr>
          <w:trHeight w:val="153"/>
        </w:trPr>
        <w:tc>
          <w:tcPr>
            <w:tcW w:w="39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57,293</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57,293</w:t>
            </w:r>
          </w:p>
        </w:tc>
      </w:tr>
      <w:tr>
        <w:trPr>
          <w:trHeight w:val="129"/>
        </w:trPr>
        <w:tc>
          <w:tcPr>
            <w:tcW w:w="3940" w:type="dxa"/>
            <w:vAlign w:val="bottom"/>
          </w:tcPr>
          <w:p>
            <w:pPr>
              <w:spacing w:after="0" w:line="129" w:lineRule="exact"/>
              <w:rPr>
                <w:sz w:val="20"/>
                <w:szCs w:val="20"/>
                <w:color w:val="auto"/>
              </w:rPr>
            </w:pPr>
            <w:r>
              <w:rPr>
                <w:rFonts w:ascii="Arial" w:cs="Arial" w:eastAsia="Arial" w:hAnsi="Arial"/>
                <w:sz w:val="13"/>
                <w:szCs w:val="13"/>
                <w:color w:val="auto"/>
              </w:rPr>
              <w:t>Total comprehensive income</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(32,521)</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6,275,665</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6,243,144</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Dividend distribution, Note 8(c)</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(1,038,204)</w:t>
            </w:r>
          </w:p>
        </w:tc>
        <w:tc>
          <w:tcPr>
            <w:tcW w:w="11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(3,303,381)</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(4,341,585)</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Transfer to legal reserve, Note 8(b)</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1,778,788</w:t>
            </w:r>
          </w:p>
        </w:tc>
        <w:tc>
          <w:tcPr>
            <w:tcW w:w="11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(1,778,788)</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r>
      <w:tr>
        <w:trPr>
          <w:trHeight w:val="153"/>
        </w:trPr>
        <w:tc>
          <w:tcPr>
            <w:tcW w:w="3940" w:type="dxa"/>
            <w:vAlign w:val="bottom"/>
          </w:tcPr>
          <w:p>
            <w:pPr>
              <w:spacing w:after="0"/>
              <w:rPr>
                <w:sz w:val="20"/>
                <w:szCs w:val="20"/>
                <w:color w:val="auto"/>
              </w:rPr>
            </w:pPr>
            <w:r>
              <w:rPr>
                <w:rFonts w:ascii="Arial" w:cs="Arial" w:eastAsia="Arial" w:hAnsi="Arial"/>
                <w:sz w:val="13"/>
                <w:szCs w:val="13"/>
                <w:color w:val="auto"/>
              </w:rPr>
              <w:t>Others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5,280</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7,374</w:t>
            </w:r>
          </w:p>
        </w:tc>
        <w:tc>
          <w:tcPr>
            <w:tcW w:w="900" w:type="dxa"/>
            <w:vAlign w:val="bottom"/>
          </w:tcPr>
          <w:p>
            <w:pPr>
              <w:jc w:val="right"/>
              <w:spacing w:after="0"/>
              <w:rPr>
                <w:sz w:val="20"/>
                <w:szCs w:val="20"/>
                <w:color w:val="auto"/>
              </w:rPr>
            </w:pPr>
            <w:r>
              <w:rPr>
                <w:rFonts w:ascii="Arial" w:cs="Arial" w:eastAsia="Arial" w:hAnsi="Arial"/>
                <w:sz w:val="13"/>
                <w:szCs w:val="13"/>
                <w:color w:val="auto"/>
              </w:rPr>
              <w:t>12,654</w:t>
            </w:r>
          </w:p>
        </w:tc>
      </w:tr>
      <w:tr>
        <w:trPr>
          <w:trHeight w:val="129"/>
        </w:trPr>
        <w:tc>
          <w:tcPr>
            <w:tcW w:w="394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at December 31, 2024</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94,382,317</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1,318,993</w:t>
            </w:r>
          </w:p>
        </w:tc>
        <w:tc>
          <w:tcPr>
            <w:tcW w:w="120" w:type="dxa"/>
            <w:vAlign w:val="bottom"/>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384,542</w:t>
            </w:r>
          </w:p>
        </w:tc>
        <w:tc>
          <w:tcPr>
            <w:tcW w:w="24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26,651,390</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35,535</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10,205,055</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38,595,515</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Net profit</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7,443,113</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7,443,113</w:t>
            </w:r>
          </w:p>
        </w:tc>
      </w:tr>
      <w:tr>
        <w:trPr>
          <w:trHeight w:val="153"/>
        </w:trPr>
        <w:tc>
          <w:tcPr>
            <w:tcW w:w="39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239,656</w:t>
            </w:r>
          </w:p>
        </w:tc>
        <w:tc>
          <w:tcPr>
            <w:tcW w:w="2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239,656</w:t>
            </w:r>
          </w:p>
        </w:tc>
      </w:tr>
      <w:tr>
        <w:trPr>
          <w:trHeight w:val="129"/>
        </w:trPr>
        <w:tc>
          <w:tcPr>
            <w:tcW w:w="3940" w:type="dxa"/>
            <w:vAlign w:val="bottom"/>
          </w:tcPr>
          <w:p>
            <w:pPr>
              <w:spacing w:after="0" w:line="129" w:lineRule="exact"/>
              <w:rPr>
                <w:sz w:val="20"/>
                <w:szCs w:val="20"/>
                <w:color w:val="auto"/>
              </w:rPr>
            </w:pPr>
            <w:r>
              <w:rPr>
                <w:rFonts w:ascii="Arial" w:cs="Arial" w:eastAsia="Arial" w:hAnsi="Arial"/>
                <w:sz w:val="13"/>
                <w:szCs w:val="13"/>
                <w:color w:val="auto"/>
              </w:rPr>
              <w:t>Total comprehensive income</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239,656</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7,443,113</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7,682,769</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Dividend distribution, Note 8(c)</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(3,775,293)</w:t>
            </w:r>
          </w:p>
        </w:tc>
        <w:tc>
          <w:tcPr>
            <w:tcW w:w="11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(3,775,293)</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Transfer to reserves</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(76,441)</w:t>
            </w:r>
          </w:p>
        </w:tc>
        <w:tc>
          <w:tcPr>
            <w:tcW w:w="11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(76,441)</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3"/>
                <w:szCs w:val="13"/>
                <w:color w:val="auto"/>
              </w:rPr>
              <w:t>Transfer to legal reserve, Note 8(b)</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5,637,738</w:t>
            </w:r>
          </w:p>
        </w:tc>
        <w:tc>
          <w:tcPr>
            <w:tcW w:w="11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(5,637,738)</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r>
      <w:tr>
        <w:trPr>
          <w:trHeight w:val="153"/>
        </w:trPr>
        <w:tc>
          <w:tcPr>
            <w:tcW w:w="3940" w:type="dxa"/>
            <w:vAlign w:val="bottom"/>
          </w:tcPr>
          <w:p>
            <w:pPr>
              <w:spacing w:after="0"/>
              <w:rPr>
                <w:sz w:val="20"/>
                <w:szCs w:val="20"/>
                <w:color w:val="auto"/>
              </w:rPr>
            </w:pPr>
            <w:r>
              <w:rPr>
                <w:rFonts w:ascii="Arial" w:cs="Arial" w:eastAsia="Arial" w:hAnsi="Arial"/>
                <w:sz w:val="13"/>
                <w:szCs w:val="13"/>
                <w:color w:val="auto"/>
              </w:rPr>
              <w:t>Others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1,314</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(24,386)</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(23,072)</w:t>
            </w:r>
          </w:p>
        </w:tc>
      </w:tr>
      <w:tr>
        <w:trPr>
          <w:trHeight w:val="141"/>
        </w:trPr>
        <w:tc>
          <w:tcPr>
            <w:tcW w:w="3940" w:type="dxa"/>
            <w:vAlign w:val="bottom"/>
          </w:tcPr>
          <w:p>
            <w:pPr>
              <w:spacing w:after="0" w:line="137" w:lineRule="exact"/>
              <w:rPr>
                <w:sz w:val="20"/>
                <w:szCs w:val="20"/>
                <w:color w:val="auto"/>
              </w:rPr>
            </w:pPr>
            <w:r>
              <w:rPr>
                <w:rFonts w:ascii="Arial" w:cs="Arial" w:eastAsia="Arial" w:hAnsi="Arial"/>
                <w:sz w:val="13"/>
                <w:szCs w:val="13"/>
                <w:b w:val="1"/>
                <w:bCs w:val="1"/>
                <w:color w:val="auto"/>
              </w:rPr>
              <w:t>Balances at December 31,2025</w:t>
            </w:r>
          </w:p>
        </w:tc>
        <w:tc>
          <w:tcPr>
            <w:tcW w:w="9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94,382,317</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1,318,993</w:t>
            </w: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384,542</w:t>
            </w:r>
          </w:p>
        </w:tc>
        <w:tc>
          <w:tcPr>
            <w:tcW w:w="2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28,438,708</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275,191</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11,986,044</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42,403,478</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separate financial statement.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22"/>
        </w:trPr>
        <w:tc>
          <w:tcPr>
            <w:tcW w:w="7440" w:type="dxa"/>
            <w:vAlign w:val="bottom"/>
          </w:tcPr>
          <w:p>
            <w:pPr>
              <w:spacing w:after="0"/>
              <w:rPr>
                <w:sz w:val="20"/>
                <w:szCs w:val="20"/>
                <w:color w:val="auto"/>
              </w:rPr>
            </w:pPr>
            <w:r>
              <w:rPr>
                <w:rFonts w:ascii="Arial" w:cs="Arial" w:eastAsia="Arial" w:hAnsi="Arial"/>
                <w:sz w:val="16"/>
                <w:szCs w:val="16"/>
                <w:b w:val="1"/>
                <w:bCs w:val="1"/>
                <w:color w:val="auto"/>
              </w:rPr>
              <w:t>CREDICORP LTD.</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7440" w:type="dxa"/>
            <w:vAlign w:val="bottom"/>
          </w:tcPr>
          <w:p>
            <w:pPr>
              <w:spacing w:after="0"/>
              <w:rPr>
                <w:sz w:val="20"/>
                <w:szCs w:val="20"/>
                <w:color w:val="auto"/>
              </w:rPr>
            </w:pPr>
            <w:r>
              <w:rPr>
                <w:rFonts w:ascii="Arial" w:cs="Arial" w:eastAsia="Arial" w:hAnsi="Arial"/>
                <w:sz w:val="16"/>
                <w:szCs w:val="16"/>
                <w:color w:val="auto"/>
              </w:rPr>
              <w:t>SEPARATE STATEMENT OF CASH FLOWS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440" w:type="dxa"/>
            <w:vAlign w:val="bottom"/>
          </w:tcPr>
          <w:p>
            <w:pPr>
              <w:spacing w:after="0"/>
              <w:rPr>
                <w:sz w:val="20"/>
                <w:szCs w:val="20"/>
                <w:color w:val="auto"/>
              </w:rPr>
            </w:pPr>
            <w:r>
              <w:rPr>
                <w:rFonts w:ascii="Arial" w:cs="Arial" w:eastAsia="Arial" w:hAnsi="Arial"/>
                <w:sz w:val="16"/>
                <w:szCs w:val="16"/>
                <w:color w:val="auto"/>
              </w:rPr>
              <w:t>FOR THE YEARS ENDED DECEMBER 31, 2025 AND 2024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74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Note</w:t>
            </w:r>
          </w:p>
        </w:tc>
        <w:tc>
          <w:tcPr>
            <w:tcW w:w="760" w:type="dxa"/>
            <w:vAlign w:val="bottom"/>
            <w:gridSpan w:val="2"/>
          </w:tcPr>
          <w:p>
            <w:pPr>
              <w:ind w:left="220"/>
              <w:spacing w:after="0"/>
              <w:rPr>
                <w:sz w:val="20"/>
                <w:szCs w:val="20"/>
                <w:color w:val="auto"/>
              </w:rPr>
            </w:pPr>
            <w:r>
              <w:rPr>
                <w:rFonts w:ascii="Arial" w:cs="Arial" w:eastAsia="Arial" w:hAnsi="Arial"/>
                <w:sz w:val="16"/>
                <w:szCs w:val="16"/>
                <w:b w:val="1"/>
                <w:bCs w:val="1"/>
                <w:color w:val="auto"/>
              </w:rPr>
              <w:t>2025</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4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99"/>
              </w:rPr>
              <w:t>S/(000)</w:t>
            </w: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74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7440" w:type="dxa"/>
            <w:vAlign w:val="bottom"/>
          </w:tcPr>
          <w:p>
            <w:pPr>
              <w:spacing w:after="0"/>
              <w:rPr>
                <w:sz w:val="20"/>
                <w:szCs w:val="20"/>
                <w:color w:val="auto"/>
              </w:rPr>
            </w:pPr>
            <w:r>
              <w:rPr>
                <w:rFonts w:ascii="Arial" w:cs="Arial" w:eastAsia="Arial" w:hAnsi="Arial"/>
                <w:sz w:val="16"/>
                <w:szCs w:val="16"/>
                <w:color w:val="auto"/>
              </w:rPr>
              <w:t>Net profit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7,443,113</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6,185,851</w:t>
            </w:r>
          </w:p>
        </w:tc>
        <w:tc>
          <w:tcPr>
            <w:tcW w:w="0" w:type="dxa"/>
            <w:vAlign w:val="bottom"/>
          </w:tcPr>
          <w:p>
            <w:pPr>
              <w:spacing w:after="0"/>
              <w:rPr>
                <w:sz w:val="1"/>
                <w:szCs w:val="1"/>
                <w:color w:val="auto"/>
              </w:rPr>
            </w:pPr>
          </w:p>
        </w:tc>
      </w:tr>
      <w:tr>
        <w:trPr>
          <w:trHeight w:val="329"/>
        </w:trPr>
        <w:tc>
          <w:tcPr>
            <w:tcW w:w="7440" w:type="dxa"/>
            <w:vAlign w:val="bottom"/>
          </w:tcPr>
          <w:p>
            <w:pPr>
              <w:spacing w:after="0"/>
              <w:rPr>
                <w:sz w:val="20"/>
                <w:szCs w:val="20"/>
                <w:color w:val="auto"/>
              </w:rPr>
            </w:pPr>
            <w:r>
              <w:rPr>
                <w:rFonts w:ascii="Arial" w:cs="Arial" w:eastAsia="Arial" w:hAnsi="Arial"/>
                <w:sz w:val="16"/>
                <w:szCs w:val="16"/>
                <w:b w:val="1"/>
                <w:bCs w:val="1"/>
                <w:color w:val="auto"/>
              </w:rPr>
              <w:t>Adjustment to reconcile net profit to net cash arising from operating activities: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Net income from investments in subsidiaries</w:t>
            </w: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w w:val="98"/>
              </w:rPr>
              <w:t>5(b)</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w w:val="97"/>
              </w:rPr>
              <w:t>(7,671,185)</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(6,313,139)</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Deferred income tax</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215,852</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146,713</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Variation of investments fair value</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Amortization of bond issuance expenses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1,895</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(4,110)</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Provision coupon payment</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(1,368)</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(3,558)</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Accrued interest</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22,636</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(29,805)</w:t>
            </w:r>
          </w:p>
        </w:tc>
        <w:tc>
          <w:tcPr>
            <w:tcW w:w="0" w:type="dxa"/>
            <w:vAlign w:val="bottom"/>
          </w:tcPr>
          <w:p>
            <w:pPr>
              <w:spacing w:after="0"/>
              <w:rPr>
                <w:sz w:val="1"/>
                <w:szCs w:val="1"/>
                <w:color w:val="auto"/>
              </w:rPr>
            </w:pPr>
          </w:p>
        </w:tc>
      </w:tr>
      <w:tr>
        <w:trPr>
          <w:trHeight w:val="198"/>
        </w:trPr>
        <w:tc>
          <w:tcPr>
            <w:tcW w:w="7440" w:type="dxa"/>
            <w:vAlign w:val="bottom"/>
          </w:tcPr>
          <w:p>
            <w:pPr>
              <w:spacing w:after="0"/>
              <w:rPr>
                <w:sz w:val="20"/>
                <w:szCs w:val="20"/>
                <w:color w:val="auto"/>
              </w:rPr>
            </w:pPr>
            <w:r>
              <w:rPr>
                <w:rFonts w:ascii="Arial" w:cs="Arial" w:eastAsia="Arial" w:hAnsi="Arial"/>
                <w:sz w:val="16"/>
                <w:szCs w:val="16"/>
                <w:color w:val="auto"/>
              </w:rPr>
              <w:t>Other assets (Other liabilities)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(13,431)</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(58,492)</w:t>
            </w:r>
          </w:p>
        </w:tc>
        <w:tc>
          <w:tcPr>
            <w:tcW w:w="0" w:type="dxa"/>
            <w:vAlign w:val="bottom"/>
          </w:tcPr>
          <w:p>
            <w:pPr>
              <w:spacing w:after="0"/>
              <w:rPr>
                <w:sz w:val="1"/>
                <w:szCs w:val="1"/>
                <w:color w:val="auto"/>
              </w:rPr>
            </w:pPr>
          </w:p>
        </w:tc>
      </w:tr>
      <w:tr>
        <w:trPr>
          <w:trHeight w:val="173"/>
        </w:trPr>
        <w:tc>
          <w:tcPr>
            <w:tcW w:w="7440" w:type="dxa"/>
            <w:vAlign w:val="bottom"/>
          </w:tcPr>
          <w:p>
            <w:pPr>
              <w:spacing w:after="0" w:line="173" w:lineRule="exact"/>
              <w:rPr>
                <w:sz w:val="20"/>
                <w:szCs w:val="20"/>
                <w:color w:val="auto"/>
              </w:rPr>
            </w:pPr>
            <w:r>
              <w:rPr>
                <w:rFonts w:ascii="Arial" w:cs="Arial" w:eastAsia="Arial" w:hAnsi="Arial"/>
                <w:sz w:val="16"/>
                <w:szCs w:val="16"/>
                <w:b w:val="1"/>
                <w:bCs w:val="1"/>
                <w:color w:val="auto"/>
              </w:rPr>
              <w:t>Net cash flow from operating activities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(2,488)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(77,774)</w:t>
            </w:r>
          </w:p>
        </w:tc>
        <w:tc>
          <w:tcPr>
            <w:tcW w:w="0" w:type="dxa"/>
            <w:vAlign w:val="bottom"/>
          </w:tcPr>
          <w:p>
            <w:pPr>
              <w:spacing w:after="0"/>
              <w:rPr>
                <w:sz w:val="1"/>
                <w:szCs w:val="1"/>
                <w:color w:val="auto"/>
              </w:rPr>
            </w:pPr>
          </w:p>
        </w:tc>
      </w:tr>
      <w:tr>
        <w:trPr>
          <w:trHeight w:val="337"/>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Sale of investments at fair value through profit or loss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505,476</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Collected coupons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1,128</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49,465</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Sale of Alicorp shares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149,563</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Maturity of term deposit</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688,665</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52,624</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Maturity in bond investment</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1,109,078</w:t>
            </w:r>
          </w:p>
        </w:tc>
        <w:tc>
          <w:tcPr>
            <w:tcW w:w="20" w:type="dxa"/>
            <w:vAlign w:val="bottom"/>
          </w:tcPr>
          <w:p>
            <w:pPr>
              <w:spacing w:after="0"/>
              <w:rPr>
                <w:sz w:val="15"/>
                <w:szCs w:val="15"/>
                <w:color w:val="auto"/>
              </w:rPr>
            </w:pPr>
          </w:p>
        </w:tc>
        <w:tc>
          <w:tcPr>
            <w:tcW w:w="13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Purchase of investments at amortized cost</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(502,893)</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Capital contribution in subsidiaries</w:t>
            </w: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w w:val="98"/>
              </w:rPr>
              <w:t>5(b)</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(27,439)</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(57,393)</w:t>
            </w:r>
          </w:p>
        </w:tc>
        <w:tc>
          <w:tcPr>
            <w:tcW w:w="0" w:type="dxa"/>
            <w:vAlign w:val="bottom"/>
          </w:tcPr>
          <w:p>
            <w:pPr>
              <w:spacing w:after="0"/>
              <w:rPr>
                <w:sz w:val="1"/>
                <w:szCs w:val="1"/>
                <w:color w:val="auto"/>
              </w:rPr>
            </w:pPr>
          </w:p>
        </w:tc>
      </w:tr>
      <w:tr>
        <w:trPr>
          <w:trHeight w:val="198"/>
        </w:trPr>
        <w:tc>
          <w:tcPr>
            <w:tcW w:w="7440" w:type="dxa"/>
            <w:vAlign w:val="bottom"/>
          </w:tcPr>
          <w:p>
            <w:pPr>
              <w:spacing w:after="0"/>
              <w:rPr>
                <w:sz w:val="20"/>
                <w:szCs w:val="20"/>
                <w:color w:val="auto"/>
              </w:rPr>
            </w:pPr>
            <w:r>
              <w:rPr>
                <w:rFonts w:ascii="Arial" w:cs="Arial" w:eastAsia="Arial" w:hAnsi="Arial"/>
                <w:sz w:val="16"/>
                <w:szCs w:val="16"/>
                <w:color w:val="auto"/>
              </w:rPr>
              <w:t>Dividends received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3,726,524</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4,167,318</w:t>
            </w:r>
          </w:p>
        </w:tc>
        <w:tc>
          <w:tcPr>
            <w:tcW w:w="0" w:type="dxa"/>
            <w:vAlign w:val="bottom"/>
          </w:tcPr>
          <w:p>
            <w:pPr>
              <w:spacing w:after="0"/>
              <w:rPr>
                <w:sz w:val="1"/>
                <w:szCs w:val="1"/>
                <w:color w:val="auto"/>
              </w:rPr>
            </w:pPr>
          </w:p>
        </w:tc>
      </w:tr>
      <w:tr>
        <w:trPr>
          <w:trHeight w:val="173"/>
        </w:trPr>
        <w:tc>
          <w:tcPr>
            <w:tcW w:w="7440" w:type="dxa"/>
            <w:vAlign w:val="bottom"/>
          </w:tcPr>
          <w:p>
            <w:pPr>
              <w:spacing w:after="0" w:line="173" w:lineRule="exact"/>
              <w:rPr>
                <w:sz w:val="20"/>
                <w:szCs w:val="20"/>
                <w:color w:val="auto"/>
              </w:rPr>
            </w:pPr>
            <w:r>
              <w:rPr>
                <w:rFonts w:ascii="Arial" w:cs="Arial" w:eastAsia="Arial" w:hAnsi="Arial"/>
                <w:sz w:val="16"/>
                <w:szCs w:val="16"/>
                <w:b w:val="1"/>
                <w:bCs w:val="1"/>
                <w:color w:val="auto"/>
              </w:rPr>
              <w:t>Net cash flows from investing activities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5,497,956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4,364,160</w:t>
            </w:r>
          </w:p>
        </w:tc>
        <w:tc>
          <w:tcPr>
            <w:tcW w:w="0" w:type="dxa"/>
            <w:vAlign w:val="bottom"/>
          </w:tcPr>
          <w:p>
            <w:pPr>
              <w:spacing w:after="0"/>
              <w:rPr>
                <w:sz w:val="1"/>
                <w:szCs w:val="1"/>
                <w:color w:val="auto"/>
              </w:rPr>
            </w:pPr>
          </w:p>
        </w:tc>
      </w:tr>
      <w:tr>
        <w:trPr>
          <w:trHeight w:val="337"/>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Payment of financial obligations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w w:val="97"/>
              </w:rPr>
              <w:t>(1,780,917)</w:t>
            </w:r>
          </w:p>
        </w:tc>
        <w:tc>
          <w:tcPr>
            <w:tcW w:w="20" w:type="dxa"/>
            <w:vAlign w:val="bottom"/>
          </w:tcPr>
          <w:p>
            <w:pPr>
              <w:spacing w:after="0"/>
              <w:rPr>
                <w:sz w:val="15"/>
                <w:szCs w:val="15"/>
                <w:color w:val="auto"/>
              </w:rPr>
            </w:pPr>
          </w:p>
        </w:tc>
        <w:tc>
          <w:tcPr>
            <w:tcW w:w="13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Cupon payments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(50,185)</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Working capital demand note</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(30,897)</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Dividend distribution</w:t>
            </w: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rPr>
              <w:t>8(c)</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w w:val="97"/>
              </w:rPr>
              <w:t>(3,775,293)</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(4,341,585)</w:t>
            </w:r>
          </w:p>
        </w:tc>
        <w:tc>
          <w:tcPr>
            <w:tcW w:w="0" w:type="dxa"/>
            <w:vAlign w:val="bottom"/>
          </w:tcPr>
          <w:p>
            <w:pPr>
              <w:spacing w:after="0"/>
              <w:rPr>
                <w:sz w:val="1"/>
                <w:szCs w:val="1"/>
                <w:color w:val="auto"/>
              </w:rPr>
            </w:pPr>
          </w:p>
        </w:tc>
      </w:tr>
      <w:tr>
        <w:trPr>
          <w:trHeight w:val="198"/>
        </w:trPr>
        <w:tc>
          <w:tcPr>
            <w:tcW w:w="7440" w:type="dxa"/>
            <w:vAlign w:val="bottom"/>
          </w:tcPr>
          <w:p>
            <w:pPr>
              <w:spacing w:after="0"/>
              <w:rPr>
                <w:sz w:val="20"/>
                <w:szCs w:val="20"/>
                <w:color w:val="auto"/>
              </w:rPr>
            </w:pPr>
            <w:r>
              <w:rPr>
                <w:rFonts w:ascii="Arial" w:cs="Arial" w:eastAsia="Arial" w:hAnsi="Arial"/>
                <w:sz w:val="16"/>
                <w:szCs w:val="16"/>
                <w:color w:val="auto"/>
              </w:rPr>
              <w:t>Other cash outflows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(886)</w:t>
            </w:r>
          </w:p>
        </w:tc>
        <w:tc>
          <w:tcPr>
            <w:tcW w:w="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7440" w:type="dxa"/>
            <w:vAlign w:val="bottom"/>
          </w:tcPr>
          <w:p>
            <w:pPr>
              <w:spacing w:after="0" w:line="173" w:lineRule="exact"/>
              <w:rPr>
                <w:sz w:val="20"/>
                <w:szCs w:val="20"/>
                <w:color w:val="auto"/>
              </w:rPr>
            </w:pPr>
            <w:r>
              <w:rPr>
                <w:rFonts w:ascii="Arial" w:cs="Arial" w:eastAsia="Arial" w:hAnsi="Arial"/>
                <w:sz w:val="16"/>
                <w:szCs w:val="16"/>
                <w:b w:val="1"/>
                <w:bCs w:val="1"/>
                <w:color w:val="auto"/>
              </w:rPr>
              <w:t>Net cash flows from financing activities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w w:val="97"/>
              </w:rPr>
              <w:t>(5,557,096)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(4,422,667)</w:t>
            </w:r>
          </w:p>
        </w:tc>
        <w:tc>
          <w:tcPr>
            <w:tcW w:w="0" w:type="dxa"/>
            <w:vAlign w:val="bottom"/>
          </w:tcPr>
          <w:p>
            <w:pPr>
              <w:spacing w:after="0"/>
              <w:rPr>
                <w:sz w:val="1"/>
                <w:szCs w:val="1"/>
                <w:color w:val="auto"/>
              </w:rPr>
            </w:pPr>
          </w:p>
        </w:tc>
      </w:tr>
      <w:tr>
        <w:trPr>
          <w:trHeight w:val="337"/>
        </w:trPr>
        <w:tc>
          <w:tcPr>
            <w:tcW w:w="7440" w:type="dxa"/>
            <w:vAlign w:val="bottom"/>
          </w:tcPr>
          <w:p>
            <w:pPr>
              <w:spacing w:after="0"/>
              <w:rPr>
                <w:sz w:val="20"/>
                <w:szCs w:val="20"/>
                <w:color w:val="auto"/>
              </w:rPr>
            </w:pPr>
            <w:r>
              <w:rPr>
                <w:rFonts w:ascii="Arial" w:cs="Arial" w:eastAsia="Arial" w:hAnsi="Arial"/>
                <w:sz w:val="16"/>
                <w:szCs w:val="16"/>
                <w:color w:val="auto"/>
              </w:rPr>
              <w:t>Net decrease of cash and cash equivalents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before effect of changes in exchange rate</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(61,628)</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(136,281)</w:t>
            </w: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Effect of changes in exchange rate of cash and cash</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6"/>
                <w:szCs w:val="16"/>
                <w:color w:val="auto"/>
              </w:rPr>
              <w:t>equivalents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(17,406)</w:t>
            </w:r>
          </w:p>
        </w:tc>
        <w:tc>
          <w:tcPr>
            <w:tcW w:w="13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6,451</w:t>
            </w:r>
          </w:p>
        </w:tc>
        <w:tc>
          <w:tcPr>
            <w:tcW w:w="0" w:type="dxa"/>
            <w:vAlign w:val="bottom"/>
          </w:tcPr>
          <w:p>
            <w:pPr>
              <w:spacing w:after="0"/>
              <w:rPr>
                <w:sz w:val="1"/>
                <w:szCs w:val="1"/>
                <w:color w:val="auto"/>
              </w:rPr>
            </w:pPr>
          </w:p>
        </w:tc>
      </w:tr>
      <w:tr>
        <w:trPr>
          <w:trHeight w:val="198"/>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399,943</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529,773</w:t>
            </w:r>
          </w:p>
        </w:tc>
        <w:tc>
          <w:tcPr>
            <w:tcW w:w="0" w:type="dxa"/>
            <w:vAlign w:val="bottom"/>
          </w:tcPr>
          <w:p>
            <w:pPr>
              <w:spacing w:after="0"/>
              <w:rPr>
                <w:sz w:val="1"/>
                <w:szCs w:val="1"/>
                <w:color w:val="auto"/>
              </w:rPr>
            </w:pPr>
          </w:p>
        </w:tc>
      </w:tr>
      <w:tr>
        <w:trPr>
          <w:trHeight w:val="177"/>
        </w:trPr>
        <w:tc>
          <w:tcPr>
            <w:tcW w:w="7440" w:type="dxa"/>
            <w:vAlign w:val="bottom"/>
          </w:tcPr>
          <w:p>
            <w:pPr>
              <w:spacing w:after="0" w:line="173" w:lineRule="exact"/>
              <w:rPr>
                <w:sz w:val="20"/>
                <w:szCs w:val="20"/>
                <w:color w:val="auto"/>
              </w:rPr>
            </w:pPr>
            <w:r>
              <w:rPr>
                <w:rFonts w:ascii="Arial" w:cs="Arial" w:eastAsia="Arial" w:hAnsi="Arial"/>
                <w:sz w:val="16"/>
                <w:szCs w:val="16"/>
                <w:b w:val="1"/>
                <w:bCs w:val="1"/>
                <w:color w:val="auto"/>
              </w:rPr>
              <w:t>Cash and cash equivalents at the end of the period</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320,909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399,943</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separate financial statement.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b w:val="1"/>
          <w:bCs w:val="1"/>
          <w:color w:val="auto"/>
        </w:rPr>
        <w:t>CREDICORP LTD.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SEPARATE STATEMENT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AND 2024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liabilities arising from financing activities: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4"/>
          </w:tcPr>
          <w:p>
            <w:pPr>
              <w:spacing w:after="0"/>
              <w:rPr>
                <w:sz w:val="20"/>
                <w:szCs w:val="20"/>
                <w:color w:val="auto"/>
              </w:rPr>
            </w:pPr>
            <w:r>
              <w:rPr>
                <w:rFonts w:ascii="Arial" w:cs="Arial" w:eastAsia="Arial" w:hAnsi="Arial"/>
                <w:sz w:val="13"/>
                <w:szCs w:val="13"/>
                <w:b w:val="1"/>
                <w:bCs w:val="1"/>
                <w:color w:val="auto"/>
              </w:rPr>
              <w:t>Changes that generate cash flows</w:t>
            </w:r>
          </w:p>
        </w:tc>
        <w:tc>
          <w:tcPr>
            <w:tcW w:w="2660" w:type="dxa"/>
            <w:vAlign w:val="bottom"/>
            <w:gridSpan w:val="4"/>
          </w:tcPr>
          <w:p>
            <w:pPr>
              <w:spacing w:after="0"/>
              <w:rPr>
                <w:sz w:val="20"/>
                <w:szCs w:val="20"/>
                <w:color w:val="auto"/>
              </w:rPr>
            </w:pPr>
            <w:r>
              <w:rPr>
                <w:rFonts w:ascii="Arial" w:cs="Arial" w:eastAsia="Arial" w:hAnsi="Arial"/>
                <w:sz w:val="13"/>
                <w:szCs w:val="13"/>
                <w:b w:val="1"/>
                <w:bCs w:val="1"/>
                <w:color w:val="auto"/>
              </w:rPr>
              <w:t>Changes that do not generate cash flows</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99"/>
              </w:rPr>
              <w:t>Amortization of bond</w:t>
            </w: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As of January 1, 2025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Amortization of</w:t>
            </w:r>
          </w:p>
        </w:tc>
        <w:tc>
          <w:tcPr>
            <w:tcW w:w="13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13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Changes in fair</w:t>
            </w:r>
          </w:p>
        </w:tc>
        <w:tc>
          <w:tcPr>
            <w:tcW w:w="1460" w:type="dxa"/>
            <w:vAlign w:val="bottom"/>
            <w:gridSpan w:val="2"/>
          </w:tcPr>
          <w:p>
            <w:pPr>
              <w:ind w:left="20"/>
              <w:spacing w:after="0" w:line="145" w:lineRule="exact"/>
              <w:rPr>
                <w:sz w:val="20"/>
                <w:szCs w:val="20"/>
                <w:color w:val="auto"/>
              </w:rPr>
            </w:pPr>
            <w:r>
              <w:rPr>
                <w:rFonts w:ascii="Arial" w:cs="Arial" w:eastAsia="Arial" w:hAnsi="Arial"/>
                <w:sz w:val="13"/>
                <w:szCs w:val="13"/>
                <w:b w:val="1"/>
                <w:bCs w:val="1"/>
                <w:color w:val="auto"/>
              </w:rPr>
              <w:t>issuance expenses</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New issues</w:t>
            </w:r>
          </w:p>
        </w:tc>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principal</w:t>
            </w:r>
          </w:p>
        </w:tc>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difference</w:t>
            </w:r>
          </w:p>
        </w:tc>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value</w:t>
            </w: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others</w:t>
            </w:r>
          </w:p>
        </w:tc>
        <w:tc>
          <w:tcPr>
            <w:tcW w:w="180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2025</w:t>
            </w:r>
          </w:p>
        </w:tc>
        <w:tc>
          <w:tcPr>
            <w:tcW w:w="0" w:type="dxa"/>
            <w:vAlign w:val="bottom"/>
          </w:tcPr>
          <w:p>
            <w:pPr>
              <w:spacing w:after="0"/>
              <w:rPr>
                <w:sz w:val="1"/>
                <w:szCs w:val="1"/>
                <w:color w:val="auto"/>
              </w:rPr>
            </w:pPr>
          </w:p>
        </w:tc>
      </w:tr>
      <w:tr>
        <w:trPr>
          <w:trHeight w:val="168"/>
        </w:trPr>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Arial" w:cs="Arial" w:eastAsia="Arial" w:hAnsi="Arial"/>
                <w:sz w:val="13"/>
                <w:szCs w:val="13"/>
                <w:color w:val="auto"/>
              </w:rPr>
              <w:t>Amortized cost</w:t>
            </w:r>
          </w:p>
        </w:tc>
        <w:tc>
          <w:tcPr>
            <w:tcW w:w="1580" w:type="dxa"/>
            <w:vAlign w:val="bottom"/>
            <w:gridSpan w:val="4"/>
          </w:tcPr>
          <w:p>
            <w:pPr>
              <w:jc w:val="right"/>
              <w:ind w:right="120"/>
              <w:spacing w:after="0"/>
              <w:rPr>
                <w:sz w:val="20"/>
                <w:szCs w:val="20"/>
                <w:color w:val="auto"/>
              </w:rPr>
            </w:pPr>
            <w:r>
              <w:rPr>
                <w:rFonts w:ascii="Arial" w:cs="Arial" w:eastAsia="Arial" w:hAnsi="Arial"/>
                <w:sz w:val="13"/>
                <w:szCs w:val="13"/>
                <w:color w:val="auto"/>
              </w:rPr>
              <w:t>1,829,657</w:t>
            </w: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3"/>
                <w:szCs w:val="13"/>
                <w:color w:val="auto"/>
              </w:rPr>
              <w:t>(1,780,917)</w:t>
            </w:r>
          </w:p>
        </w:tc>
        <w:tc>
          <w:tcPr>
            <w:tcW w:w="1340" w:type="dxa"/>
            <w:vAlign w:val="bottom"/>
            <w:gridSpan w:val="2"/>
          </w:tcPr>
          <w:p>
            <w:pPr>
              <w:jc w:val="right"/>
              <w:ind w:right="120"/>
              <w:spacing w:after="0"/>
              <w:rPr>
                <w:sz w:val="20"/>
                <w:szCs w:val="20"/>
                <w:color w:val="auto"/>
              </w:rPr>
            </w:pPr>
            <w:r>
              <w:rPr>
                <w:rFonts w:ascii="Arial" w:cs="Arial" w:eastAsia="Arial" w:hAnsi="Arial"/>
                <w:sz w:val="13"/>
                <w:szCs w:val="13"/>
                <w:color w:val="auto"/>
              </w:rPr>
              <w:t>(73,270)</w:t>
            </w:r>
          </w:p>
        </w:tc>
        <w:tc>
          <w:tcPr>
            <w:tcW w:w="132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3"/>
                <w:szCs w:val="13"/>
                <w:color w:val="auto"/>
              </w:rPr>
              <w:t>24,530</w:t>
            </w:r>
          </w:p>
        </w:tc>
        <w:tc>
          <w:tcPr>
            <w:tcW w:w="18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14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1,829,657</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ind w:left="720"/>
              <w:spacing w:after="0" w:line="137"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1"/>
                <w:szCs w:val="11"/>
                <w:color w:val="auto"/>
              </w:rPr>
            </w:pPr>
          </w:p>
        </w:tc>
        <w:tc>
          <w:tcPr>
            <w:tcW w:w="14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(1,780,917)</w:t>
            </w:r>
          </w:p>
        </w:tc>
        <w:tc>
          <w:tcPr>
            <w:tcW w:w="120" w:type="dxa"/>
            <w:vAlign w:val="bottom"/>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(73,270)</w:t>
            </w:r>
          </w:p>
        </w:tc>
        <w:tc>
          <w:tcPr>
            <w:tcW w:w="120" w:type="dxa"/>
            <w:vAlign w:val="bottom"/>
          </w:tcPr>
          <w:p>
            <w:pPr>
              <w:spacing w:after="0"/>
              <w:rPr>
                <w:sz w:val="11"/>
                <w:szCs w:val="11"/>
                <w:color w:val="auto"/>
              </w:rPr>
            </w:pPr>
          </w:p>
        </w:tc>
        <w:tc>
          <w:tcPr>
            <w:tcW w:w="12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24,530</w:t>
            </w:r>
          </w:p>
        </w:tc>
        <w:tc>
          <w:tcPr>
            <w:tcW w:w="120" w:type="dxa"/>
            <w:vAlign w:val="bottom"/>
          </w:tcPr>
          <w:p>
            <w:pPr>
              <w:spacing w:after="0"/>
              <w:rPr>
                <w:sz w:val="11"/>
                <w:szCs w:val="11"/>
                <w:color w:val="auto"/>
              </w:rPr>
            </w:pPr>
          </w:p>
        </w:tc>
        <w:tc>
          <w:tcPr>
            <w:tcW w:w="1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Arial" w:cs="Arial" w:eastAsia="Arial" w:hAnsi="Arial"/>
                <w:sz w:val="13"/>
                <w:szCs w:val="13"/>
                <w:b w:val="1"/>
                <w:bCs w:val="1"/>
                <w:color w:val="auto"/>
              </w:rPr>
              <w:t>Changes that generate cash flows</w:t>
            </w:r>
          </w:p>
        </w:tc>
        <w:tc>
          <w:tcPr>
            <w:tcW w:w="2660" w:type="dxa"/>
            <w:vAlign w:val="bottom"/>
            <w:gridSpan w:val="4"/>
          </w:tcPr>
          <w:p>
            <w:pPr>
              <w:spacing w:after="0"/>
              <w:rPr>
                <w:sz w:val="20"/>
                <w:szCs w:val="20"/>
                <w:color w:val="auto"/>
              </w:rPr>
            </w:pPr>
            <w:r>
              <w:rPr>
                <w:rFonts w:ascii="Arial" w:cs="Arial" w:eastAsia="Arial" w:hAnsi="Arial"/>
                <w:sz w:val="13"/>
                <w:szCs w:val="13"/>
                <w:b w:val="1"/>
                <w:bCs w:val="1"/>
                <w:color w:val="auto"/>
              </w:rPr>
              <w:t>Changes that do not generate cash flows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99"/>
              </w:rPr>
              <w:t>Amortization of bond</w:t>
            </w: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Amortization of</w:t>
            </w:r>
          </w:p>
        </w:tc>
        <w:tc>
          <w:tcPr>
            <w:tcW w:w="13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Exchange</w:t>
            </w:r>
          </w:p>
        </w:tc>
        <w:tc>
          <w:tcPr>
            <w:tcW w:w="13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Changes in fair</w:t>
            </w:r>
          </w:p>
        </w:tc>
        <w:tc>
          <w:tcPr>
            <w:tcW w:w="1460" w:type="dxa"/>
            <w:vAlign w:val="bottom"/>
            <w:gridSpan w:val="2"/>
          </w:tcPr>
          <w:p>
            <w:pPr>
              <w:ind w:left="20"/>
              <w:spacing w:after="0" w:line="145" w:lineRule="exact"/>
              <w:rPr>
                <w:sz w:val="20"/>
                <w:szCs w:val="20"/>
                <w:color w:val="auto"/>
              </w:rPr>
            </w:pPr>
            <w:r>
              <w:rPr>
                <w:rFonts w:ascii="Arial" w:cs="Arial" w:eastAsia="Arial" w:hAnsi="Arial"/>
                <w:sz w:val="13"/>
                <w:szCs w:val="13"/>
                <w:b w:val="1"/>
                <w:bCs w:val="1"/>
                <w:color w:val="auto"/>
              </w:rPr>
              <w:t>issuance expenses</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As of January 1, 2024</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New issues</w:t>
            </w:r>
          </w:p>
        </w:tc>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principal</w:t>
            </w:r>
          </w:p>
        </w:tc>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difference</w:t>
            </w:r>
          </w:p>
        </w:tc>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value</w:t>
            </w: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others</w:t>
            </w:r>
          </w:p>
        </w:tc>
        <w:tc>
          <w:tcPr>
            <w:tcW w:w="180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2024</w:t>
            </w:r>
          </w:p>
        </w:tc>
        <w:tc>
          <w:tcPr>
            <w:tcW w:w="0" w:type="dxa"/>
            <w:vAlign w:val="bottom"/>
          </w:tcPr>
          <w:p>
            <w:pPr>
              <w:spacing w:after="0"/>
              <w:rPr>
                <w:sz w:val="1"/>
                <w:szCs w:val="1"/>
                <w:color w:val="auto"/>
              </w:rPr>
            </w:pPr>
          </w:p>
        </w:tc>
      </w:tr>
      <w:tr>
        <w:trPr>
          <w:trHeight w:val="168"/>
        </w:trPr>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Arial" w:cs="Arial" w:eastAsia="Arial" w:hAnsi="Arial"/>
                <w:sz w:val="13"/>
                <w:szCs w:val="13"/>
                <w:color w:val="auto"/>
              </w:rPr>
              <w:t>Amortized cost</w:t>
            </w:r>
          </w:p>
        </w:tc>
        <w:tc>
          <w:tcPr>
            <w:tcW w:w="1580" w:type="dxa"/>
            <w:vAlign w:val="bottom"/>
            <w:gridSpan w:val="4"/>
          </w:tcPr>
          <w:p>
            <w:pPr>
              <w:jc w:val="right"/>
              <w:ind w:right="120"/>
              <w:spacing w:after="0"/>
              <w:rPr>
                <w:sz w:val="20"/>
                <w:szCs w:val="20"/>
                <w:color w:val="auto"/>
              </w:rPr>
            </w:pPr>
            <w:r>
              <w:rPr>
                <w:rFonts w:ascii="Arial" w:cs="Arial" w:eastAsia="Arial" w:hAnsi="Arial"/>
                <w:sz w:val="13"/>
                <w:szCs w:val="13"/>
                <w:color w:val="auto"/>
              </w:rPr>
              <w:t>1,798,858</w:t>
            </w: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3"/>
                <w:szCs w:val="13"/>
                <w:color w:val="auto"/>
              </w:rPr>
              <w:t>26,730</w:t>
            </w:r>
          </w:p>
        </w:tc>
        <w:tc>
          <w:tcPr>
            <w:tcW w:w="132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3"/>
                <w:szCs w:val="13"/>
                <w:color w:val="auto"/>
              </w:rPr>
              <w:t>4,069</w:t>
            </w:r>
          </w:p>
        </w:tc>
        <w:tc>
          <w:tcPr>
            <w:tcW w:w="1800" w:type="dxa"/>
            <w:vAlign w:val="bottom"/>
            <w:gridSpan w:val="2"/>
          </w:tcPr>
          <w:p>
            <w:pPr>
              <w:jc w:val="right"/>
              <w:ind w:right="20"/>
              <w:spacing w:after="0"/>
              <w:rPr>
                <w:sz w:val="20"/>
                <w:szCs w:val="20"/>
                <w:color w:val="auto"/>
              </w:rPr>
            </w:pPr>
            <w:r>
              <w:rPr>
                <w:rFonts w:ascii="Arial" w:cs="Arial" w:eastAsia="Arial" w:hAnsi="Arial"/>
                <w:sz w:val="13"/>
                <w:szCs w:val="13"/>
                <w:color w:val="auto"/>
              </w:rPr>
              <w:t>1,829,657</w:t>
            </w:r>
          </w:p>
        </w:tc>
        <w:tc>
          <w:tcPr>
            <w:tcW w:w="0" w:type="dxa"/>
            <w:vAlign w:val="bottom"/>
          </w:tcPr>
          <w:p>
            <w:pPr>
              <w:spacing w:after="0"/>
              <w:rPr>
                <w:sz w:val="1"/>
                <w:szCs w:val="1"/>
                <w:color w:val="auto"/>
              </w:rPr>
            </w:pPr>
          </w:p>
        </w:tc>
      </w:tr>
      <w:tr>
        <w:trPr>
          <w:trHeight w:val="137"/>
        </w:trPr>
        <w:tc>
          <w:tcPr>
            <w:tcW w:w="1140" w:type="dxa"/>
            <w:vAlign w:val="bottom"/>
          </w:tcPr>
          <w:p>
            <w:pPr>
              <w:spacing w:after="0" w:line="137"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1,798,858</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ind w:left="720"/>
              <w:spacing w:after="0" w:line="137"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1"/>
                <w:szCs w:val="11"/>
                <w:color w:val="auto"/>
              </w:rPr>
            </w:pPr>
          </w:p>
        </w:tc>
        <w:tc>
          <w:tcPr>
            <w:tcW w:w="14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26,730</w:t>
            </w:r>
          </w:p>
        </w:tc>
        <w:tc>
          <w:tcPr>
            <w:tcW w:w="120" w:type="dxa"/>
            <w:vAlign w:val="bottom"/>
          </w:tcPr>
          <w:p>
            <w:pPr>
              <w:spacing w:after="0"/>
              <w:rPr>
                <w:sz w:val="11"/>
                <w:szCs w:val="11"/>
                <w:color w:val="auto"/>
              </w:rPr>
            </w:pPr>
          </w:p>
        </w:tc>
        <w:tc>
          <w:tcPr>
            <w:tcW w:w="12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4,069</w:t>
            </w:r>
          </w:p>
        </w:tc>
        <w:tc>
          <w:tcPr>
            <w:tcW w:w="120" w:type="dxa"/>
            <w:vAlign w:val="bottom"/>
          </w:tcPr>
          <w:p>
            <w:pPr>
              <w:spacing w:after="0"/>
              <w:rPr>
                <w:sz w:val="11"/>
                <w:szCs w:val="11"/>
                <w:color w:val="auto"/>
              </w:rPr>
            </w:pPr>
          </w:p>
        </w:tc>
        <w:tc>
          <w:tcPr>
            <w:tcW w:w="180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1,829,657</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separated financial statement.</w:t>
      </w: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92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197" w:name="page198"/>
    <w:bookmarkEnd w:id="197"/>
    <w:p>
      <w:pPr>
        <w:ind w:left="583"/>
        <w:spacing w:after="0"/>
        <w:rPr>
          <w:sz w:val="20"/>
          <w:szCs w:val="20"/>
          <w:color w:val="auto"/>
        </w:rPr>
      </w:pPr>
      <w:r>
        <w:rPr>
          <w:rFonts w:ascii="Arial" w:cs="Arial" w:eastAsia="Arial" w:hAnsi="Arial"/>
          <w:sz w:val="14"/>
          <w:szCs w:val="14"/>
          <w:b w:val="1"/>
          <w:bCs w:val="1"/>
          <w:color w:val="auto"/>
        </w:rPr>
        <w:t>CREDICORP LTD.</w:t>
      </w:r>
    </w:p>
    <w:p>
      <w:pPr>
        <w:spacing w:after="0" w:line="184"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NOTES TO THE SEPARATE FINANCIAL STATEMENTS</w:t>
      </w:r>
    </w:p>
    <w:p>
      <w:pPr>
        <w:spacing w:after="0" w:line="13" w:lineRule="exact"/>
        <w:rPr>
          <w:sz w:val="20"/>
          <w:szCs w:val="20"/>
          <w:color w:val="auto"/>
        </w:rPr>
      </w:pPr>
    </w:p>
    <w:p>
      <w:pPr>
        <w:ind w:left="583"/>
        <w:spacing w:after="0"/>
        <w:rPr>
          <w:sz w:val="20"/>
          <w:szCs w:val="20"/>
          <w:color w:val="auto"/>
        </w:rPr>
      </w:pPr>
      <w:r>
        <w:rPr>
          <w:rFonts w:ascii="Arial" w:cs="Arial" w:eastAsia="Arial" w:hAnsi="Arial"/>
          <w:sz w:val="16"/>
          <w:szCs w:val="16"/>
          <w:color w:val="auto"/>
        </w:rPr>
        <w:t>AS OF DECEMBER 31, 2025 AND 2024</w:t>
      </w:r>
    </w:p>
    <w:p>
      <w:pPr>
        <w:spacing w:after="0" w:line="162" w:lineRule="exact"/>
        <w:rPr>
          <w:sz w:val="20"/>
          <w:szCs w:val="20"/>
          <w:color w:val="auto"/>
        </w:rPr>
      </w:pPr>
    </w:p>
    <w:p>
      <w:pPr>
        <w:ind w:left="583" w:hanging="583"/>
        <w:spacing w:after="0"/>
        <w:tabs>
          <w:tab w:leader="none" w:pos="583"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OPERATIONS</w:t>
      </w:r>
    </w:p>
    <w:p>
      <w:pPr>
        <w:spacing w:after="0" w:line="177" w:lineRule="exact"/>
        <w:rPr>
          <w:rFonts w:ascii="Arial" w:cs="Arial" w:eastAsia="Arial" w:hAnsi="Arial"/>
          <w:sz w:val="16"/>
          <w:szCs w:val="16"/>
          <w:b w:val="1"/>
          <w:bCs w:val="1"/>
          <w:color w:val="auto"/>
        </w:rPr>
      </w:pPr>
    </w:p>
    <w:p>
      <w:pPr>
        <w:ind w:left="583"/>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Credicorp Ltd. (hereinafter “Credicorp”) is a limited liability company incorporated in Bermuda in 1995. Its objective is to act as a holding company and according to Bermuda’s economic substance regulation, Credicorp Ltd. as an independent legal entity, is considered a “Pure Equity Holding Entity” (PEHE). Credicorp’s activity is to maintain equity interests and receive passive income such as dividends, capital gains and other income from investments in securities.</w:t>
      </w:r>
    </w:p>
    <w:p>
      <w:pPr>
        <w:spacing w:after="0" w:line="144" w:lineRule="exact"/>
        <w:rPr>
          <w:rFonts w:ascii="Arial" w:cs="Arial" w:eastAsia="Arial" w:hAnsi="Arial"/>
          <w:sz w:val="16"/>
          <w:szCs w:val="16"/>
          <w:b w:val="1"/>
          <w:bCs w:val="1"/>
          <w:color w:val="auto"/>
        </w:rPr>
      </w:pPr>
    </w:p>
    <w:p>
      <w:pPr>
        <w:ind w:left="583" w:right="120"/>
        <w:spacing w:after="0" w:line="242" w:lineRule="auto"/>
        <w:rPr>
          <w:rFonts w:ascii="Arial" w:cs="Arial" w:eastAsia="Arial" w:hAnsi="Arial"/>
          <w:sz w:val="16"/>
          <w:szCs w:val="16"/>
          <w:b w:val="1"/>
          <w:bCs w:val="1"/>
          <w:color w:val="auto"/>
        </w:rPr>
      </w:pPr>
      <w:r>
        <w:rPr>
          <w:rFonts w:ascii="Arial" w:cs="Arial" w:eastAsia="Arial" w:hAnsi="Arial"/>
          <w:sz w:val="16"/>
          <w:szCs w:val="16"/>
          <w:color w:val="auto"/>
        </w:rPr>
        <w:t>In order to keep Credicorp’s structure and organization fully aligned with the new legislation on economic substance approved by the Government of Bermuda on January 11, 2019, the decisions of the Credicorp Board of Directors will be limited to issues related to Credicorp’s strategy, objectives and goals, main action plans and policies, annual budgets, business plans and control of their implementation, supervision of the main expenses, investments, acquisitions and disposals, among other “passive” decisions related to Credicorp. The authority to make decisions applicable to Credicorp’s subsidiaries, such as the adoption of relevant strategic or management decisions, the assumption of expenses for the benefit of its affiliates, the coordination of Credicorp Ltd. activities, and the granting of credit facilities in favor of its affiliates, it has been transferred to Grupo Crédito S.A., a subsidiary of Credicorp.</w:t>
      </w:r>
    </w:p>
    <w:p>
      <w:pPr>
        <w:spacing w:after="0" w:line="148" w:lineRule="exact"/>
        <w:rPr>
          <w:rFonts w:ascii="Arial" w:cs="Arial" w:eastAsia="Arial" w:hAnsi="Arial"/>
          <w:sz w:val="16"/>
          <w:szCs w:val="16"/>
          <w:b w:val="1"/>
          <w:bCs w:val="1"/>
          <w:color w:val="auto"/>
        </w:rPr>
      </w:pPr>
    </w:p>
    <w:p>
      <w:pPr>
        <w:ind w:left="583" w:right="6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Credicorp, through its banking and non-banking subsidiaries and its subsidiary Pacífico S.A. Entidad Prestadora de Salud (hereinafter Pacífico EPS), offers a wide range of financial, insurance and health services and products, mainly throughout Peru and in other countries (see Note 3 (h). Its main subsidiary is Banco de Crédito del Perú (hereinafter “BCP” or the “Bank”), a multiple bank incorporated in Perú.</w:t>
      </w:r>
    </w:p>
    <w:p>
      <w:pPr>
        <w:spacing w:after="0" w:line="137" w:lineRule="exact"/>
        <w:rPr>
          <w:rFonts w:ascii="Arial" w:cs="Arial" w:eastAsia="Arial" w:hAnsi="Arial"/>
          <w:sz w:val="16"/>
          <w:szCs w:val="16"/>
          <w:b w:val="1"/>
          <w:bCs w:val="1"/>
          <w:color w:val="auto"/>
        </w:rPr>
      </w:pPr>
    </w:p>
    <w:p>
      <w:pPr>
        <w:ind w:left="583" w:right="100"/>
        <w:spacing w:after="0" w:line="274" w:lineRule="auto"/>
        <w:rPr>
          <w:rFonts w:ascii="Arial" w:cs="Arial" w:eastAsia="Arial" w:hAnsi="Arial"/>
          <w:sz w:val="16"/>
          <w:szCs w:val="16"/>
          <w:b w:val="1"/>
          <w:bCs w:val="1"/>
          <w:color w:val="auto"/>
        </w:rPr>
      </w:pPr>
      <w:r>
        <w:rPr>
          <w:rFonts w:ascii="Arial" w:cs="Arial" w:eastAsia="Arial" w:hAnsi="Arial"/>
          <w:sz w:val="16"/>
          <w:szCs w:val="16"/>
          <w:color w:val="auto"/>
        </w:rPr>
        <w:t>Credicorp’s legal address is Clarendon House 2 Church Street Hamilton, Bermuda; likewise, the main offices from where Credicorp’s businesses are managed are located at Calle Centenario N° 156, La Molina, Lima, Perú.</w:t>
      </w:r>
    </w:p>
    <w:p>
      <w:pPr>
        <w:spacing w:after="0" w:line="122" w:lineRule="exact"/>
        <w:rPr>
          <w:rFonts w:ascii="Arial" w:cs="Arial" w:eastAsia="Arial" w:hAnsi="Arial"/>
          <w:sz w:val="16"/>
          <w:szCs w:val="16"/>
          <w:b w:val="1"/>
          <w:bCs w:val="1"/>
          <w:color w:val="auto"/>
        </w:rPr>
      </w:pPr>
    </w:p>
    <w:p>
      <w:pPr>
        <w:ind w:left="583" w:right="6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The separate financial statements as of and for the year ended December 31, 2024 were approved by the Board of Directors on February 27, 2024 and presented at the Annual General Shareholders’ Meeting on March 27, 2025. The separate financial statements as of and for the year ended December 31, 2025 were approved and authorized for issue by the Board of Directors and Management on February 26, 2025, and will be presented for final approval at the General Shareholders’ Meeting, which will be held within the deadlines established by law.</w:t>
      </w:r>
    </w:p>
    <w:p>
      <w:pPr>
        <w:spacing w:after="0" w:line="144"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color w:val="auto"/>
        </w:rPr>
        <w:t>Credicorp is listed on the Lima and New York stock exchanges.</w:t>
      </w:r>
    </w:p>
    <w:p>
      <w:pPr>
        <w:spacing w:after="0" w:line="177" w:lineRule="exact"/>
        <w:rPr>
          <w:rFonts w:ascii="Arial" w:cs="Arial" w:eastAsia="Arial" w:hAnsi="Arial"/>
          <w:sz w:val="16"/>
          <w:szCs w:val="16"/>
          <w:b w:val="1"/>
          <w:bCs w:val="1"/>
          <w:color w:val="auto"/>
        </w:rPr>
      </w:pPr>
    </w:p>
    <w:p>
      <w:pPr>
        <w:ind w:left="583" w:right="12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The accompanying separate financial statements reflect the individual activity of Credicorp Ltd., and do not include the effects of the consolidation of these separate financial statements with those of its subsidiaries, see Note 5(b). The main data of the subsidiaries as of December 31, 2025, and 2024 are presented in Note 3(h).</w:t>
      </w:r>
    </w:p>
    <w:p>
      <w:pPr>
        <w:spacing w:after="0" w:line="113" w:lineRule="exact"/>
        <w:rPr>
          <w:rFonts w:ascii="Arial" w:cs="Arial" w:eastAsia="Arial" w:hAnsi="Arial"/>
          <w:sz w:val="16"/>
          <w:szCs w:val="16"/>
          <w:b w:val="1"/>
          <w:bCs w:val="1"/>
          <w:color w:val="auto"/>
        </w:rPr>
      </w:pPr>
    </w:p>
    <w:p>
      <w:pPr>
        <w:ind w:left="5523" w:hanging="98"/>
        <w:spacing w:after="0"/>
        <w:tabs>
          <w:tab w:leader="none" w:pos="5523" w:val="left"/>
        </w:tabs>
        <w:numPr>
          <w:ilvl w:val="1"/>
          <w:numId w:val="199"/>
        </w:numPr>
        <w:rPr>
          <w:rFonts w:ascii="Arial" w:cs="Arial" w:eastAsia="Arial" w:hAnsi="Arial"/>
          <w:sz w:val="16"/>
          <w:szCs w:val="16"/>
          <w:color w:val="auto"/>
        </w:rPr>
      </w:pPr>
      <w:r>
        <w:rPr>
          <w:rFonts w:ascii="Arial" w:cs="Arial" w:eastAsia="Arial" w:hAnsi="Arial"/>
          <w:sz w:val="16"/>
          <w:szCs w:val="16"/>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3"/>
          </w:cols>
          <w:pgMar w:left="317" w:top="308" w:right="359" w:bottom="1440" w:gutter="0" w:footer="0" w:header="0"/>
        </w:sectPr>
      </w:pPr>
    </w:p>
    <w:bookmarkStart w:id="198" w:name="page199"/>
    <w:bookmarkEnd w:id="198"/>
    <w:p>
      <w:pPr>
        <w:ind w:left="580" w:right="400"/>
        <w:spacing w:after="0" w:line="274" w:lineRule="auto"/>
        <w:rPr>
          <w:sz w:val="20"/>
          <w:szCs w:val="20"/>
          <w:color w:val="auto"/>
        </w:rPr>
      </w:pPr>
      <w:r>
        <w:rPr>
          <w:rFonts w:ascii="Arial" w:cs="Arial" w:eastAsia="Arial" w:hAnsi="Arial"/>
          <w:sz w:val="16"/>
          <w:szCs w:val="16"/>
          <w:color w:val="auto"/>
        </w:rPr>
        <w:t>The following is the principal information of the consolidated financial statements of Credicorp Ltd. and subsidiaries as of December 31,2025 and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98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89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8"/>
                <w:szCs w:val="18"/>
                <w:color w:val="auto"/>
              </w:rPr>
            </w:pPr>
          </w:p>
        </w:tc>
      </w:tr>
      <w:tr>
        <w:trPr>
          <w:trHeight w:val="345"/>
        </w:trPr>
        <w:tc>
          <w:tcPr>
            <w:tcW w:w="8980" w:type="dxa"/>
            <w:vAlign w:val="bottom"/>
          </w:tcPr>
          <w:p>
            <w:pPr>
              <w:ind w:left="68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1"/>
        </w:trPr>
        <w:tc>
          <w:tcPr>
            <w:tcW w:w="8980" w:type="dxa"/>
            <w:vAlign w:val="bottom"/>
          </w:tcPr>
          <w:p>
            <w:pPr>
              <w:ind w:left="680"/>
              <w:spacing w:after="0"/>
              <w:rPr>
                <w:sz w:val="20"/>
                <w:szCs w:val="20"/>
                <w:color w:val="auto"/>
              </w:rPr>
            </w:pPr>
            <w:r>
              <w:rPr>
                <w:rFonts w:ascii="Arial" w:cs="Arial" w:eastAsia="Arial" w:hAnsi="Arial"/>
                <w:sz w:val="16"/>
                <w:szCs w:val="16"/>
                <w:b w:val="1"/>
                <w:bCs w:val="1"/>
                <w:color w:val="auto"/>
              </w:rPr>
              <w:t>Assets -</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Cash and due from banks</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49,044,457</w:t>
            </w: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47,655,196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Cash collateral, reverse repurchase agreements and securities borrowing</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2,177,200</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1,033,177</w:t>
            </w: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Investments</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52,804,942</w:t>
            </w: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53,825,858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Loans, net</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142,315,004</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137,737,296</w:t>
            </w: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Property, furniture and equipment, net</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2,069,017</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1,438,609</w:t>
            </w: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Intangible assets and goodwill, net</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4,764,394</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3,289,157</w:t>
            </w: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Right-of-use assets, net</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603,441</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402,538</w:t>
            </w:r>
          </w:p>
        </w:tc>
        <w:tc>
          <w:tcPr>
            <w:tcW w:w="80" w:type="dxa"/>
            <w:vAlign w:val="bottom"/>
          </w:tcPr>
          <w:p>
            <w:pPr>
              <w:spacing w:after="0"/>
              <w:rPr>
                <w:sz w:val="15"/>
                <w:szCs w:val="15"/>
                <w:color w:val="auto"/>
              </w:rPr>
            </w:pPr>
          </w:p>
        </w:tc>
      </w:tr>
      <w:tr>
        <w:trPr>
          <w:trHeight w:val="202"/>
        </w:trPr>
        <w:tc>
          <w:tcPr>
            <w:tcW w:w="89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13,584,078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10,707,109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b w:val="1"/>
                <w:bCs w:val="1"/>
                <w:color w:val="auto"/>
              </w:rPr>
              <w:t>Total assets</w:t>
            </w: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267,362,533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256,088,940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7"/>
        </w:trPr>
        <w:tc>
          <w:tcPr>
            <w:tcW w:w="8980" w:type="dxa"/>
            <w:vAlign w:val="bottom"/>
          </w:tcPr>
          <w:p>
            <w:pPr>
              <w:ind w:left="680"/>
              <w:spacing w:after="0"/>
              <w:rPr>
                <w:sz w:val="20"/>
                <w:szCs w:val="20"/>
                <w:color w:val="auto"/>
              </w:rPr>
            </w:pPr>
            <w:r>
              <w:rPr>
                <w:rFonts w:ascii="Arial" w:cs="Arial" w:eastAsia="Arial" w:hAnsi="Arial"/>
                <w:sz w:val="16"/>
                <w:szCs w:val="16"/>
                <w:b w:val="1"/>
                <w:bCs w:val="1"/>
                <w:color w:val="auto"/>
              </w:rPr>
              <w:t>Liabilities -</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Deposits and obligations</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170,401,633</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161,842,066</w:t>
            </w: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Payables from repurchase agreements and securities lending</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8,243,787</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9,060,710</w:t>
            </w: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Due to banks and correspondents</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10,675,238</w:t>
            </w: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10,754,385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Technical reserves for insurance claims and premiums</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14,264,155</w:t>
            </w: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13,422,285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Bonds and notes issued</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14,025,535</w:t>
            </w: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17,268,443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2"/>
        </w:trPr>
        <w:tc>
          <w:tcPr>
            <w:tcW w:w="8980" w:type="dxa"/>
            <w:vAlign w:val="bottom"/>
          </w:tcPr>
          <w:p>
            <w:pPr>
              <w:ind w:left="680"/>
              <w:spacing w:after="0"/>
              <w:rPr>
                <w:sz w:val="20"/>
                <w:szCs w:val="20"/>
                <w:color w:val="auto"/>
              </w:rPr>
            </w:pPr>
            <w:r>
              <w:rPr>
                <w:rFonts w:ascii="Arial" w:cs="Arial" w:eastAsia="Arial" w:hAnsi="Arial"/>
                <w:sz w:val="16"/>
                <w:szCs w:val="16"/>
                <w:color w:val="auto"/>
              </w:rPr>
              <w:t>Other liabilities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10,656,076</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8,763,817</w:t>
            </w:r>
          </w:p>
        </w:tc>
        <w:tc>
          <w:tcPr>
            <w:tcW w:w="80" w:type="dxa"/>
            <w:vAlign w:val="bottom"/>
          </w:tcPr>
          <w:p>
            <w:pPr>
              <w:spacing w:after="0"/>
              <w:rPr>
                <w:sz w:val="17"/>
                <w:szCs w:val="17"/>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b w:val="1"/>
                <w:bCs w:val="1"/>
                <w:color w:val="auto"/>
              </w:rPr>
              <w:t>Total liabilities</w:t>
            </w: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228,266,424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221,111,706</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366"/>
        </w:trPr>
        <w:tc>
          <w:tcPr>
            <w:tcW w:w="8980" w:type="dxa"/>
            <w:vAlign w:val="bottom"/>
          </w:tcPr>
          <w:p>
            <w:pPr>
              <w:ind w:left="680"/>
              <w:spacing w:after="0"/>
              <w:rPr>
                <w:sz w:val="20"/>
                <w:szCs w:val="20"/>
                <w:color w:val="auto"/>
              </w:rPr>
            </w:pPr>
            <w:r>
              <w:rPr>
                <w:rFonts w:ascii="Arial" w:cs="Arial" w:eastAsia="Arial" w:hAnsi="Arial"/>
                <w:sz w:val="16"/>
                <w:szCs w:val="16"/>
                <w:b w:val="1"/>
                <w:bCs w:val="1"/>
                <w:color w:val="auto"/>
              </w:rPr>
              <w:t>Equity -</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39,096,109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34,977,234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7"/>
        </w:trPr>
        <w:tc>
          <w:tcPr>
            <w:tcW w:w="8980" w:type="dxa"/>
            <w:vAlign w:val="bottom"/>
          </w:tcPr>
          <w:p>
            <w:pPr>
              <w:ind w:left="680"/>
              <w:spacing w:after="0" w:line="173" w:lineRule="exact"/>
              <w:rPr>
                <w:sz w:val="20"/>
                <w:szCs w:val="20"/>
                <w:color w:val="auto"/>
              </w:rPr>
            </w:pPr>
            <w:r>
              <w:rPr>
                <w:rFonts w:ascii="Arial" w:cs="Arial" w:eastAsia="Arial" w:hAnsi="Arial"/>
                <w:sz w:val="16"/>
                <w:szCs w:val="16"/>
                <w:b w:val="1"/>
                <w:bCs w:val="1"/>
                <w:color w:val="auto"/>
              </w:rPr>
              <w:t>Total liabilities and equity</w:t>
            </w: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267,362,533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256,088,940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86"/>
        </w:trPr>
        <w:tc>
          <w:tcPr>
            <w:tcW w:w="8980" w:type="dxa"/>
            <w:vAlign w:val="bottom"/>
          </w:tcPr>
          <w:p>
            <w:pPr>
              <w:ind w:left="680"/>
              <w:spacing w:after="0"/>
              <w:rPr>
                <w:sz w:val="20"/>
                <w:szCs w:val="20"/>
                <w:color w:val="auto"/>
              </w:rPr>
            </w:pPr>
            <w:r>
              <w:rPr>
                <w:rFonts w:ascii="Arial" w:cs="Arial" w:eastAsia="Arial" w:hAnsi="Arial"/>
                <w:sz w:val="16"/>
                <w:szCs w:val="16"/>
                <w:b w:val="1"/>
                <w:bCs w:val="1"/>
                <w:color w:val="auto"/>
              </w:rPr>
              <w:t>Consolidated statements of income</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1"/>
        </w:trPr>
        <w:tc>
          <w:tcPr>
            <w:tcW w:w="8980" w:type="dxa"/>
            <w:vAlign w:val="bottom"/>
          </w:tcPr>
          <w:p>
            <w:pPr>
              <w:ind w:left="680"/>
              <w:spacing w:after="0"/>
              <w:rPr>
                <w:sz w:val="20"/>
                <w:szCs w:val="20"/>
                <w:color w:val="auto"/>
              </w:rPr>
            </w:pPr>
            <w:r>
              <w:rPr>
                <w:rFonts w:ascii="Arial" w:cs="Arial" w:eastAsia="Arial" w:hAnsi="Arial"/>
                <w:sz w:val="16"/>
                <w:szCs w:val="16"/>
                <w:color w:val="auto"/>
              </w:rPr>
              <w:t>Net interest, similar income and expenses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14,716,479</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14,115,131</w:t>
            </w:r>
          </w:p>
        </w:tc>
        <w:tc>
          <w:tcPr>
            <w:tcW w:w="80" w:type="dxa"/>
            <w:vAlign w:val="bottom"/>
          </w:tcPr>
          <w:p>
            <w:pPr>
              <w:spacing w:after="0"/>
              <w:rPr>
                <w:sz w:val="24"/>
                <w:szCs w:val="24"/>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Provision for credit losses on loan portfolio, net of recoveries</w:t>
            </w:r>
          </w:p>
        </w:tc>
        <w:tc>
          <w:tcPr>
            <w:tcW w:w="11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(2,406,256)</w:t>
            </w:r>
          </w:p>
        </w:tc>
        <w:tc>
          <w:tcPr>
            <w:tcW w:w="110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auto"/>
              </w:rPr>
              <w:t>(3,519,447)</w:t>
            </w: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Total other income</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6,821,279</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6,404,119</w:t>
            </w: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Total insurance underwriting result</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1,389,200</w:t>
            </w:r>
          </w:p>
        </w:tc>
        <w:tc>
          <w:tcPr>
            <w:tcW w:w="10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1,199,020</w:t>
            </w: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Total medical services results</w:t>
            </w:r>
          </w:p>
        </w:tc>
        <w:tc>
          <w:tcPr>
            <w:tcW w:w="11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414,634</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8980" w:type="dxa"/>
            <w:vAlign w:val="bottom"/>
          </w:tcPr>
          <w:p>
            <w:pPr>
              <w:ind w:left="680"/>
              <w:spacing w:after="0" w:line="181" w:lineRule="exact"/>
              <w:rPr>
                <w:sz w:val="20"/>
                <w:szCs w:val="20"/>
                <w:color w:val="auto"/>
              </w:rPr>
            </w:pPr>
            <w:r>
              <w:rPr>
                <w:rFonts w:ascii="Arial" w:cs="Arial" w:eastAsia="Arial" w:hAnsi="Arial"/>
                <w:sz w:val="16"/>
                <w:szCs w:val="16"/>
                <w:color w:val="auto"/>
              </w:rPr>
              <w:t>Total other expenses</w:t>
            </w:r>
          </w:p>
        </w:tc>
        <w:tc>
          <w:tcPr>
            <w:tcW w:w="11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(10,987,783)</w:t>
            </w:r>
          </w:p>
        </w:tc>
        <w:tc>
          <w:tcPr>
            <w:tcW w:w="110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auto"/>
              </w:rPr>
              <w:t>(10,374,296)</w:t>
            </w:r>
          </w:p>
        </w:tc>
      </w:tr>
      <w:tr>
        <w:trPr>
          <w:trHeight w:val="210"/>
        </w:trPr>
        <w:tc>
          <w:tcPr>
            <w:tcW w:w="8980" w:type="dxa"/>
            <w:vAlign w:val="bottom"/>
          </w:tcPr>
          <w:p>
            <w:pPr>
              <w:ind w:left="680"/>
              <w:spacing w:after="0"/>
              <w:rPr>
                <w:sz w:val="20"/>
                <w:szCs w:val="20"/>
                <w:color w:val="auto"/>
              </w:rPr>
            </w:pPr>
            <w:r>
              <w:rPr>
                <w:rFonts w:ascii="Arial" w:cs="Arial" w:eastAsia="Arial" w:hAnsi="Arial"/>
                <w:sz w:val="16"/>
                <w:szCs w:val="16"/>
                <w:color w:val="auto"/>
              </w:rPr>
              <w:t>Income tax</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(2,864,899)</w:t>
            </w:r>
          </w:p>
        </w:tc>
        <w:tc>
          <w:tcPr>
            <w:tcW w:w="1100" w:type="dxa"/>
            <w:vAlign w:val="bottom"/>
            <w:gridSpan w:val="4"/>
          </w:tcPr>
          <w:p>
            <w:pPr>
              <w:jc w:val="right"/>
              <w:ind w:right="40"/>
              <w:spacing w:after="0"/>
              <w:rPr>
                <w:sz w:val="20"/>
                <w:szCs w:val="20"/>
                <w:color w:val="auto"/>
              </w:rPr>
            </w:pPr>
            <w:r>
              <w:rPr>
                <w:rFonts w:ascii="Arial" w:cs="Arial" w:eastAsia="Arial" w:hAnsi="Arial"/>
                <w:sz w:val="16"/>
                <w:szCs w:val="16"/>
                <w:color w:val="auto"/>
              </w:rPr>
              <w:t>(2,201,275)</w:t>
            </w:r>
          </w:p>
        </w:tc>
      </w:tr>
      <w:tr>
        <w:trPr>
          <w:trHeight w:val="177"/>
        </w:trPr>
        <w:tc>
          <w:tcPr>
            <w:tcW w:w="8980" w:type="dxa"/>
            <w:vAlign w:val="bottom"/>
          </w:tcPr>
          <w:p>
            <w:pPr>
              <w:ind w:left="680"/>
              <w:spacing w:after="0" w:line="173" w:lineRule="exact"/>
              <w:rPr>
                <w:sz w:val="20"/>
                <w:szCs w:val="20"/>
                <w:color w:val="auto"/>
              </w:rPr>
            </w:pPr>
            <w:r>
              <w:rPr>
                <w:rFonts w:ascii="Arial" w:cs="Arial" w:eastAsia="Arial" w:hAnsi="Arial"/>
                <w:sz w:val="16"/>
                <w:szCs w:val="16"/>
                <w:b w:val="1"/>
                <w:bCs w:val="1"/>
                <w:color w:val="auto"/>
              </w:rPr>
              <w:t>Net profit</w:t>
            </w: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7,082,654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5,623,252</w:t>
            </w:r>
          </w:p>
        </w:tc>
        <w:tc>
          <w:tcPr>
            <w:tcW w:w="80" w:type="dxa"/>
            <w:vAlign w:val="bottom"/>
          </w:tcPr>
          <w:p>
            <w:pPr>
              <w:spacing w:after="0"/>
              <w:rPr>
                <w:sz w:val="15"/>
                <w:szCs w:val="15"/>
                <w:color w:val="auto"/>
              </w:rPr>
            </w:pPr>
          </w:p>
        </w:tc>
      </w:tr>
      <w:tr>
        <w:trPr>
          <w:trHeight w:val="345"/>
        </w:trPr>
        <w:tc>
          <w:tcPr>
            <w:tcW w:w="8980" w:type="dxa"/>
            <w:vAlign w:val="bottom"/>
          </w:tcPr>
          <w:p>
            <w:pPr>
              <w:ind w:left="680"/>
              <w:spacing w:after="0"/>
              <w:rPr>
                <w:sz w:val="20"/>
                <w:szCs w:val="20"/>
                <w:color w:val="auto"/>
              </w:rPr>
            </w:pPr>
            <w:r>
              <w:rPr>
                <w:rFonts w:ascii="Arial" w:cs="Arial" w:eastAsia="Arial" w:hAnsi="Arial"/>
                <w:sz w:val="16"/>
                <w:szCs w:val="16"/>
                <w:b w:val="1"/>
                <w:bCs w:val="1"/>
                <w:color w:val="auto"/>
              </w:rPr>
              <w:t>Attributable to:</w:t>
            </w: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3"/>
        </w:trPr>
        <w:tc>
          <w:tcPr>
            <w:tcW w:w="8980" w:type="dxa"/>
            <w:vAlign w:val="bottom"/>
          </w:tcPr>
          <w:p>
            <w:pPr>
              <w:ind w:left="680"/>
              <w:spacing w:after="0"/>
              <w:rPr>
                <w:sz w:val="20"/>
                <w:szCs w:val="20"/>
                <w:color w:val="auto"/>
              </w:rPr>
            </w:pPr>
            <w:r>
              <w:rPr>
                <w:rFonts w:ascii="Arial" w:cs="Arial" w:eastAsia="Arial" w:hAnsi="Arial"/>
                <w:sz w:val="16"/>
                <w:szCs w:val="16"/>
                <w:color w:val="auto"/>
              </w:rPr>
              <w:t>Shareholders of Credicorp Ltd.</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6,925,377</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5,501,254</w:t>
            </w:r>
          </w:p>
        </w:tc>
        <w:tc>
          <w:tcPr>
            <w:tcW w:w="80" w:type="dxa"/>
            <w:vAlign w:val="bottom"/>
          </w:tcPr>
          <w:p>
            <w:pPr>
              <w:spacing w:after="0"/>
              <w:rPr>
                <w:sz w:val="16"/>
                <w:szCs w:val="16"/>
                <w:color w:val="auto"/>
              </w:rPr>
            </w:pPr>
          </w:p>
        </w:tc>
      </w:tr>
      <w:tr>
        <w:trPr>
          <w:trHeight w:val="198"/>
        </w:trPr>
        <w:tc>
          <w:tcPr>
            <w:tcW w:w="8980" w:type="dxa"/>
            <w:vAlign w:val="bottom"/>
          </w:tcPr>
          <w:p>
            <w:pPr>
              <w:ind w:left="680"/>
              <w:spacing w:after="0"/>
              <w:rPr>
                <w:sz w:val="20"/>
                <w:szCs w:val="20"/>
                <w:color w:val="auto"/>
              </w:rPr>
            </w:pPr>
            <w:r>
              <w:rPr>
                <w:rFonts w:ascii="Arial" w:cs="Arial" w:eastAsia="Arial" w:hAnsi="Arial"/>
                <w:sz w:val="16"/>
                <w:szCs w:val="16"/>
                <w:color w:val="auto"/>
              </w:rPr>
              <w:t>Non-controlling interest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157,277</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121,998</w:t>
            </w:r>
          </w:p>
        </w:tc>
        <w:tc>
          <w:tcPr>
            <w:tcW w:w="80" w:type="dxa"/>
            <w:vAlign w:val="bottom"/>
          </w:tcPr>
          <w:p>
            <w:pPr>
              <w:spacing w:after="0"/>
              <w:rPr>
                <w:sz w:val="17"/>
                <w:szCs w:val="17"/>
                <w:color w:val="auto"/>
              </w:rPr>
            </w:pPr>
          </w:p>
        </w:tc>
      </w:tr>
      <w:tr>
        <w:trPr>
          <w:trHeight w:val="177"/>
        </w:trPr>
        <w:tc>
          <w:tcPr>
            <w:tcW w:w="8980" w:type="dxa"/>
            <w:vAlign w:val="bottom"/>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7,082,654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5,623,252</w:t>
            </w:r>
          </w:p>
        </w:tc>
        <w:tc>
          <w:tcPr>
            <w:tcW w:w="80" w:type="dxa"/>
            <w:vAlign w:val="bottom"/>
          </w:tcPr>
          <w:p>
            <w:pPr>
              <w:spacing w:after="0"/>
              <w:rPr>
                <w:sz w:val="15"/>
                <w:szCs w:val="15"/>
                <w:color w:val="auto"/>
              </w:rPr>
            </w:pPr>
          </w:p>
        </w:tc>
      </w:tr>
      <w:tr>
        <w:trPr>
          <w:trHeight w:val="522"/>
        </w:trPr>
        <w:tc>
          <w:tcPr>
            <w:tcW w:w="8980" w:type="dxa"/>
            <w:vAlign w:val="bottom"/>
          </w:tcPr>
          <w:p>
            <w:pPr>
              <w:ind w:left="5420"/>
              <w:spacing w:after="0"/>
              <w:rPr>
                <w:sz w:val="20"/>
                <w:szCs w:val="20"/>
                <w:color w:val="auto"/>
              </w:rPr>
            </w:pPr>
            <w:r>
              <w:rPr>
                <w:rFonts w:ascii="Arial" w:cs="Arial" w:eastAsia="Arial" w:hAnsi="Arial"/>
                <w:sz w:val="16"/>
                <w:szCs w:val="16"/>
                <w:color w:val="auto"/>
              </w:rPr>
              <w:t>- 12 -</w:t>
            </w: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
        </w:trPr>
        <w:tc>
          <w:tcPr>
            <w:tcW w:w="8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4" w:right="319" w:bottom="1440" w:gutter="0" w:footer="0" w:header="0"/>
        </w:sectPr>
      </w:pPr>
    </w:p>
    <w:bookmarkStart w:id="199" w:name="page200"/>
    <w:bookmarkEnd w:id="199"/>
    <w:p>
      <w:pPr>
        <w:ind w:left="583" w:hanging="583"/>
        <w:spacing w:after="0"/>
        <w:tabs>
          <w:tab w:leader="none" w:pos="583"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ACQUISITIONS</w:t>
      </w:r>
    </w:p>
    <w:p>
      <w:pPr>
        <w:spacing w:after="0" w:line="177"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color w:val="auto"/>
        </w:rPr>
        <w:t>Credicorp subsidiaries have acquired and signed acquisition agreements during 2025, which are detailed below:</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Acquisition of a majority interest in Pacífico EPS -</w:t>
      </w:r>
    </w:p>
    <w:p>
      <w:pPr>
        <w:spacing w:after="0" w:line="189" w:lineRule="exact"/>
        <w:rPr>
          <w:rFonts w:ascii="Arial" w:cs="Arial" w:eastAsia="Arial" w:hAnsi="Arial"/>
          <w:sz w:val="16"/>
          <w:szCs w:val="16"/>
          <w:color w:val="auto"/>
        </w:rPr>
      </w:pPr>
    </w:p>
    <w:p>
      <w:pPr>
        <w:ind w:left="863" w:right="120"/>
        <w:spacing w:after="0" w:line="255" w:lineRule="auto"/>
        <w:rPr>
          <w:rFonts w:ascii="Arial" w:cs="Arial" w:eastAsia="Arial" w:hAnsi="Arial"/>
          <w:sz w:val="16"/>
          <w:szCs w:val="16"/>
          <w:color w:val="auto"/>
        </w:rPr>
      </w:pPr>
      <w:r>
        <w:rPr>
          <w:rFonts w:ascii="Arial" w:cs="Arial" w:eastAsia="Arial" w:hAnsi="Arial"/>
          <w:sz w:val="16"/>
          <w:szCs w:val="16"/>
          <w:color w:val="auto"/>
        </w:rPr>
        <w:t>On November 01, 2024 Credicorp entered into an agreement to acquire the 50.0 percent interest from Empresas Banmédica (“Banmédica” hereafter) in the partnership and participation agreement entered into in December 2014 between Pacifico Compañía de Seguros y Reaseguros S.A. (“Pacifico Seguros”) and Banmédica.</w:t>
      </w:r>
    </w:p>
    <w:p>
      <w:pPr>
        <w:spacing w:after="0" w:line="137" w:lineRule="exact"/>
        <w:rPr>
          <w:rFonts w:ascii="Arial" w:cs="Arial" w:eastAsia="Arial" w:hAnsi="Arial"/>
          <w:sz w:val="16"/>
          <w:szCs w:val="16"/>
          <w:color w:val="auto"/>
        </w:rPr>
      </w:pPr>
    </w:p>
    <w:p>
      <w:pPr>
        <w:ind w:left="863" w:right="200"/>
        <w:spacing w:after="0" w:line="248" w:lineRule="auto"/>
        <w:rPr>
          <w:rFonts w:ascii="Arial" w:cs="Arial" w:eastAsia="Arial" w:hAnsi="Arial"/>
          <w:sz w:val="16"/>
          <w:szCs w:val="16"/>
          <w:color w:val="auto"/>
        </w:rPr>
      </w:pPr>
      <w:r>
        <w:rPr>
          <w:rFonts w:ascii="Arial" w:cs="Arial" w:eastAsia="Arial" w:hAnsi="Arial"/>
          <w:sz w:val="16"/>
          <w:szCs w:val="16"/>
          <w:color w:val="auto"/>
        </w:rPr>
        <w:t>Pursuant to this acquisition, Banmédica trasnfered its 50.0 percent interest in the private health insurance business in Peru (Joint Venture Agreement) to Pacifico Seguros. In addition, Banmédica transfered its 50.0 percent interest in Pacifico S.A. Entidad Prestadora de Salud (“Pacifico EPS”), which manages the corporate employee health insurance and medical services businesses in Peru, to Credicorp’s subsidiary, Grupo Crédito S.A.</w:t>
      </w:r>
    </w:p>
    <w:p>
      <w:pPr>
        <w:spacing w:after="0" w:line="144" w:lineRule="exact"/>
        <w:rPr>
          <w:rFonts w:ascii="Arial" w:cs="Arial" w:eastAsia="Arial" w:hAnsi="Arial"/>
          <w:sz w:val="16"/>
          <w:szCs w:val="16"/>
          <w:color w:val="auto"/>
        </w:rPr>
      </w:pPr>
    </w:p>
    <w:p>
      <w:pPr>
        <w:ind w:left="863" w:right="140"/>
        <w:spacing w:after="0" w:line="255" w:lineRule="auto"/>
        <w:rPr>
          <w:rFonts w:ascii="Arial" w:cs="Arial" w:eastAsia="Arial" w:hAnsi="Arial"/>
          <w:sz w:val="16"/>
          <w:szCs w:val="16"/>
          <w:color w:val="auto"/>
        </w:rPr>
      </w:pPr>
      <w:r>
        <w:rPr>
          <w:rFonts w:ascii="Arial" w:cs="Arial" w:eastAsia="Arial" w:hAnsi="Arial"/>
          <w:sz w:val="16"/>
          <w:szCs w:val="16"/>
          <w:color w:val="auto"/>
        </w:rPr>
        <w:t>As of March 13, 2025, Grupo Credito completed the acquisition of the remaining 50.0 percent interest in Pacífico EPS (representing 24,627,219 shares) and 50.0 percent of the co-investment agreement with Banmédica. The consideration paid for the acquisition of the interest in Pacífico EPS amounted to S/950.9 million.</w:t>
      </w:r>
    </w:p>
    <w:p>
      <w:pPr>
        <w:spacing w:after="0" w:line="137" w:lineRule="exact"/>
        <w:rPr>
          <w:rFonts w:ascii="Arial" w:cs="Arial" w:eastAsia="Arial" w:hAnsi="Arial"/>
          <w:sz w:val="16"/>
          <w:szCs w:val="16"/>
          <w:color w:val="auto"/>
        </w:rPr>
      </w:pPr>
    </w:p>
    <w:p>
      <w:pPr>
        <w:ind w:left="863" w:hanging="284"/>
        <w:spacing w:after="0"/>
        <w:tabs>
          <w:tab w:leader="none" w:pos="86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Agreement to Acquire Shares of Helm Bank USA -</w:t>
      </w:r>
    </w:p>
    <w:p>
      <w:pPr>
        <w:spacing w:after="0" w:line="189" w:lineRule="exact"/>
        <w:rPr>
          <w:rFonts w:ascii="Arial" w:cs="Arial" w:eastAsia="Arial" w:hAnsi="Arial"/>
          <w:sz w:val="16"/>
          <w:szCs w:val="16"/>
          <w:color w:val="auto"/>
        </w:rPr>
      </w:pPr>
    </w:p>
    <w:p>
      <w:pPr>
        <w:ind w:left="863"/>
        <w:spacing w:after="0" w:line="255" w:lineRule="auto"/>
        <w:rPr>
          <w:rFonts w:ascii="Arial" w:cs="Arial" w:eastAsia="Arial" w:hAnsi="Arial"/>
          <w:sz w:val="16"/>
          <w:szCs w:val="16"/>
          <w:color w:val="auto"/>
        </w:rPr>
      </w:pPr>
      <w:r>
        <w:rPr>
          <w:rFonts w:ascii="Arial" w:cs="Arial" w:eastAsia="Arial" w:hAnsi="Arial"/>
          <w:sz w:val="16"/>
          <w:szCs w:val="16"/>
          <w:color w:val="auto"/>
        </w:rPr>
        <w:t>On December 29, 2025, Banco de Crédito del Perú (“BCP”) entered into a Stock Purchase Agreement (“SPA”) with the shareholders of Helm Bank USA to acquire 100 percent of the issued and outstanding shares of Helm Bank USA (“Helm Bank”). Pursuant to the terms of the SPA, BCP will pay an amount of US$180.0 million, subject to customary purchase price adjustments as of the closing date (“Purchase Price”).</w:t>
      </w:r>
    </w:p>
    <w:p>
      <w:pPr>
        <w:spacing w:after="0" w:line="137" w:lineRule="exact"/>
        <w:rPr>
          <w:rFonts w:ascii="Arial" w:cs="Arial" w:eastAsia="Arial" w:hAnsi="Arial"/>
          <w:sz w:val="16"/>
          <w:szCs w:val="16"/>
          <w:color w:val="auto"/>
        </w:rPr>
      </w:pPr>
    </w:p>
    <w:p>
      <w:pPr>
        <w:ind w:left="863" w:right="640"/>
        <w:spacing w:after="0" w:line="274" w:lineRule="auto"/>
        <w:rPr>
          <w:rFonts w:ascii="Arial" w:cs="Arial" w:eastAsia="Arial" w:hAnsi="Arial"/>
          <w:sz w:val="16"/>
          <w:szCs w:val="16"/>
          <w:color w:val="auto"/>
        </w:rPr>
      </w:pPr>
      <w:r>
        <w:rPr>
          <w:rFonts w:ascii="Arial" w:cs="Arial" w:eastAsia="Arial" w:hAnsi="Arial"/>
          <w:sz w:val="16"/>
          <w:szCs w:val="16"/>
          <w:color w:val="auto"/>
        </w:rPr>
        <w:t>Helm Bank is a community bank authorized to operate in the State of Florida, United States of America, by the Florida Office of Financial Regulation (“OFR”), regulated by the OFR, and is a member of the Federal Deposit Insurance Corporation (“FDIC”).</w:t>
      </w:r>
    </w:p>
    <w:p>
      <w:pPr>
        <w:spacing w:after="0" w:line="123" w:lineRule="exact"/>
        <w:rPr>
          <w:sz w:val="20"/>
          <w:szCs w:val="20"/>
          <w:color w:val="auto"/>
        </w:rPr>
      </w:pPr>
    </w:p>
    <w:p>
      <w:pPr>
        <w:ind w:left="863" w:right="20"/>
        <w:spacing w:after="0" w:line="255" w:lineRule="auto"/>
        <w:rPr>
          <w:sz w:val="20"/>
          <w:szCs w:val="20"/>
          <w:color w:val="auto"/>
        </w:rPr>
      </w:pPr>
      <w:r>
        <w:rPr>
          <w:rFonts w:ascii="Arial" w:cs="Arial" w:eastAsia="Arial" w:hAnsi="Arial"/>
          <w:sz w:val="16"/>
          <w:szCs w:val="16"/>
          <w:color w:val="auto"/>
        </w:rPr>
        <w:t>The transaction is subject to obtaining the required regulatory approvals in the United States from the OFR and the Federal Reserve (“FED”), and in Peru from the Superintendencia de Banca, Seguros y AFP (“SBS”), as well as the fulfillment of other customary closing conditions. As of the date of this report, such approvals remain pending.</w:t>
      </w:r>
    </w:p>
    <w:p>
      <w:pPr>
        <w:spacing w:after="0" w:line="125" w:lineRule="exact"/>
        <w:rPr>
          <w:sz w:val="20"/>
          <w:szCs w:val="20"/>
          <w:color w:val="auto"/>
        </w:rPr>
      </w:pPr>
    </w:p>
    <w:p>
      <w:pPr>
        <w:ind w:left="583" w:hanging="583"/>
        <w:spacing w:after="0"/>
        <w:tabs>
          <w:tab w:leader="none" w:pos="583"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MATERIAL ACCOUNTING POLICIES</w:t>
      </w:r>
    </w:p>
    <w:p>
      <w:pPr>
        <w:spacing w:after="0" w:line="177"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color w:val="auto"/>
        </w:rPr>
        <w:t>The material accounting policies used in the preparation of Credicorp’s separate financial statements are detailed below:</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Basis of presentation, use of estimates and changes in accounting policies -</w:t>
      </w:r>
    </w:p>
    <w:p>
      <w:pPr>
        <w:spacing w:after="0" w:line="189" w:lineRule="exact"/>
        <w:rPr>
          <w:rFonts w:ascii="Arial" w:cs="Arial" w:eastAsia="Arial" w:hAnsi="Arial"/>
          <w:sz w:val="16"/>
          <w:szCs w:val="16"/>
          <w:color w:val="auto"/>
        </w:rPr>
      </w:pPr>
    </w:p>
    <w:p>
      <w:pPr>
        <w:ind w:left="863" w:right="740"/>
        <w:spacing w:after="0" w:line="274" w:lineRule="auto"/>
        <w:rPr>
          <w:rFonts w:ascii="Arial" w:cs="Arial" w:eastAsia="Arial" w:hAnsi="Arial"/>
          <w:sz w:val="16"/>
          <w:szCs w:val="16"/>
          <w:color w:val="auto"/>
        </w:rPr>
      </w:pPr>
      <w:r>
        <w:rPr>
          <w:rFonts w:ascii="Arial" w:cs="Arial" w:eastAsia="Arial" w:hAnsi="Arial"/>
          <w:sz w:val="16"/>
          <w:szCs w:val="16"/>
          <w:color w:val="auto"/>
        </w:rPr>
        <w:t>The accompanying separate financial statements have been prepared in accordance with IFRS Accounting Standards as issued by the International Accounting Standards Board (IASB).</w:t>
      </w:r>
    </w:p>
    <w:p>
      <w:pPr>
        <w:spacing w:after="0" w:line="122" w:lineRule="exact"/>
        <w:rPr>
          <w:rFonts w:ascii="Arial" w:cs="Arial" w:eastAsia="Arial" w:hAnsi="Arial"/>
          <w:sz w:val="16"/>
          <w:szCs w:val="16"/>
          <w:color w:val="auto"/>
        </w:rPr>
      </w:pPr>
    </w:p>
    <w:p>
      <w:pPr>
        <w:ind w:left="863" w:right="100"/>
        <w:spacing w:after="0" w:line="255" w:lineRule="auto"/>
        <w:rPr>
          <w:rFonts w:ascii="Arial" w:cs="Arial" w:eastAsia="Arial" w:hAnsi="Arial"/>
          <w:sz w:val="16"/>
          <w:szCs w:val="16"/>
          <w:color w:val="auto"/>
        </w:rPr>
      </w:pPr>
      <w:r>
        <w:rPr>
          <w:rFonts w:ascii="Arial" w:cs="Arial" w:eastAsia="Arial" w:hAnsi="Arial"/>
          <w:sz w:val="16"/>
          <w:szCs w:val="16"/>
          <w:color w:val="auto"/>
        </w:rPr>
        <w:t>The separate financial statements as of December 31, 2025 and 2024, have been prepared following the historical cost criteria, except for at fair value through other comprehensive income, which have been measured at fair value, and investments in subsidiaries that are measured based on the equity method.</w:t>
      </w:r>
    </w:p>
    <w:p>
      <w:pPr>
        <w:spacing w:after="0" w:line="294" w:lineRule="exact"/>
        <w:rPr>
          <w:rFonts w:ascii="Arial" w:cs="Arial" w:eastAsia="Arial" w:hAnsi="Arial"/>
          <w:sz w:val="16"/>
          <w:szCs w:val="16"/>
          <w:color w:val="auto"/>
        </w:rPr>
      </w:pPr>
    </w:p>
    <w:p>
      <w:pPr>
        <w:ind w:left="5523" w:hanging="104"/>
        <w:spacing w:after="0"/>
        <w:tabs>
          <w:tab w:leader="none" w:pos="5523" w:val="left"/>
        </w:tabs>
        <w:numPr>
          <w:ilvl w:val="2"/>
          <w:numId w:val="201"/>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03"/>
          </w:cols>
          <w:pgMar w:left="317" w:top="292" w:right="379" w:bottom="1440" w:gutter="0" w:footer="0" w:header="0"/>
        </w:sectPr>
      </w:pPr>
    </w:p>
    <w:bookmarkStart w:id="200" w:name="page201"/>
    <w:bookmarkEnd w:id="200"/>
    <w:p>
      <w:pPr>
        <w:ind w:left="284" w:right="260"/>
        <w:spacing w:after="0" w:line="274" w:lineRule="auto"/>
        <w:rPr>
          <w:sz w:val="20"/>
          <w:szCs w:val="20"/>
          <w:color w:val="auto"/>
        </w:rPr>
      </w:pPr>
      <w:r>
        <w:rPr>
          <w:rFonts w:ascii="Arial" w:cs="Arial" w:eastAsia="Arial" w:hAnsi="Arial"/>
          <w:sz w:val="16"/>
          <w:szCs w:val="16"/>
          <w:color w:val="auto"/>
        </w:rPr>
        <w:t>The separate financial statements are presented in Soles (S/), which is the functional currency of Credicorp Ltd., see paragraph (b) below, and values are rounded to thousands of soles, except when otherwise indicated.</w:t>
      </w:r>
    </w:p>
    <w:p>
      <w:pPr>
        <w:spacing w:after="0" w:line="123" w:lineRule="exact"/>
        <w:rPr>
          <w:sz w:val="20"/>
          <w:szCs w:val="20"/>
          <w:color w:val="auto"/>
        </w:rPr>
      </w:pPr>
    </w:p>
    <w:p>
      <w:pPr>
        <w:ind w:left="284" w:right="60"/>
        <w:spacing w:after="0" w:line="255" w:lineRule="auto"/>
        <w:rPr>
          <w:sz w:val="20"/>
          <w:szCs w:val="20"/>
          <w:color w:val="auto"/>
        </w:rPr>
      </w:pPr>
      <w:r>
        <w:rPr>
          <w:rFonts w:ascii="Arial" w:cs="Arial" w:eastAsia="Arial" w:hAnsi="Arial"/>
          <w:sz w:val="16"/>
          <w:szCs w:val="16"/>
          <w:color w:val="auto"/>
        </w:rPr>
        <w:t>The preparation of the separate financial statements in accordance with IFRS Accounting Standards requires Management to make estimates and use assumptions that affect the reported amounts of assets, liabilities, revenues and expenses, as well as the disclosure of significant events in notes to the separate financial statements.</w:t>
      </w:r>
    </w:p>
    <w:p>
      <w:pPr>
        <w:spacing w:after="0" w:line="137" w:lineRule="exact"/>
        <w:rPr>
          <w:sz w:val="20"/>
          <w:szCs w:val="20"/>
          <w:color w:val="auto"/>
        </w:rPr>
      </w:pPr>
    </w:p>
    <w:p>
      <w:pPr>
        <w:ind w:left="284" w:right="380"/>
        <w:spacing w:after="0" w:line="274"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w:t>
      </w:r>
    </w:p>
    <w:p>
      <w:pPr>
        <w:spacing w:after="0" w:line="123" w:lineRule="exact"/>
        <w:rPr>
          <w:sz w:val="20"/>
          <w:szCs w:val="20"/>
          <w:color w:val="auto"/>
        </w:rPr>
      </w:pPr>
    </w:p>
    <w:p>
      <w:pPr>
        <w:jc w:val="both"/>
        <w:ind w:left="284" w:right="500"/>
        <w:spacing w:after="0" w:line="274" w:lineRule="auto"/>
        <w:rPr>
          <w:sz w:val="20"/>
          <w:szCs w:val="20"/>
          <w:color w:val="auto"/>
        </w:rPr>
      </w:pPr>
      <w:r>
        <w:rPr>
          <w:rFonts w:ascii="Arial" w:cs="Arial" w:eastAsia="Arial" w:hAnsi="Arial"/>
          <w:sz w:val="16"/>
          <w:szCs w:val="16"/>
          <w:color w:val="auto"/>
        </w:rPr>
        <w:t>The most significant estimates included in the accompanying separate financial statements are related to the calculation of the valuation of investments, the expected credit loss for investments at fair value through other comprehensive income and investments at amortized cost.</w:t>
      </w:r>
    </w:p>
    <w:p>
      <w:pPr>
        <w:spacing w:after="0" w:line="123" w:lineRule="exact"/>
        <w:rPr>
          <w:sz w:val="20"/>
          <w:szCs w:val="20"/>
          <w:color w:val="auto"/>
        </w:rPr>
      </w:pPr>
    </w:p>
    <w:p>
      <w:pPr>
        <w:ind w:left="284" w:right="760"/>
        <w:spacing w:after="0" w:line="274" w:lineRule="auto"/>
        <w:rPr>
          <w:sz w:val="20"/>
          <w:szCs w:val="20"/>
          <w:color w:val="auto"/>
        </w:rPr>
      </w:pPr>
      <w:r>
        <w:rPr>
          <w:rFonts w:ascii="Arial" w:cs="Arial" w:eastAsia="Arial" w:hAnsi="Arial"/>
          <w:sz w:val="16"/>
          <w:szCs w:val="16"/>
          <w:color w:val="auto"/>
        </w:rPr>
        <w:t>Furthermore, there are other estimates, such as the deferred income tax assets and liabilities for investments at fair value through other comprehensive income. The accounting criteria used for said estimate is described below.</w:t>
      </w:r>
    </w:p>
    <w:p>
      <w:pPr>
        <w:spacing w:after="0" w:line="123" w:lineRule="exact"/>
        <w:rPr>
          <w:sz w:val="20"/>
          <w:szCs w:val="20"/>
          <w:color w:val="auto"/>
        </w:rPr>
      </w:pPr>
    </w:p>
    <w:p>
      <w:pPr>
        <w:ind w:left="284" w:right="180"/>
        <w:spacing w:after="0" w:line="274" w:lineRule="auto"/>
        <w:rPr>
          <w:sz w:val="20"/>
          <w:szCs w:val="20"/>
          <w:color w:val="auto"/>
        </w:rPr>
      </w:pPr>
      <w:r>
        <w:rPr>
          <w:rFonts w:ascii="Arial" w:cs="Arial" w:eastAsia="Arial" w:hAnsi="Arial"/>
          <w:sz w:val="16"/>
          <w:szCs w:val="16"/>
          <w:color w:val="auto"/>
        </w:rPr>
        <w:t>The Company adopted the following standards and amendments for the first time for its annual period beginning on or after January 1, 2025, as described below:</w:t>
      </w:r>
    </w:p>
    <w:p>
      <w:pPr>
        <w:spacing w:after="0" w:line="123" w:lineRule="exact"/>
        <w:rPr>
          <w:sz w:val="20"/>
          <w:szCs w:val="20"/>
          <w:color w:val="auto"/>
        </w:rPr>
      </w:pPr>
    </w:p>
    <w:p>
      <w:pPr>
        <w:ind w:left="584" w:hanging="295"/>
        <w:spacing w:after="0"/>
        <w:tabs>
          <w:tab w:leader="none" w:pos="58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Amendments to IAS 21: Lack of Exchangeability</w:t>
      </w:r>
    </w:p>
    <w:p>
      <w:pPr>
        <w:spacing w:after="0" w:line="189" w:lineRule="exact"/>
        <w:rPr>
          <w:rFonts w:ascii="Arial" w:cs="Arial" w:eastAsia="Arial" w:hAnsi="Arial"/>
          <w:sz w:val="16"/>
          <w:szCs w:val="16"/>
          <w:color w:val="auto"/>
        </w:rPr>
      </w:pPr>
    </w:p>
    <w:p>
      <w:pPr>
        <w:jc w:val="both"/>
        <w:ind w:left="584"/>
        <w:spacing w:after="0" w:line="248" w:lineRule="auto"/>
        <w:rPr>
          <w:rFonts w:ascii="Arial" w:cs="Arial" w:eastAsia="Arial" w:hAnsi="Arial"/>
          <w:sz w:val="16"/>
          <w:szCs w:val="16"/>
          <w:color w:val="auto"/>
        </w:rPr>
      </w:pPr>
      <w:r>
        <w:rPr>
          <w:rFonts w:ascii="Arial" w:cs="Arial" w:eastAsia="Arial" w:hAnsi="Arial"/>
          <w:sz w:val="16"/>
          <w:szCs w:val="16"/>
          <w:color w:val="auto"/>
        </w:rPr>
        <w:t>The amendments to IAS 21 The Effects of Changes in Foreign Exchange Rates specify how an entity must assess whether a currency is exchangeable and how to determine a spot exchange rate when exchangeability does not exist. The amendments also require disclosure of information that enables users of the financial statements to understand how the lack of exchangeability of a currency affects, or is expected to affect, the entity’s financial performance, financial position, and cash flows.</w:t>
      </w:r>
    </w:p>
    <w:p>
      <w:pPr>
        <w:spacing w:after="0" w:line="144"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The modifications in the standard had no impact on the separate financial statements.</w:t>
      </w:r>
    </w:p>
    <w:p>
      <w:pPr>
        <w:spacing w:after="0" w:line="177" w:lineRule="exact"/>
        <w:rPr>
          <w:rFonts w:ascii="Arial" w:cs="Arial" w:eastAsia="Arial" w:hAnsi="Arial"/>
          <w:sz w:val="16"/>
          <w:szCs w:val="16"/>
          <w:color w:val="auto"/>
        </w:rPr>
      </w:pPr>
    </w:p>
    <w:p>
      <w:pPr>
        <w:ind w:left="284" w:hanging="284"/>
        <w:spacing w:after="0"/>
        <w:tabs>
          <w:tab w:leader="none" w:pos="28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Functional, presentation and foreign currency transactions -</w:t>
      </w:r>
    </w:p>
    <w:p>
      <w:pPr>
        <w:spacing w:after="0" w:line="189" w:lineRule="exact"/>
        <w:rPr>
          <w:rFonts w:ascii="Arial" w:cs="Arial" w:eastAsia="Arial" w:hAnsi="Arial"/>
          <w:sz w:val="16"/>
          <w:szCs w:val="16"/>
          <w:color w:val="auto"/>
        </w:rPr>
      </w:pPr>
    </w:p>
    <w:p>
      <w:pPr>
        <w:ind w:left="584" w:hanging="295"/>
        <w:spacing w:after="0"/>
        <w:tabs>
          <w:tab w:leader="none" w:pos="5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Functional and presentation currency -</w:t>
      </w:r>
    </w:p>
    <w:p>
      <w:pPr>
        <w:spacing w:after="0" w:line="189" w:lineRule="exact"/>
        <w:rPr>
          <w:rFonts w:ascii="Arial" w:cs="Arial" w:eastAsia="Arial" w:hAnsi="Arial"/>
          <w:sz w:val="16"/>
          <w:szCs w:val="16"/>
          <w:color w:val="auto"/>
        </w:rPr>
      </w:pPr>
    </w:p>
    <w:p>
      <w:pPr>
        <w:ind w:left="584" w:right="40"/>
        <w:spacing w:after="0" w:line="255" w:lineRule="auto"/>
        <w:rPr>
          <w:rFonts w:ascii="Arial" w:cs="Arial" w:eastAsia="Arial" w:hAnsi="Arial"/>
          <w:sz w:val="16"/>
          <w:szCs w:val="16"/>
          <w:color w:val="auto"/>
        </w:rPr>
      </w:pPr>
      <w:r>
        <w:rPr>
          <w:rFonts w:ascii="Arial" w:cs="Arial" w:eastAsia="Arial" w:hAnsi="Arial"/>
          <w:sz w:val="16"/>
          <w:szCs w:val="16"/>
          <w:color w:val="auto"/>
        </w:rPr>
        <w:t>The Company considers the sol as their functional and presentation currency since it reflects the nature of the economic events and relevant circumstances given the fact their major transactions and/operations, such as: financing obtained, interests and similar income, administrative and general expenses, as well as a significant percentage of their purchases; they are agreed and settled in soles.</w:t>
      </w:r>
    </w:p>
    <w:p>
      <w:pPr>
        <w:spacing w:after="0" w:line="137" w:lineRule="exact"/>
        <w:rPr>
          <w:rFonts w:ascii="Arial" w:cs="Arial" w:eastAsia="Arial" w:hAnsi="Arial"/>
          <w:sz w:val="16"/>
          <w:szCs w:val="16"/>
          <w:color w:val="auto"/>
        </w:rPr>
      </w:pPr>
    </w:p>
    <w:p>
      <w:pPr>
        <w:ind w:left="584" w:hanging="295"/>
        <w:spacing w:after="0"/>
        <w:tabs>
          <w:tab w:leader="none" w:pos="5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Transactions and balances in foreign currency -</w:t>
      </w:r>
    </w:p>
    <w:p>
      <w:pPr>
        <w:spacing w:after="0" w:line="189" w:lineRule="exact"/>
        <w:rPr>
          <w:rFonts w:ascii="Arial" w:cs="Arial" w:eastAsia="Arial" w:hAnsi="Arial"/>
          <w:sz w:val="16"/>
          <w:szCs w:val="16"/>
          <w:color w:val="auto"/>
        </w:rPr>
      </w:pPr>
    </w:p>
    <w:p>
      <w:pPr>
        <w:jc w:val="both"/>
        <w:ind w:left="584" w:right="140"/>
        <w:spacing w:after="0" w:line="255" w:lineRule="auto"/>
        <w:rPr>
          <w:rFonts w:ascii="Arial" w:cs="Arial" w:eastAsia="Arial" w:hAnsi="Arial"/>
          <w:sz w:val="16"/>
          <w:szCs w:val="16"/>
          <w:color w:val="auto"/>
        </w:rPr>
      </w:pPr>
      <w:r>
        <w:rPr>
          <w:rFonts w:ascii="Arial" w:cs="Arial" w:eastAsia="Arial" w:hAnsi="Arial"/>
          <w:sz w:val="16"/>
          <w:szCs w:val="16"/>
          <w:color w:val="auto"/>
        </w:rPr>
        <w:t>Foreign currency transactions are those carried out in currencies other than the functional currency. These transactions are initially recorded at the exchange rates of its functional currency at the transaction dates. Monetary assets and liabilities denominated in foreign currency are adjusted at the exchange rate of the functional currency prevailing at the date of the separate statement of financial position.</w:t>
      </w:r>
    </w:p>
    <w:p>
      <w:pPr>
        <w:spacing w:after="0" w:line="294" w:lineRule="exact"/>
        <w:rPr>
          <w:rFonts w:ascii="Arial" w:cs="Arial" w:eastAsia="Arial" w:hAnsi="Arial"/>
          <w:sz w:val="16"/>
          <w:szCs w:val="16"/>
          <w:color w:val="auto"/>
        </w:rPr>
      </w:pPr>
    </w:p>
    <w:p>
      <w:pPr>
        <w:ind w:left="4944" w:hanging="104"/>
        <w:spacing w:after="0"/>
        <w:tabs>
          <w:tab w:leader="none" w:pos="4944" w:val="left"/>
        </w:tabs>
        <w:numPr>
          <w:ilvl w:val="2"/>
          <w:numId w:val="203"/>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04" w:right="339" w:bottom="1440" w:gutter="0" w:footer="0" w:header="0"/>
        </w:sectPr>
      </w:pPr>
    </w:p>
    <w:bookmarkStart w:id="201" w:name="page202"/>
    <w:bookmarkEnd w:id="201"/>
    <w:p>
      <w:pPr>
        <w:ind w:left="584" w:right="40"/>
        <w:spacing w:after="0" w:line="248" w:lineRule="auto"/>
        <w:rPr>
          <w:sz w:val="20"/>
          <w:szCs w:val="20"/>
          <w:color w:val="auto"/>
        </w:rPr>
      </w:pPr>
      <w:r>
        <w:rPr>
          <w:rFonts w:ascii="Arial" w:cs="Arial" w:eastAsia="Arial" w:hAnsi="Arial"/>
          <w:sz w:val="16"/>
          <w:szCs w:val="16"/>
          <w:color w:val="auto"/>
        </w:rPr>
        <w:t>The differences arising from the exchange rate prevailing at the date of each statement of financial position presented and the exchange rate initially used in recording transactions are recognized in the statement of income in the period in which it occurs, in “Exchange differences, net”. Non -monetary assets and liabilities acquired in foreign currency are recorded at the exchange rate prevailing at the initial transaction date and are not subsequently adjusted.</w:t>
      </w:r>
    </w:p>
    <w:p>
      <w:pPr>
        <w:spacing w:after="0" w:line="144" w:lineRule="exact"/>
        <w:rPr>
          <w:sz w:val="20"/>
          <w:szCs w:val="20"/>
          <w:color w:val="auto"/>
        </w:rPr>
      </w:pPr>
    </w:p>
    <w:p>
      <w:pPr>
        <w:ind w:left="284" w:right="5920" w:hanging="284"/>
        <w:spacing w:after="0" w:line="479" w:lineRule="auto"/>
        <w:tabs>
          <w:tab w:leader="none" w:pos="28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Recognition of income and expenses from banking activities – Interest income and expenses –</w:t>
      </w:r>
    </w:p>
    <w:p>
      <w:pPr>
        <w:spacing w:after="0" w:line="1" w:lineRule="exact"/>
        <w:rPr>
          <w:rFonts w:ascii="Arial" w:cs="Arial" w:eastAsia="Arial" w:hAnsi="Arial"/>
          <w:sz w:val="16"/>
          <w:szCs w:val="16"/>
          <w:color w:val="auto"/>
        </w:rPr>
      </w:pPr>
    </w:p>
    <w:p>
      <w:pPr>
        <w:jc w:val="both"/>
        <w:ind w:left="284"/>
        <w:spacing w:after="0" w:line="274" w:lineRule="auto"/>
        <w:rPr>
          <w:rFonts w:ascii="Arial" w:cs="Arial" w:eastAsia="Arial" w:hAnsi="Arial"/>
          <w:sz w:val="16"/>
          <w:szCs w:val="16"/>
          <w:color w:val="auto"/>
        </w:rPr>
      </w:pPr>
      <w:r>
        <w:rPr>
          <w:rFonts w:ascii="Arial" w:cs="Arial" w:eastAsia="Arial" w:hAnsi="Arial"/>
          <w:sz w:val="16"/>
          <w:szCs w:val="16"/>
          <w:color w:val="auto"/>
        </w:rPr>
        <w:t>Interest income is recorded using the effective interest rate (EIR) method for all financial instruments measured at amortized cost and at fair value through other comprehensive income. Interest expenses corresponding to liabilities measured at amortized cost are also recorded using the EIR.</w:t>
      </w:r>
    </w:p>
    <w:p>
      <w:pPr>
        <w:spacing w:after="0" w:line="122" w:lineRule="exact"/>
        <w:rPr>
          <w:rFonts w:ascii="Arial" w:cs="Arial" w:eastAsia="Arial" w:hAnsi="Arial"/>
          <w:sz w:val="16"/>
          <w:szCs w:val="16"/>
          <w:color w:val="auto"/>
        </w:rPr>
      </w:pPr>
    </w:p>
    <w:p>
      <w:pPr>
        <w:ind w:left="284" w:right="120"/>
        <w:spacing w:after="0" w:line="248" w:lineRule="auto"/>
        <w:rPr>
          <w:rFonts w:ascii="Arial" w:cs="Arial" w:eastAsia="Arial" w:hAnsi="Arial"/>
          <w:sz w:val="16"/>
          <w:szCs w:val="16"/>
          <w:color w:val="auto"/>
        </w:rPr>
      </w:pPr>
      <w:r>
        <w:rPr>
          <w:rFonts w:ascii="Arial" w:cs="Arial" w:eastAsia="Arial" w:hAnsi="Arial"/>
          <w:sz w:val="16"/>
          <w:szCs w:val="16"/>
          <w:color w:val="auto"/>
        </w:rPr>
        <w:t>The EIR is the rate that exactly discounts future cash flows that are estimated to be paid or received during the life of the instrument or a shorter period, if appropriate, to the gross carrying amount of the financial asset or financial liability. The EIR (and, therefore, the amortized cost of the financial asset or liability) is calculated taking into account any discount, premium and transaction costs that are an integral part of the effective interest rate of the financial instrument, but the expected credit loss is not included.</w:t>
      </w:r>
    </w:p>
    <w:p>
      <w:pPr>
        <w:spacing w:after="0" w:line="144"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The Company calculates interest income by applying the EIR to the gross carrying amount of those financial assets that are not impaired.</w:t>
      </w:r>
    </w:p>
    <w:p>
      <w:pPr>
        <w:spacing w:after="0" w:line="177" w:lineRule="exact"/>
        <w:rPr>
          <w:rFonts w:ascii="Arial" w:cs="Arial" w:eastAsia="Arial" w:hAnsi="Arial"/>
          <w:sz w:val="16"/>
          <w:szCs w:val="16"/>
          <w:color w:val="auto"/>
        </w:rPr>
      </w:pPr>
    </w:p>
    <w:p>
      <w:pPr>
        <w:ind w:left="284" w:right="180"/>
        <w:spacing w:after="0" w:line="255" w:lineRule="auto"/>
        <w:rPr>
          <w:rFonts w:ascii="Arial" w:cs="Arial" w:eastAsia="Arial" w:hAnsi="Arial"/>
          <w:sz w:val="16"/>
          <w:szCs w:val="16"/>
          <w:color w:val="auto"/>
        </w:rPr>
      </w:pPr>
      <w:r>
        <w:rPr>
          <w:rFonts w:ascii="Arial" w:cs="Arial" w:eastAsia="Arial" w:hAnsi="Arial"/>
          <w:sz w:val="16"/>
          <w:szCs w:val="16"/>
          <w:color w:val="auto"/>
        </w:rPr>
        <w:t>When a financial asset becomes impaired and, therefore, is considered in Stage 3, the Company calculates interest income by applying the interest rate effective at the carrying amount of the asset, net of its provision for credit loss. If the evidence that the criteria for the recognition of the financial assets in Stage 3 are no longer met, the Company recalculates interest income in gross terms.</w:t>
      </w:r>
    </w:p>
    <w:p>
      <w:pPr>
        <w:spacing w:after="0" w:line="137" w:lineRule="exact"/>
        <w:rPr>
          <w:rFonts w:ascii="Arial" w:cs="Arial" w:eastAsia="Arial" w:hAnsi="Arial"/>
          <w:sz w:val="16"/>
          <w:szCs w:val="16"/>
          <w:color w:val="auto"/>
        </w:rPr>
      </w:pPr>
    </w:p>
    <w:p>
      <w:pPr>
        <w:ind w:left="284"/>
        <w:spacing w:after="0" w:line="255" w:lineRule="auto"/>
        <w:rPr>
          <w:rFonts w:ascii="Arial" w:cs="Arial" w:eastAsia="Arial" w:hAnsi="Arial"/>
          <w:sz w:val="16"/>
          <w:szCs w:val="16"/>
          <w:color w:val="auto"/>
        </w:rPr>
      </w:pPr>
      <w:r>
        <w:rPr>
          <w:rFonts w:ascii="Arial" w:cs="Arial" w:eastAsia="Arial" w:hAnsi="Arial"/>
          <w:sz w:val="16"/>
          <w:szCs w:val="16"/>
          <w:color w:val="auto"/>
        </w:rPr>
        <w:t>Interest income and expenses accrued from all financial instruments that generate interest, including those related to financial instruments carried at fair value through profit or loss, are recorded under the heading “Interest and similar income” and “Interest and similar expenses” of the separate statement of income.</w:t>
      </w:r>
    </w:p>
    <w:p>
      <w:pPr>
        <w:spacing w:after="0" w:line="137"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Dividends -</w:t>
      </w:r>
    </w:p>
    <w:p>
      <w:pPr>
        <w:spacing w:after="0" w:line="177" w:lineRule="exact"/>
        <w:rPr>
          <w:rFonts w:ascii="Arial" w:cs="Arial" w:eastAsia="Arial" w:hAnsi="Arial"/>
          <w:sz w:val="16"/>
          <w:szCs w:val="16"/>
          <w:color w:val="auto"/>
        </w:rPr>
      </w:pPr>
    </w:p>
    <w:p>
      <w:pPr>
        <w:ind w:left="284" w:right="6140"/>
        <w:spacing w:after="0" w:line="472" w:lineRule="auto"/>
        <w:rPr>
          <w:rFonts w:ascii="Arial" w:cs="Arial" w:eastAsia="Arial" w:hAnsi="Arial"/>
          <w:sz w:val="16"/>
          <w:szCs w:val="16"/>
          <w:color w:val="auto"/>
        </w:rPr>
      </w:pPr>
      <w:r>
        <w:rPr>
          <w:rFonts w:ascii="Arial" w:cs="Arial" w:eastAsia="Arial" w:hAnsi="Arial"/>
          <w:sz w:val="16"/>
          <w:szCs w:val="16"/>
          <w:color w:val="auto"/>
        </w:rPr>
        <w:t>Dividends are recorded as income when they are declared. Commissions and fees -</w:t>
      </w:r>
    </w:p>
    <w:p>
      <w:pPr>
        <w:ind w:left="284" w:right="20"/>
        <w:spacing w:after="0" w:line="255" w:lineRule="auto"/>
        <w:rPr>
          <w:rFonts w:ascii="Arial" w:cs="Arial" w:eastAsia="Arial" w:hAnsi="Arial"/>
          <w:sz w:val="16"/>
          <w:szCs w:val="16"/>
          <w:color w:val="auto"/>
        </w:rPr>
      </w:pPr>
      <w:r>
        <w:rPr>
          <w:rFonts w:ascii="Arial" w:cs="Arial" w:eastAsia="Arial" w:hAnsi="Arial"/>
          <w:sz w:val="16"/>
          <w:szCs w:val="16"/>
          <w:color w:val="auto"/>
        </w:rPr>
        <w:t>Income from commissions (which are not an integral part of the EIR) and fees are recognized as they are earned. Commissions and fees include, among others, the commission charged for the banking service in general such as account maintenance, shipping, transfers, loan syndication fees and fees for contingent credits.</w:t>
      </w:r>
    </w:p>
    <w:p>
      <w:pPr>
        <w:spacing w:after="0" w:line="137" w:lineRule="exact"/>
        <w:rPr>
          <w:rFonts w:ascii="Arial" w:cs="Arial" w:eastAsia="Arial" w:hAnsi="Arial"/>
          <w:sz w:val="16"/>
          <w:szCs w:val="16"/>
          <w:color w:val="auto"/>
        </w:rPr>
      </w:pPr>
    </w:p>
    <w:p>
      <w:pPr>
        <w:ind w:left="284" w:right="100"/>
        <w:spacing w:after="0" w:line="255" w:lineRule="auto"/>
        <w:rPr>
          <w:rFonts w:ascii="Arial" w:cs="Arial" w:eastAsia="Arial" w:hAnsi="Arial"/>
          <w:sz w:val="16"/>
          <w:szCs w:val="16"/>
          <w:color w:val="auto"/>
        </w:rPr>
      </w:pPr>
      <w:r>
        <w:rPr>
          <w:rFonts w:ascii="Arial" w:cs="Arial" w:eastAsia="Arial" w:hAnsi="Arial"/>
          <w:sz w:val="16"/>
          <w:szCs w:val="16"/>
          <w:color w:val="auto"/>
        </w:rPr>
        <w:t>Income from commissions and fees is recognized at an amount that reflects the consideration to which the Company expects to be entitled in exchange for providing the services. Performance obligations, as well as the timing of their satisfaction, are identified and determined at the time of contract. The Company’s revenue contracts do not include multiple performance obligations.</w:t>
      </w:r>
    </w:p>
    <w:p>
      <w:pPr>
        <w:spacing w:after="0" w:line="113" w:lineRule="exact"/>
        <w:rPr>
          <w:rFonts w:ascii="Arial" w:cs="Arial" w:eastAsia="Arial" w:hAnsi="Arial"/>
          <w:sz w:val="16"/>
          <w:szCs w:val="16"/>
          <w:color w:val="auto"/>
        </w:rPr>
      </w:pPr>
    </w:p>
    <w:p>
      <w:pPr>
        <w:ind w:left="4944" w:hanging="104"/>
        <w:spacing w:after="0"/>
        <w:tabs>
          <w:tab w:leader="none" w:pos="494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24"/>
          </w:cols>
          <w:pgMar w:left="896" w:top="316" w:right="379" w:bottom="1440" w:gutter="0" w:footer="0" w:header="0"/>
        </w:sectPr>
      </w:pPr>
    </w:p>
    <w:bookmarkStart w:id="202" w:name="page203"/>
    <w:bookmarkEnd w:id="202"/>
    <w:p>
      <w:pPr>
        <w:ind w:left="284"/>
        <w:spacing w:after="0"/>
        <w:rPr>
          <w:sz w:val="20"/>
          <w:szCs w:val="20"/>
          <w:color w:val="auto"/>
        </w:rPr>
      </w:pPr>
      <w:r>
        <w:rPr>
          <w:rFonts w:ascii="Arial" w:cs="Arial" w:eastAsia="Arial" w:hAnsi="Arial"/>
          <w:sz w:val="16"/>
          <w:szCs w:val="16"/>
          <w:color w:val="auto"/>
        </w:rPr>
        <w:t>Other income and expenses -</w:t>
      </w:r>
    </w:p>
    <w:p>
      <w:pPr>
        <w:spacing w:after="0" w:line="177"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All other income and expenses are recorded in the year in which the performance obligation is satisfied.</w:t>
      </w:r>
    </w:p>
    <w:p>
      <w:pPr>
        <w:spacing w:after="0" w:line="178" w:lineRule="exact"/>
        <w:rPr>
          <w:sz w:val="20"/>
          <w:szCs w:val="20"/>
          <w:color w:val="auto"/>
        </w:rPr>
      </w:pPr>
    </w:p>
    <w:p>
      <w:pPr>
        <w:ind w:left="284" w:hanging="284"/>
        <w:spacing w:after="0"/>
        <w:tabs>
          <w:tab w:leader="none" w:pos="28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Financial instruments: Initial recognition and subsequent measurement -</w:t>
      </w:r>
    </w:p>
    <w:p>
      <w:pPr>
        <w:spacing w:after="0" w:line="189" w:lineRule="exact"/>
        <w:rPr>
          <w:rFonts w:ascii="Arial" w:cs="Arial" w:eastAsia="Arial" w:hAnsi="Arial"/>
          <w:sz w:val="16"/>
          <w:szCs w:val="16"/>
          <w:color w:val="auto"/>
        </w:rPr>
      </w:pPr>
    </w:p>
    <w:p>
      <w:pPr>
        <w:ind w:left="284" w:right="420"/>
        <w:spacing w:after="0" w:line="274" w:lineRule="auto"/>
        <w:rPr>
          <w:rFonts w:ascii="Arial" w:cs="Arial" w:eastAsia="Arial" w:hAnsi="Arial"/>
          <w:sz w:val="16"/>
          <w:szCs w:val="16"/>
          <w:color w:val="auto"/>
        </w:rPr>
      </w:pPr>
      <w:r>
        <w:rPr>
          <w:rFonts w:ascii="Arial" w:cs="Arial" w:eastAsia="Arial" w:hAnsi="Arial"/>
          <w:sz w:val="16"/>
          <w:szCs w:val="16"/>
          <w:color w:val="auto"/>
        </w:rPr>
        <w:t>A financial instrument is any agreement that gives rise to a financial asset of one entity and a financial liability or equity instrument of another entity.</w:t>
      </w:r>
    </w:p>
    <w:p>
      <w:pPr>
        <w:spacing w:after="0" w:line="12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The Company determines the classification of its financial instruments at the time of initial recognition.</w:t>
      </w:r>
    </w:p>
    <w:p>
      <w:pPr>
        <w:spacing w:after="0" w:line="177" w:lineRule="exact"/>
        <w:rPr>
          <w:rFonts w:ascii="Arial" w:cs="Arial" w:eastAsia="Arial" w:hAnsi="Arial"/>
          <w:sz w:val="16"/>
          <w:szCs w:val="16"/>
          <w:color w:val="auto"/>
        </w:rPr>
      </w:pPr>
    </w:p>
    <w:p>
      <w:pPr>
        <w:ind w:left="284" w:right="140"/>
        <w:spacing w:after="0" w:line="274" w:lineRule="auto"/>
        <w:rPr>
          <w:rFonts w:ascii="Arial" w:cs="Arial" w:eastAsia="Arial" w:hAnsi="Arial"/>
          <w:sz w:val="16"/>
          <w:szCs w:val="16"/>
          <w:color w:val="auto"/>
        </w:rPr>
      </w:pPr>
      <w:r>
        <w:rPr>
          <w:rFonts w:ascii="Arial" w:cs="Arial" w:eastAsia="Arial" w:hAnsi="Arial"/>
          <w:sz w:val="16"/>
          <w:szCs w:val="16"/>
          <w:color w:val="auto"/>
        </w:rPr>
        <w:t>All financial instruments are initially recognized at their fair value plus the incremental costs related to the transaction that are directly attributable to the purchase or issuance of the instrument, except in the case of financial assets or liabilities carried at fair value through profit or loss.</w:t>
      </w:r>
    </w:p>
    <w:p>
      <w:pPr>
        <w:spacing w:after="0" w:line="122" w:lineRule="exact"/>
        <w:rPr>
          <w:rFonts w:ascii="Arial" w:cs="Arial" w:eastAsia="Arial" w:hAnsi="Arial"/>
          <w:sz w:val="16"/>
          <w:szCs w:val="16"/>
          <w:color w:val="auto"/>
        </w:rPr>
      </w:pPr>
    </w:p>
    <w:p>
      <w:pPr>
        <w:jc w:val="both"/>
        <w:ind w:left="284" w:right="60"/>
        <w:spacing w:after="0" w:line="255" w:lineRule="auto"/>
        <w:rPr>
          <w:rFonts w:ascii="Arial" w:cs="Arial" w:eastAsia="Arial" w:hAnsi="Arial"/>
          <w:sz w:val="16"/>
          <w:szCs w:val="16"/>
          <w:color w:val="auto"/>
        </w:rPr>
      </w:pPr>
      <w:r>
        <w:rPr>
          <w:rFonts w:ascii="Arial" w:cs="Arial" w:eastAsia="Arial" w:hAnsi="Arial"/>
          <w:sz w:val="16"/>
          <w:szCs w:val="16"/>
          <w:color w:val="auto"/>
        </w:rPr>
        <w:t>Purchases or sales of financial assets that require delivery of the assets within a period established in accordance with regulations or conventions in the market (regular way purchases or sales) are recognized at the trade date, that is, the date on which the Company undertakes to buy or sell the asset.</w:t>
      </w:r>
    </w:p>
    <w:p>
      <w:pPr>
        <w:spacing w:after="0" w:line="137" w:lineRule="exact"/>
        <w:rPr>
          <w:rFonts w:ascii="Arial" w:cs="Arial" w:eastAsia="Arial" w:hAnsi="Arial"/>
          <w:sz w:val="16"/>
          <w:szCs w:val="16"/>
          <w:color w:val="auto"/>
        </w:rPr>
      </w:pPr>
    </w:p>
    <w:p>
      <w:pPr>
        <w:ind w:left="284"/>
        <w:spacing w:after="0" w:line="274" w:lineRule="auto"/>
        <w:rPr>
          <w:rFonts w:ascii="Arial" w:cs="Arial" w:eastAsia="Arial" w:hAnsi="Arial"/>
          <w:sz w:val="16"/>
          <w:szCs w:val="16"/>
          <w:color w:val="auto"/>
        </w:rPr>
      </w:pPr>
      <w:r>
        <w:rPr>
          <w:rFonts w:ascii="Arial" w:cs="Arial" w:eastAsia="Arial" w:hAnsi="Arial"/>
          <w:sz w:val="16"/>
          <w:szCs w:val="16"/>
          <w:color w:val="auto"/>
        </w:rPr>
        <w:t>As of December 31, 2025 and 2024, the Company classified financial assets into one of the categories defined by IFRS 9: financial assets i) at fair value through profit or loss, ii) at fair value through other comprehensive income or iii) at amortized cost based on:</w:t>
      </w:r>
    </w:p>
    <w:p>
      <w:pPr>
        <w:spacing w:after="0" w:line="122" w:lineRule="exact"/>
        <w:rPr>
          <w:rFonts w:ascii="Arial" w:cs="Arial" w:eastAsia="Arial" w:hAnsi="Arial"/>
          <w:sz w:val="16"/>
          <w:szCs w:val="16"/>
          <w:color w:val="auto"/>
        </w:rPr>
      </w:pPr>
    </w:p>
    <w:p>
      <w:pPr>
        <w:ind w:left="584" w:hanging="295"/>
        <w:spacing w:after="0"/>
        <w:tabs>
          <w:tab w:leader="none" w:pos="584"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business model to manage financial assets and</w:t>
      </w:r>
    </w:p>
    <w:p>
      <w:pPr>
        <w:spacing w:after="0" w:line="25" w:lineRule="exact"/>
        <w:rPr>
          <w:rFonts w:ascii="Arial" w:cs="Arial" w:eastAsia="Arial" w:hAnsi="Arial"/>
          <w:sz w:val="16"/>
          <w:szCs w:val="16"/>
          <w:color w:val="auto"/>
        </w:rPr>
      </w:pPr>
    </w:p>
    <w:p>
      <w:pPr>
        <w:ind w:left="584" w:hanging="295"/>
        <w:spacing w:after="0"/>
        <w:tabs>
          <w:tab w:leader="none" w:pos="584"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characteristics of the contractual cash flows of the financial asset</w:t>
      </w:r>
    </w:p>
    <w:p>
      <w:pPr>
        <w:spacing w:after="0" w:line="17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Business model -</w:t>
      </w:r>
    </w:p>
    <w:p>
      <w:pPr>
        <w:spacing w:after="0" w:line="178" w:lineRule="exact"/>
        <w:rPr>
          <w:sz w:val="20"/>
          <w:szCs w:val="20"/>
          <w:color w:val="auto"/>
        </w:rPr>
      </w:pPr>
    </w:p>
    <w:p>
      <w:pPr>
        <w:ind w:left="284" w:right="100"/>
        <w:spacing w:after="0" w:line="255" w:lineRule="auto"/>
        <w:rPr>
          <w:sz w:val="20"/>
          <w:szCs w:val="20"/>
          <w:color w:val="auto"/>
        </w:rPr>
      </w:pPr>
      <w:r>
        <w:rPr>
          <w:rFonts w:ascii="Arial" w:cs="Arial" w:eastAsia="Arial" w:hAnsi="Arial"/>
          <w:sz w:val="16"/>
          <w:szCs w:val="16"/>
          <w:color w:val="auto"/>
        </w:rPr>
        <w:t>It represents how financial assets are managed to generate cash flows and is not dependent on Management’s intention with respect to an individual instrument. Financial assets can be managed for the purpose of: i) obtaining contractual cash flows; ii) obtaining contractual cash flows and sale; or iii) others. To evaluate business models, the Company considers:</w:t>
      </w:r>
    </w:p>
    <w:p>
      <w:pPr>
        <w:spacing w:after="0" w:line="137" w:lineRule="exact"/>
        <w:rPr>
          <w:sz w:val="20"/>
          <w:szCs w:val="20"/>
          <w:color w:val="auto"/>
        </w:rPr>
      </w:pPr>
    </w:p>
    <w:p>
      <w:pPr>
        <w:ind w:left="584" w:hanging="295"/>
        <w:spacing w:after="0"/>
        <w:tabs>
          <w:tab w:leader="none" w:pos="58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risks that affect the performance of the business model, and in particular, the way in which these risks are managed.</w:t>
      </w:r>
    </w:p>
    <w:p>
      <w:pPr>
        <w:spacing w:after="0" w:line="25" w:lineRule="exact"/>
        <w:rPr>
          <w:rFonts w:ascii="Arial" w:cs="Arial" w:eastAsia="Arial" w:hAnsi="Arial"/>
          <w:sz w:val="16"/>
          <w:szCs w:val="16"/>
          <w:color w:val="auto"/>
        </w:rPr>
      </w:pPr>
    </w:p>
    <w:p>
      <w:pPr>
        <w:ind w:left="584" w:right="140" w:hanging="295"/>
        <w:spacing w:after="0" w:line="253" w:lineRule="auto"/>
        <w:tabs>
          <w:tab w:leader="none" w:pos="58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How the performance of the business model and the financial assets, held within this business model, are evaluated and informed to the key personnel of the Administration of the Company.</w:t>
      </w:r>
    </w:p>
    <w:p>
      <w:pPr>
        <w:spacing w:after="0" w:line="139" w:lineRule="exact"/>
        <w:rPr>
          <w:sz w:val="20"/>
          <w:szCs w:val="20"/>
          <w:color w:val="auto"/>
        </w:rPr>
      </w:pPr>
    </w:p>
    <w:p>
      <w:pPr>
        <w:ind w:left="284" w:right="240"/>
        <w:spacing w:after="0" w:line="274" w:lineRule="auto"/>
        <w:rPr>
          <w:sz w:val="20"/>
          <w:szCs w:val="20"/>
          <w:color w:val="auto"/>
        </w:rPr>
      </w:pPr>
      <w:r>
        <w:rPr>
          <w:rFonts w:ascii="Arial" w:cs="Arial" w:eastAsia="Arial" w:hAnsi="Arial"/>
          <w:sz w:val="16"/>
          <w:szCs w:val="16"/>
          <w:color w:val="auto"/>
        </w:rPr>
        <w:t>If cash flows after initial recognition are realized differently from the Company’s expectations, the classification of the remaining financial assets held in this business model is not modified.</w:t>
      </w:r>
    </w:p>
    <w:p>
      <w:pPr>
        <w:spacing w:after="0" w:line="123" w:lineRule="exact"/>
        <w:rPr>
          <w:sz w:val="20"/>
          <w:szCs w:val="20"/>
          <w:color w:val="auto"/>
        </w:rPr>
      </w:pPr>
    </w:p>
    <w:p>
      <w:pPr>
        <w:ind w:left="284" w:right="280"/>
        <w:spacing w:after="0" w:line="274" w:lineRule="auto"/>
        <w:rPr>
          <w:sz w:val="20"/>
          <w:szCs w:val="20"/>
          <w:color w:val="auto"/>
        </w:rPr>
      </w:pPr>
      <w:r>
        <w:rPr>
          <w:rFonts w:ascii="Arial" w:cs="Arial" w:eastAsia="Arial" w:hAnsi="Arial"/>
          <w:sz w:val="16"/>
          <w:szCs w:val="16"/>
          <w:color w:val="auto"/>
        </w:rPr>
        <w:t>When the financial asset is maintained in business models i) and ii) the application of the only principal and interest payments test is required - “SPPI”.</w:t>
      </w:r>
    </w:p>
    <w:p>
      <w:pPr>
        <w:spacing w:after="0" w:line="280" w:lineRule="exact"/>
        <w:rPr>
          <w:sz w:val="20"/>
          <w:szCs w:val="20"/>
          <w:color w:val="auto"/>
        </w:rPr>
      </w:pPr>
    </w:p>
    <w:p>
      <w:pPr>
        <w:ind w:left="4844"/>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124" w:right="31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t>SPPI Test (Solely Payments of Principal and Interest) -</w:t>
      </w:r>
    </w:p>
    <w:p>
      <w:pPr>
        <w:spacing w:after="0" w:line="178"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This test consists in the evaluation of the cash flows generated by a financial instrument to verify whether the contractual conditions of the financial asset arise, on specified dates to cash flows that are solely payments of principal and interest. To adapt to this concept the cash flows must solely include the consideration of the time value of money and the credit risk. If the contractual terms introduce risk exposure or cash flow volatility, such as the exposure to changes in the prices of capital instruments or the prices of raw materials, the financial asset is classified as at fair value through profit or loss. Hybrid contracts must be evaluated as a whole, including all the integrated characteristics. The accounting of a hybrid contract that contains an embedded derivative is carried out jointly, in other words, the entire instrument is measured at fair value through profit or loss.</w:t>
      </w:r>
    </w:p>
    <w:p>
      <w:pPr>
        <w:spacing w:after="0" w:line="149" w:lineRule="exact"/>
        <w:rPr>
          <w:sz w:val="20"/>
          <w:szCs w:val="20"/>
          <w:color w:val="auto"/>
        </w:rPr>
      </w:pPr>
    </w:p>
    <w:p>
      <w:pPr>
        <w:ind w:left="300" w:hanging="295"/>
        <w:spacing w:after="0"/>
        <w:tabs>
          <w:tab w:leader="none" w:pos="3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Financial assets at amortized cost -</w:t>
      </w:r>
    </w:p>
    <w:p>
      <w:pPr>
        <w:spacing w:after="0" w:line="189"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A financial asset is classified at amortized cost if the following conditions are met:</w:t>
      </w:r>
    </w:p>
    <w:p>
      <w:pPr>
        <w:spacing w:after="0" w:line="177" w:lineRule="exact"/>
        <w:rPr>
          <w:rFonts w:ascii="Arial" w:cs="Arial" w:eastAsia="Arial" w:hAnsi="Arial"/>
          <w:sz w:val="16"/>
          <w:szCs w:val="16"/>
          <w:color w:val="auto"/>
        </w:rPr>
      </w:pPr>
    </w:p>
    <w:p>
      <w:pPr>
        <w:ind w:left="580" w:hanging="285"/>
        <w:spacing w:after="0"/>
        <w:tabs>
          <w:tab w:leader="none" w:pos="5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It is held within a business model whose objective of which is to maintain the financial asset to obtain contractual cash flows, and</w:t>
      </w:r>
    </w:p>
    <w:p>
      <w:pPr>
        <w:spacing w:after="0" w:line="25" w:lineRule="exact"/>
        <w:rPr>
          <w:rFonts w:ascii="Arial" w:cs="Arial" w:eastAsia="Arial" w:hAnsi="Arial"/>
          <w:sz w:val="16"/>
          <w:szCs w:val="16"/>
          <w:color w:val="auto"/>
        </w:rPr>
      </w:pPr>
    </w:p>
    <w:p>
      <w:pPr>
        <w:ind w:left="580" w:hanging="285"/>
        <w:spacing w:after="0"/>
        <w:tabs>
          <w:tab w:leader="none" w:pos="5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contractual conditions give rise, on specified dates, to cash flows that are solely payments of the principal and interest.</w:t>
      </w:r>
    </w:p>
    <w:p>
      <w:pPr>
        <w:spacing w:after="0" w:line="174" w:lineRule="exact"/>
        <w:rPr>
          <w:sz w:val="20"/>
          <w:szCs w:val="20"/>
          <w:color w:val="auto"/>
        </w:rPr>
      </w:pPr>
    </w:p>
    <w:p>
      <w:pPr>
        <w:ind w:left="300" w:right="140"/>
        <w:spacing w:after="0" w:line="248" w:lineRule="auto"/>
        <w:rPr>
          <w:sz w:val="20"/>
          <w:szCs w:val="20"/>
          <w:color w:val="auto"/>
        </w:rPr>
      </w:pPr>
      <w:r>
        <w:rPr>
          <w:rFonts w:ascii="Arial" w:cs="Arial" w:eastAsia="Arial" w:hAnsi="Arial"/>
          <w:sz w:val="16"/>
          <w:szCs w:val="16"/>
          <w:color w:val="auto"/>
        </w:rPr>
        <w:t>After initial recognition, financial assets in this category are measured at amortized cost, using the effective interest rate method, less any credit loss provision. The amortized cost is calculated taking into account any discount or premium incurred in the acquisition and fees that constitute an integral part of the effective interest rate. Interest income is included in the “Interest and similar income” item in the separate statement of income.</w:t>
      </w:r>
    </w:p>
    <w:p>
      <w:pPr>
        <w:spacing w:after="0" w:line="144" w:lineRule="exact"/>
        <w:rPr>
          <w:sz w:val="20"/>
          <w:szCs w:val="20"/>
          <w:color w:val="auto"/>
        </w:rPr>
      </w:pPr>
    </w:p>
    <w:p>
      <w:pPr>
        <w:jc w:val="both"/>
        <w:ind w:left="300" w:right="500"/>
        <w:spacing w:after="0" w:line="255" w:lineRule="auto"/>
        <w:rPr>
          <w:sz w:val="20"/>
          <w:szCs w:val="20"/>
          <w:color w:val="auto"/>
        </w:rPr>
      </w:pPr>
      <w:r>
        <w:rPr>
          <w:rFonts w:ascii="Arial" w:cs="Arial" w:eastAsia="Arial" w:hAnsi="Arial"/>
          <w:sz w:val="16"/>
          <w:szCs w:val="16"/>
          <w:color w:val="auto"/>
        </w:rPr>
        <w:t>Financial assets at amortized cost include direct credits that are recorded when the funds are disbursed to clients, and indirect credits (contingent) that are recorded when the documents that support said credit facilities are issued. Likewise, the Company considers as refinanced or restructured those loans that change their payment schedule due to difficulties in payment by the debtor.</w:t>
      </w:r>
    </w:p>
    <w:p>
      <w:pPr>
        <w:spacing w:after="0" w:line="137" w:lineRule="exact"/>
        <w:rPr>
          <w:sz w:val="20"/>
          <w:szCs w:val="20"/>
          <w:color w:val="auto"/>
        </w:rPr>
      </w:pPr>
    </w:p>
    <w:p>
      <w:pPr>
        <w:ind w:left="300"/>
        <w:spacing w:after="0" w:line="274" w:lineRule="auto"/>
        <w:rPr>
          <w:sz w:val="20"/>
          <w:szCs w:val="20"/>
          <w:color w:val="auto"/>
        </w:rPr>
      </w:pPr>
      <w:r>
        <w:rPr>
          <w:rFonts w:ascii="Arial" w:cs="Arial" w:eastAsia="Arial" w:hAnsi="Arial"/>
          <w:sz w:val="16"/>
          <w:szCs w:val="16"/>
          <w:color w:val="auto"/>
        </w:rPr>
        <w:t>The impairment loss is calculated using the expected credit loss approach and is recognized in the separate statement of income within “Net gain on securities” for investments and in the item “Provision for credit losses on loan portfolio” for credits.</w:t>
      </w:r>
    </w:p>
    <w:p>
      <w:pPr>
        <w:spacing w:after="0" w:line="123" w:lineRule="exact"/>
        <w:rPr>
          <w:sz w:val="20"/>
          <w:szCs w:val="20"/>
          <w:color w:val="auto"/>
        </w:rPr>
      </w:pPr>
    </w:p>
    <w:p>
      <w:pPr>
        <w:ind w:left="300" w:right="100"/>
        <w:spacing w:after="0" w:line="274" w:lineRule="auto"/>
        <w:rPr>
          <w:sz w:val="20"/>
          <w:szCs w:val="20"/>
          <w:color w:val="auto"/>
        </w:rPr>
      </w:pPr>
      <w:r>
        <w:rPr>
          <w:rFonts w:ascii="Arial" w:cs="Arial" w:eastAsia="Arial" w:hAnsi="Arial"/>
          <w:sz w:val="16"/>
          <w:szCs w:val="16"/>
          <w:color w:val="auto"/>
        </w:rPr>
        <w:t>The balance of financial assets, measured at amortized cost, is presented net of the provision for credit losses in the separate statement of financial position.</w:t>
      </w:r>
    </w:p>
    <w:p>
      <w:pPr>
        <w:spacing w:after="0" w:line="123" w:lineRule="exact"/>
        <w:rPr>
          <w:sz w:val="20"/>
          <w:szCs w:val="20"/>
          <w:color w:val="auto"/>
        </w:rPr>
      </w:pPr>
    </w:p>
    <w:p>
      <w:pPr>
        <w:ind w:left="300" w:hanging="295"/>
        <w:spacing w:after="0"/>
        <w:tabs>
          <w:tab w:leader="none" w:pos="3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Financial assets at fair value through other comprehensive income -</w:t>
      </w:r>
    </w:p>
    <w:p>
      <w:pPr>
        <w:spacing w:after="0" w:line="189" w:lineRule="exact"/>
        <w:rPr>
          <w:rFonts w:ascii="Arial" w:cs="Arial" w:eastAsia="Arial" w:hAnsi="Arial"/>
          <w:sz w:val="16"/>
          <w:szCs w:val="16"/>
          <w:color w:val="auto"/>
        </w:rPr>
      </w:pPr>
    </w:p>
    <w:p>
      <w:pPr>
        <w:ind w:left="300" w:right="460"/>
        <w:spacing w:after="0" w:line="274" w:lineRule="auto"/>
        <w:rPr>
          <w:rFonts w:ascii="Arial" w:cs="Arial" w:eastAsia="Arial" w:hAnsi="Arial"/>
          <w:sz w:val="16"/>
          <w:szCs w:val="16"/>
          <w:color w:val="auto"/>
        </w:rPr>
      </w:pPr>
      <w:r>
        <w:rPr>
          <w:rFonts w:ascii="Arial" w:cs="Arial" w:eastAsia="Arial" w:hAnsi="Arial"/>
          <w:sz w:val="16"/>
          <w:szCs w:val="16"/>
          <w:color w:val="auto"/>
        </w:rPr>
        <w:t>The financial assets that the Company maintains in this category are: a) investments in debt instruments, and b) investments in equity instruments, not for trading, irrevocably designated at initial recognition.</w:t>
      </w:r>
    </w:p>
    <w:p>
      <w:pPr>
        <w:spacing w:after="0" w:line="279" w:lineRule="exact"/>
        <w:rPr>
          <w:rFonts w:ascii="Arial" w:cs="Arial" w:eastAsia="Arial" w:hAnsi="Arial"/>
          <w:sz w:val="16"/>
          <w:szCs w:val="16"/>
          <w:color w:val="auto"/>
        </w:rPr>
      </w:pPr>
    </w:p>
    <w:p>
      <w:pPr>
        <w:ind w:left="4660" w:hanging="104"/>
        <w:spacing w:after="0"/>
        <w:tabs>
          <w:tab w:leader="none" w:pos="466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260"/>
          </w:cols>
          <w:pgMar w:left="1180" w:top="316" w:right="459" w:bottom="1440" w:gutter="0" w:footer="0" w:header="0"/>
        </w:sectPr>
      </w:pPr>
    </w:p>
    <w:bookmarkStart w:id="204" w:name="page205"/>
    <w:bookmarkEnd w:id="204"/>
    <w:p>
      <w:pPr>
        <w:ind w:left="40"/>
        <w:spacing w:after="0"/>
        <w:rPr>
          <w:sz w:val="20"/>
          <w:szCs w:val="20"/>
          <w:color w:val="auto"/>
        </w:rPr>
      </w:pPr>
      <w:r>
        <w:rPr>
          <w:rFonts w:ascii="Arial" w:cs="Arial" w:eastAsia="Arial" w:hAnsi="Arial"/>
          <w:sz w:val="16"/>
          <w:szCs w:val="16"/>
          <w:color w:val="auto"/>
        </w:rPr>
        <w:t>Investments in debt instruments -</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financial asset is classified and measured at fair value through other comprehensive income when the following conditions are followed:</w:t>
      </w:r>
    </w:p>
    <w:p>
      <w:pPr>
        <w:spacing w:after="0" w:line="178" w:lineRule="exact"/>
        <w:rPr>
          <w:sz w:val="20"/>
          <w:szCs w:val="20"/>
          <w:color w:val="auto"/>
        </w:rPr>
      </w:pPr>
    </w:p>
    <w:p>
      <w:pPr>
        <w:ind w:left="320" w:right="440" w:hanging="285"/>
        <w:spacing w:after="0" w:line="246" w:lineRule="auto"/>
        <w:tabs>
          <w:tab w:leader="none" w:pos="3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financial asset is maintained within a business model whose objective is achieved by both collecting contractual cash flows and selling financial assets, and</w:t>
      </w:r>
    </w:p>
    <w:p>
      <w:pPr>
        <w:ind w:left="320" w:hanging="285"/>
        <w:spacing w:after="0"/>
        <w:tabs>
          <w:tab w:leader="none" w:pos="3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contractual conditions give rise, on specified dates, to cash flows that are solely payments of principal and interest.</w:t>
      </w:r>
    </w:p>
    <w:p>
      <w:pPr>
        <w:spacing w:after="0" w:line="174" w:lineRule="exact"/>
        <w:rPr>
          <w:sz w:val="20"/>
          <w:szCs w:val="20"/>
          <w:color w:val="auto"/>
        </w:rPr>
      </w:pPr>
    </w:p>
    <w:p>
      <w:pPr>
        <w:jc w:val="both"/>
        <w:ind w:left="40" w:right="360"/>
        <w:spacing w:after="0" w:line="255" w:lineRule="auto"/>
        <w:rPr>
          <w:sz w:val="20"/>
          <w:szCs w:val="20"/>
          <w:color w:val="auto"/>
        </w:rPr>
      </w:pPr>
      <w:r>
        <w:rPr>
          <w:rFonts w:ascii="Arial" w:cs="Arial" w:eastAsia="Arial" w:hAnsi="Arial"/>
          <w:sz w:val="16"/>
          <w:szCs w:val="16"/>
          <w:color w:val="auto"/>
        </w:rPr>
        <w:t>After their initial recognition, investments in debt instruments are measured at fair value, recording the unrealized gains and losses in the statement of comprehensive income, net of their corresponding income tax and non-controlling interest, until the investment is sold; upon which the accumulated profit or loss is recognized in the item “Net gain on securities” in the separate statement of income.</w:t>
      </w:r>
    </w:p>
    <w:p>
      <w:pPr>
        <w:spacing w:after="0" w:line="137" w:lineRule="exact"/>
        <w:rPr>
          <w:sz w:val="20"/>
          <w:szCs w:val="20"/>
          <w:color w:val="auto"/>
        </w:rPr>
      </w:pPr>
    </w:p>
    <w:p>
      <w:pPr>
        <w:ind w:left="40" w:right="480"/>
        <w:spacing w:after="0" w:line="274" w:lineRule="auto"/>
        <w:rPr>
          <w:sz w:val="20"/>
          <w:szCs w:val="20"/>
          <w:color w:val="auto"/>
        </w:rPr>
      </w:pPr>
      <w:r>
        <w:rPr>
          <w:rFonts w:ascii="Arial" w:cs="Arial" w:eastAsia="Arial" w:hAnsi="Arial"/>
          <w:sz w:val="16"/>
          <w:szCs w:val="16"/>
          <w:color w:val="auto"/>
        </w:rPr>
        <w:t>Interest is recognized in the statement of income in the item “Interest and similar income” and it is reported as interest income using the effective interest rate method.</w:t>
      </w:r>
    </w:p>
    <w:p>
      <w:pPr>
        <w:spacing w:after="0" w:line="123" w:lineRule="exact"/>
        <w:rPr>
          <w:sz w:val="20"/>
          <w:szCs w:val="20"/>
          <w:color w:val="auto"/>
        </w:rPr>
      </w:pPr>
    </w:p>
    <w:p>
      <w:pPr>
        <w:ind w:left="40" w:right="220"/>
        <w:spacing w:after="0" w:line="274" w:lineRule="auto"/>
        <w:rPr>
          <w:sz w:val="20"/>
          <w:szCs w:val="20"/>
          <w:color w:val="auto"/>
        </w:rPr>
      </w:pPr>
      <w:r>
        <w:rPr>
          <w:rFonts w:ascii="Arial" w:cs="Arial" w:eastAsia="Arial" w:hAnsi="Arial"/>
          <w:sz w:val="16"/>
          <w:szCs w:val="16"/>
          <w:color w:val="auto"/>
        </w:rPr>
        <w:t>When a debt instrument is designated in a fair value hedging relationship, any change in the fair value due to changes in the hedged risk is recognized in the item “Interest and similar income” in the separate statement of income.</w:t>
      </w:r>
    </w:p>
    <w:p>
      <w:pPr>
        <w:spacing w:after="0" w:line="123" w:lineRule="exact"/>
        <w:rPr>
          <w:sz w:val="20"/>
          <w:szCs w:val="20"/>
          <w:color w:val="auto"/>
        </w:rPr>
      </w:pPr>
    </w:p>
    <w:p>
      <w:pPr>
        <w:ind w:left="40" w:right="260"/>
        <w:spacing w:after="0" w:line="255" w:lineRule="auto"/>
        <w:rPr>
          <w:sz w:val="20"/>
          <w:szCs w:val="20"/>
          <w:color w:val="auto"/>
        </w:rPr>
      </w:pPr>
      <w:r>
        <w:rPr>
          <w:rFonts w:ascii="Arial" w:cs="Arial" w:eastAsia="Arial" w:hAnsi="Arial"/>
          <w:sz w:val="16"/>
          <w:szCs w:val="16"/>
          <w:color w:val="auto"/>
        </w:rPr>
        <w:t>Foreign exchange gains or losses related to the amortized cost of the debt instrument are recognized in the separate statement of income, and those related to differences between the amortized cost and the fair value are recognized as part of the unrealized gain or loss in the separate statement of comprehensive income.</w:t>
      </w:r>
    </w:p>
    <w:p>
      <w:pPr>
        <w:spacing w:after="0" w:line="137" w:lineRule="exact"/>
        <w:rPr>
          <w:sz w:val="20"/>
          <w:szCs w:val="20"/>
          <w:color w:val="auto"/>
        </w:rPr>
      </w:pPr>
    </w:p>
    <w:p>
      <w:pPr>
        <w:ind w:left="40" w:right="180"/>
        <w:spacing w:after="0" w:line="274" w:lineRule="auto"/>
        <w:rPr>
          <w:sz w:val="20"/>
          <w:szCs w:val="20"/>
          <w:color w:val="auto"/>
        </w:rPr>
      </w:pPr>
      <w:r>
        <w:rPr>
          <w:rFonts w:ascii="Arial" w:cs="Arial" w:eastAsia="Arial" w:hAnsi="Arial"/>
          <w:sz w:val="16"/>
          <w:szCs w:val="16"/>
          <w:color w:val="auto"/>
        </w:rPr>
        <w:t>The estimated fair value of the investments in debt instruments is mainly determined based on quotations or, in their absence, based on the discounted cash flows using market rates in accordance with the credit quality and the maturity term of the investment.</w:t>
      </w:r>
    </w:p>
    <w:p>
      <w:pPr>
        <w:spacing w:after="0" w:line="123" w:lineRule="exact"/>
        <w:rPr>
          <w:sz w:val="20"/>
          <w:szCs w:val="20"/>
          <w:color w:val="auto"/>
        </w:rPr>
      </w:pPr>
    </w:p>
    <w:p>
      <w:pPr>
        <w:ind w:left="40" w:right="20"/>
        <w:spacing w:after="0" w:line="245" w:lineRule="auto"/>
        <w:rPr>
          <w:sz w:val="20"/>
          <w:szCs w:val="20"/>
          <w:color w:val="auto"/>
        </w:rPr>
      </w:pPr>
      <w:r>
        <w:rPr>
          <w:rFonts w:ascii="Arial" w:cs="Arial" w:eastAsia="Arial" w:hAnsi="Arial"/>
          <w:sz w:val="16"/>
          <w:szCs w:val="16"/>
          <w:color w:val="auto"/>
        </w:rPr>
        <w:t>An impairment loss of investments in debt instruments is calculated using the expected credit loss approach and is recognized in the separate statement of comprehensive income, charged to the item “Net gain on securities” in the separate statement of income, in this sense, it does not reduce the carrying amount of the financial asset in the separate statement of financial position, which is maintained at fair value. The impairment loss recognized in the separate statement of comprehensive income is reclassified to the separate statement of income when the debt instrument is derecognized.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Investments in equity instruments, not for trading, designated upon initial recognition (equity instruments designated at initial recognition) -</w:t>
      </w:r>
    </w:p>
    <w:p>
      <w:pPr>
        <w:spacing w:after="0" w:line="178" w:lineRule="exact"/>
        <w:rPr>
          <w:sz w:val="20"/>
          <w:szCs w:val="20"/>
          <w:color w:val="auto"/>
        </w:rPr>
      </w:pPr>
    </w:p>
    <w:p>
      <w:pPr>
        <w:ind w:left="40" w:right="600"/>
        <w:spacing w:after="0" w:line="274" w:lineRule="auto"/>
        <w:rPr>
          <w:sz w:val="20"/>
          <w:szCs w:val="20"/>
          <w:color w:val="auto"/>
        </w:rPr>
      </w:pPr>
      <w:r>
        <w:rPr>
          <w:rFonts w:ascii="Arial" w:cs="Arial" w:eastAsia="Arial" w:hAnsi="Arial"/>
          <w:sz w:val="16"/>
          <w:szCs w:val="16"/>
          <w:color w:val="auto"/>
        </w:rPr>
        <w:t>At initial recognition, the Company can make an irrevocable choice to present the equity instruments, which are not for trading, but for strategic purposes, in the item “At fair value through other comprehensive income”.</w:t>
      </w:r>
    </w:p>
    <w:p>
      <w:pPr>
        <w:spacing w:after="0" w:line="123"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After their initial recognition, the equity investments are measured at fair value, recording the unrealized gains and losses in the separate statement of comprehensive income, net of their corresponding income tax and non-controlling interest, until the investment is sold, whereupon the accumulated gain or loss is transferred to the item “Retained earnings” in the separate statement of changes in equity; in other words, they are not subsequently reclassified to the separate statement of income.</w:t>
      </w:r>
    </w:p>
    <w:p>
      <w:pPr>
        <w:spacing w:after="0" w:line="30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39370</wp:posOffset>
            </wp:positionV>
            <wp:extent cx="714692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20"/>
          </w:cols>
          <w:pgMar w:left="1440" w:top="316" w:right="339" w:bottom="1440" w:gutter="0" w:footer="0" w:header="0"/>
        </w:sectPr>
      </w:pPr>
    </w:p>
    <w:bookmarkStart w:id="205" w:name="page206"/>
    <w:bookmarkEnd w:id="205"/>
    <w:p>
      <w:pPr>
        <w:ind w:left="584"/>
        <w:spacing w:after="0"/>
        <w:rPr>
          <w:sz w:val="20"/>
          <w:szCs w:val="20"/>
          <w:color w:val="auto"/>
        </w:rPr>
      </w:pPr>
      <w:r>
        <w:rPr>
          <w:rFonts w:ascii="Arial" w:cs="Arial" w:eastAsia="Arial" w:hAnsi="Arial"/>
          <w:sz w:val="16"/>
          <w:szCs w:val="16"/>
          <w:color w:val="auto"/>
        </w:rPr>
        <w:t>As a result, the equity instruments classified in this category do not require a loss impairment evaluation.</w:t>
      </w:r>
    </w:p>
    <w:p>
      <w:pPr>
        <w:spacing w:after="0" w:line="178" w:lineRule="exact"/>
        <w:rPr>
          <w:sz w:val="20"/>
          <w:szCs w:val="20"/>
          <w:color w:val="auto"/>
        </w:rPr>
      </w:pPr>
    </w:p>
    <w:p>
      <w:pPr>
        <w:ind w:left="584" w:right="40"/>
        <w:spacing w:after="0" w:line="274" w:lineRule="auto"/>
        <w:rPr>
          <w:sz w:val="20"/>
          <w:szCs w:val="20"/>
          <w:color w:val="auto"/>
        </w:rPr>
      </w:pPr>
      <w:r>
        <w:rPr>
          <w:rFonts w:ascii="Arial" w:cs="Arial" w:eastAsia="Arial" w:hAnsi="Arial"/>
          <w:sz w:val="16"/>
          <w:szCs w:val="16"/>
          <w:color w:val="auto"/>
        </w:rPr>
        <w:t>Dividends are recognized when the collection right has been established and they are recorded in the item “Interest and similar income” in the separate statement of income.</w:t>
      </w:r>
    </w:p>
    <w:p>
      <w:pPr>
        <w:spacing w:after="0" w:line="123" w:lineRule="exact"/>
        <w:rPr>
          <w:sz w:val="20"/>
          <w:szCs w:val="20"/>
          <w:color w:val="auto"/>
        </w:rPr>
      </w:pPr>
    </w:p>
    <w:p>
      <w:pPr>
        <w:ind w:left="584" w:hanging="295"/>
        <w:spacing w:after="0"/>
        <w:tabs>
          <w:tab w:leader="none" w:pos="58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Reclassification of financial assets and liabilities -</w:t>
      </w:r>
    </w:p>
    <w:p>
      <w:pPr>
        <w:spacing w:after="0" w:line="189" w:lineRule="exact"/>
        <w:rPr>
          <w:rFonts w:ascii="Arial" w:cs="Arial" w:eastAsia="Arial" w:hAnsi="Arial"/>
          <w:sz w:val="16"/>
          <w:szCs w:val="16"/>
          <w:color w:val="auto"/>
        </w:rPr>
      </w:pPr>
    </w:p>
    <w:p>
      <w:pPr>
        <w:ind w:left="584" w:right="40"/>
        <w:spacing w:after="0" w:line="245" w:lineRule="auto"/>
        <w:rPr>
          <w:rFonts w:ascii="Arial" w:cs="Arial" w:eastAsia="Arial" w:hAnsi="Arial"/>
          <w:sz w:val="16"/>
          <w:szCs w:val="16"/>
          <w:color w:val="auto"/>
        </w:rPr>
      </w:pPr>
      <w:r>
        <w:rPr>
          <w:rFonts w:ascii="Arial" w:cs="Arial" w:eastAsia="Arial" w:hAnsi="Arial"/>
          <w:sz w:val="16"/>
          <w:szCs w:val="16"/>
          <w:color w:val="auto"/>
        </w:rPr>
        <w:t>The reclassification of financial assets will always take place as long as the business model that manages the financial assets is changed. We expect this change will be less than frequently. These changes are determined by the Company Management as a result of external or internal changes, which must be necessary for the Company’s operations and demonstrable against third parties. Therefore, a change in the Company’s business model will take place only when it starts or stop carrying out an activity that is significant for its operations. The financial liabilities are never reclassified.</w:t>
      </w:r>
    </w:p>
    <w:p>
      <w:pPr>
        <w:spacing w:after="0" w:line="146" w:lineRule="exact"/>
        <w:rPr>
          <w:rFonts w:ascii="Arial" w:cs="Arial" w:eastAsia="Arial" w:hAnsi="Arial"/>
          <w:sz w:val="16"/>
          <w:szCs w:val="16"/>
          <w:color w:val="auto"/>
        </w:rPr>
      </w:pPr>
    </w:p>
    <w:p>
      <w:pPr>
        <w:ind w:left="284" w:right="6960" w:hanging="284"/>
        <w:spacing w:after="0" w:line="479" w:lineRule="auto"/>
        <w:tabs>
          <w:tab w:leader="none" w:pos="28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De-recognition of financial assets and liabilities - Financial assets -</w:t>
      </w:r>
    </w:p>
    <w:p>
      <w:pPr>
        <w:spacing w:after="0" w:line="1" w:lineRule="exact"/>
        <w:rPr>
          <w:rFonts w:ascii="Arial" w:cs="Arial" w:eastAsia="Arial" w:hAnsi="Arial"/>
          <w:sz w:val="16"/>
          <w:szCs w:val="16"/>
          <w:color w:val="auto"/>
        </w:rPr>
      </w:pPr>
    </w:p>
    <w:p>
      <w:pPr>
        <w:ind w:left="284" w:right="60"/>
        <w:spacing w:after="0" w:line="245" w:lineRule="auto"/>
        <w:rPr>
          <w:rFonts w:ascii="Arial" w:cs="Arial" w:eastAsia="Arial" w:hAnsi="Arial"/>
          <w:sz w:val="16"/>
          <w:szCs w:val="16"/>
          <w:color w:val="auto"/>
        </w:rPr>
      </w:pPr>
      <w:r>
        <w:rPr>
          <w:rFonts w:ascii="Arial" w:cs="Arial" w:eastAsia="Arial" w:hAnsi="Arial"/>
          <w:sz w:val="16"/>
          <w:szCs w:val="16"/>
          <w:color w:val="auto"/>
        </w:rPr>
        <w:t>A financial asset (or, where applicable, a part of a financial asset or a part of a group of similar financial assets) is derecognized when: (i) the rights to receive cash flows from the asset have expired; or (ii) the Company has transferred its rights to receive cash flows from the asset or has assumed an obligation to pay the received cash flows in full without material delay to a third party under a “pass-through” arrangement; and either the Company has transferred substantially all the risks and rewards of the asset, or the Company has neither transferred nor retained substantially all the risks and rewards of the asset, but has transferred control of the asset.</w:t>
      </w:r>
    </w:p>
    <w:p>
      <w:pPr>
        <w:spacing w:after="0" w:line="146" w:lineRule="exact"/>
        <w:rPr>
          <w:rFonts w:ascii="Arial" w:cs="Arial" w:eastAsia="Arial" w:hAnsi="Arial"/>
          <w:sz w:val="16"/>
          <w:szCs w:val="16"/>
          <w:color w:val="auto"/>
        </w:rPr>
      </w:pPr>
    </w:p>
    <w:p>
      <w:pPr>
        <w:ind w:left="284" w:right="40"/>
        <w:spacing w:after="0" w:line="248" w:lineRule="auto"/>
        <w:rPr>
          <w:rFonts w:ascii="Arial" w:cs="Arial" w:eastAsia="Arial" w:hAnsi="Arial"/>
          <w:sz w:val="16"/>
          <w:szCs w:val="16"/>
          <w:color w:val="auto"/>
        </w:rPr>
      </w:pPr>
      <w:r>
        <w:rPr>
          <w:rFonts w:ascii="Arial" w:cs="Arial" w:eastAsia="Arial" w:hAnsi="Arial"/>
          <w:sz w:val="16"/>
          <w:szCs w:val="16"/>
          <w:color w:val="auto"/>
        </w:rPr>
        <w:t>When contractual rights to receive cash flows from the financial asset have been transferred, or a transfer agreement has been entered into, the Company assesses whether it has retained, and to what extent, the risks and benefits inherent in ownership of the asset. When the Company has neither transferred nor retained substantially all risks and benefits inherent in ownership of the asset, nor transferred control of the asset, the Company continues to recognize the transferred asset to the extent of its continued involvement with the asset.</w:t>
      </w:r>
    </w:p>
    <w:p>
      <w:pPr>
        <w:spacing w:after="0" w:line="144" w:lineRule="exact"/>
        <w:rPr>
          <w:rFonts w:ascii="Arial" w:cs="Arial" w:eastAsia="Arial" w:hAnsi="Arial"/>
          <w:sz w:val="16"/>
          <w:szCs w:val="16"/>
          <w:color w:val="auto"/>
        </w:rPr>
      </w:pPr>
    </w:p>
    <w:p>
      <w:pPr>
        <w:ind w:left="284" w:right="100"/>
        <w:spacing w:after="0" w:line="274" w:lineRule="auto"/>
        <w:rPr>
          <w:rFonts w:ascii="Arial" w:cs="Arial" w:eastAsia="Arial" w:hAnsi="Arial"/>
          <w:sz w:val="16"/>
          <w:szCs w:val="16"/>
          <w:color w:val="auto"/>
        </w:rPr>
      </w:pPr>
      <w:r>
        <w:rPr>
          <w:rFonts w:ascii="Arial" w:cs="Arial" w:eastAsia="Arial" w:hAnsi="Arial"/>
          <w:sz w:val="16"/>
          <w:szCs w:val="16"/>
          <w:color w:val="auto"/>
        </w:rPr>
        <w:t>In that case, the Company also recognizes the associated liability. The transferred asset and the associated liability are measured on a basis that reflects the rights and obligations that the Company has retained.</w:t>
      </w:r>
    </w:p>
    <w:p>
      <w:pPr>
        <w:spacing w:after="0" w:line="122" w:lineRule="exact"/>
        <w:rPr>
          <w:rFonts w:ascii="Arial" w:cs="Arial" w:eastAsia="Arial" w:hAnsi="Arial"/>
          <w:sz w:val="16"/>
          <w:szCs w:val="16"/>
          <w:color w:val="auto"/>
        </w:rPr>
      </w:pPr>
    </w:p>
    <w:p>
      <w:pPr>
        <w:ind w:left="284" w:right="20"/>
        <w:spacing w:after="0" w:line="274" w:lineRule="auto"/>
        <w:rPr>
          <w:rFonts w:ascii="Arial" w:cs="Arial" w:eastAsia="Arial" w:hAnsi="Arial"/>
          <w:sz w:val="16"/>
          <w:szCs w:val="16"/>
          <w:color w:val="auto"/>
        </w:rPr>
      </w:pPr>
      <w:r>
        <w:rPr>
          <w:rFonts w:ascii="Arial" w:cs="Arial" w:eastAsia="Arial" w:hAnsi="Arial"/>
          <w:sz w:val="16"/>
          <w:szCs w:val="16"/>
          <w:color w:val="auto"/>
        </w:rPr>
        <w:t>Continuing involvement that takes the form of a guarantee over the transferred asset is measured at the lower of (i) the original carrying amount of the asset, and (ii) the maximum amount of consideration that the Company could be required to repay.</w:t>
      </w:r>
    </w:p>
    <w:p>
      <w:pPr>
        <w:spacing w:after="0" w:line="12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Financial liabilities -</w:t>
      </w:r>
    </w:p>
    <w:p>
      <w:pPr>
        <w:spacing w:after="0" w:line="177" w:lineRule="exact"/>
        <w:rPr>
          <w:rFonts w:ascii="Arial" w:cs="Arial" w:eastAsia="Arial" w:hAnsi="Arial"/>
          <w:sz w:val="16"/>
          <w:szCs w:val="16"/>
          <w:color w:val="auto"/>
        </w:rPr>
      </w:pPr>
    </w:p>
    <w:p>
      <w:pPr>
        <w:ind w:left="284"/>
        <w:spacing w:after="0" w:line="245" w:lineRule="auto"/>
        <w:rPr>
          <w:rFonts w:ascii="Arial" w:cs="Arial" w:eastAsia="Arial" w:hAnsi="Arial"/>
          <w:sz w:val="16"/>
          <w:szCs w:val="16"/>
          <w:color w:val="auto"/>
        </w:rPr>
      </w:pPr>
      <w:r>
        <w:rPr>
          <w:rFonts w:ascii="Arial" w:cs="Arial" w:eastAsia="Arial" w:hAnsi="Arial"/>
          <w:sz w:val="16"/>
          <w:szCs w:val="16"/>
          <w:color w:val="auto"/>
        </w:rPr>
        <w:t>A financial liability is derecognized when the obligation to pay is discharged, cancelled, or expires. When an existing financial liability is exchanged for another from the same borrower under significantly different terms (fails the 10 percent test established in IFRS 9), or the terms are substantially modified, such exchange or modification is treated as a derecognition of the original liability and a new liability is recognized, with the difference between the carrying amount of the initial financial liability and the consideration paid recognized in the separate statement of comprehensive income.</w:t>
      </w:r>
    </w:p>
    <w:p>
      <w:pPr>
        <w:spacing w:after="0" w:line="303" w:lineRule="exact"/>
        <w:rPr>
          <w:rFonts w:ascii="Arial" w:cs="Arial" w:eastAsia="Arial" w:hAnsi="Arial"/>
          <w:sz w:val="16"/>
          <w:szCs w:val="16"/>
          <w:color w:val="auto"/>
        </w:rPr>
      </w:pPr>
    </w:p>
    <w:p>
      <w:pPr>
        <w:ind w:left="4944" w:hanging="104"/>
        <w:spacing w:after="0"/>
        <w:tabs>
          <w:tab w:leader="none" w:pos="4944" w:val="left"/>
        </w:tabs>
        <w:numPr>
          <w:ilvl w:val="2"/>
          <w:numId w:val="211"/>
        </w:numPr>
        <w:rPr>
          <w:rFonts w:ascii="Arial" w:cs="Arial" w:eastAsia="Arial" w:hAnsi="Arial"/>
          <w:sz w:val="16"/>
          <w:szCs w:val="16"/>
          <w:color w:val="auto"/>
        </w:rPr>
      </w:pPr>
      <w:r>
        <w:rPr>
          <w:rFonts w:ascii="Arial" w:cs="Arial" w:eastAsia="Arial" w:hAnsi="Arial"/>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316" w:right="319" w:bottom="1440" w:gutter="0" w:footer="0" w:header="0"/>
        </w:sectPr>
      </w:pPr>
    </w:p>
    <w:bookmarkStart w:id="206" w:name="page207"/>
    <w:bookmarkEnd w:id="206"/>
    <w:p>
      <w:pPr>
        <w:ind w:left="284" w:hanging="284"/>
        <w:spacing w:after="0"/>
        <w:tabs>
          <w:tab w:leader="none" w:pos="28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Offsetting financial instruments -</w:t>
      </w:r>
    </w:p>
    <w:p>
      <w:pPr>
        <w:spacing w:after="0" w:line="189" w:lineRule="exact"/>
        <w:rPr>
          <w:rFonts w:ascii="Arial" w:cs="Arial" w:eastAsia="Arial" w:hAnsi="Arial"/>
          <w:sz w:val="16"/>
          <w:szCs w:val="16"/>
          <w:color w:val="auto"/>
        </w:rPr>
      </w:pPr>
    </w:p>
    <w:p>
      <w:pPr>
        <w:ind w:left="284" w:right="280"/>
        <w:spacing w:after="0" w:line="255" w:lineRule="auto"/>
        <w:rPr>
          <w:rFonts w:ascii="Arial" w:cs="Arial" w:eastAsia="Arial" w:hAnsi="Arial"/>
          <w:sz w:val="16"/>
          <w:szCs w:val="16"/>
          <w:color w:val="auto"/>
        </w:rPr>
      </w:pPr>
      <w:r>
        <w:rPr>
          <w:rFonts w:ascii="Arial" w:cs="Arial" w:eastAsia="Arial" w:hAnsi="Arial"/>
          <w:sz w:val="16"/>
          <w:szCs w:val="16"/>
          <w:color w:val="auto"/>
        </w:rPr>
        <w:t>Financial assets and liabilities are offset and the net amount is presented in the separate statement of financial position when there is a legally enforceable right to offset them and the Management intends to settle them on a net basis or to realize the asset and settle the liability simultaneously.</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Impairment of financial assets -</w:t>
      </w:r>
    </w:p>
    <w:p>
      <w:pPr>
        <w:spacing w:after="0" w:line="189" w:lineRule="exact"/>
        <w:rPr>
          <w:rFonts w:ascii="Arial" w:cs="Arial" w:eastAsia="Arial" w:hAnsi="Arial"/>
          <w:sz w:val="16"/>
          <w:szCs w:val="16"/>
          <w:color w:val="auto"/>
        </w:rPr>
      </w:pPr>
    </w:p>
    <w:p>
      <w:pPr>
        <w:ind w:left="284" w:right="180"/>
        <w:spacing w:after="0" w:line="274" w:lineRule="auto"/>
        <w:rPr>
          <w:rFonts w:ascii="Arial" w:cs="Arial" w:eastAsia="Arial" w:hAnsi="Arial"/>
          <w:sz w:val="16"/>
          <w:szCs w:val="16"/>
          <w:color w:val="auto"/>
        </w:rPr>
      </w:pPr>
      <w:r>
        <w:rPr>
          <w:rFonts w:ascii="Arial" w:cs="Arial" w:eastAsia="Arial" w:hAnsi="Arial"/>
          <w:sz w:val="16"/>
          <w:szCs w:val="16"/>
          <w:color w:val="auto"/>
        </w:rPr>
        <w:t>As of December 31, 2025 and 2024, the Company applies a three-stage approach to measure the provision for credit loss, using an impairment model based on the expected credit losses as established in IFRS 9, for the following categories:</w:t>
      </w:r>
    </w:p>
    <w:p>
      <w:pPr>
        <w:spacing w:after="0" w:line="122" w:lineRule="exact"/>
        <w:rPr>
          <w:rFonts w:ascii="Arial" w:cs="Arial" w:eastAsia="Arial" w:hAnsi="Arial"/>
          <w:sz w:val="16"/>
          <w:szCs w:val="16"/>
          <w:color w:val="auto"/>
        </w:rPr>
      </w:pPr>
    </w:p>
    <w:p>
      <w:pPr>
        <w:ind w:left="584" w:hanging="295"/>
        <w:spacing w:after="0"/>
        <w:tabs>
          <w:tab w:leader="none" w:pos="584" w:val="left"/>
        </w:tabs>
        <w:numPr>
          <w:ilvl w:val="1"/>
          <w:numId w:val="212"/>
        </w:numPr>
        <w:rPr>
          <w:rFonts w:ascii="Arial" w:cs="Arial" w:eastAsia="Arial" w:hAnsi="Arial"/>
          <w:sz w:val="16"/>
          <w:szCs w:val="16"/>
          <w:color w:val="auto"/>
        </w:rPr>
      </w:pPr>
      <w:r>
        <w:rPr>
          <w:rFonts w:ascii="Arial" w:cs="Arial" w:eastAsia="Arial" w:hAnsi="Arial"/>
          <w:sz w:val="16"/>
          <w:szCs w:val="16"/>
          <w:color w:val="auto"/>
        </w:rPr>
        <w:t>Financial assets at amortized cost.</w:t>
      </w:r>
    </w:p>
    <w:p>
      <w:pPr>
        <w:spacing w:after="0" w:line="25" w:lineRule="exact"/>
        <w:rPr>
          <w:rFonts w:ascii="Arial" w:cs="Arial" w:eastAsia="Arial" w:hAnsi="Arial"/>
          <w:sz w:val="16"/>
          <w:szCs w:val="16"/>
          <w:color w:val="auto"/>
        </w:rPr>
      </w:pPr>
    </w:p>
    <w:p>
      <w:pPr>
        <w:ind w:left="584" w:hanging="295"/>
        <w:spacing w:after="0"/>
        <w:tabs>
          <w:tab w:leader="none" w:pos="584" w:val="left"/>
        </w:tabs>
        <w:numPr>
          <w:ilvl w:val="1"/>
          <w:numId w:val="212"/>
        </w:numPr>
        <w:rPr>
          <w:rFonts w:ascii="Arial" w:cs="Arial" w:eastAsia="Arial" w:hAnsi="Arial"/>
          <w:sz w:val="16"/>
          <w:szCs w:val="16"/>
          <w:color w:val="auto"/>
        </w:rPr>
      </w:pPr>
      <w:r>
        <w:rPr>
          <w:rFonts w:ascii="Arial" w:cs="Arial" w:eastAsia="Arial" w:hAnsi="Arial"/>
          <w:sz w:val="16"/>
          <w:szCs w:val="16"/>
          <w:color w:val="auto"/>
        </w:rPr>
        <w:t>Debt instruments classified as investments at fair value through other comprehensive income.</w:t>
      </w:r>
    </w:p>
    <w:p>
      <w:pPr>
        <w:spacing w:after="0" w:line="174" w:lineRule="exact"/>
        <w:rPr>
          <w:sz w:val="20"/>
          <w:szCs w:val="20"/>
          <w:color w:val="auto"/>
        </w:rPr>
      </w:pPr>
    </w:p>
    <w:p>
      <w:pPr>
        <w:ind w:left="284" w:right="740"/>
        <w:spacing w:after="0" w:line="274" w:lineRule="auto"/>
        <w:rPr>
          <w:sz w:val="20"/>
          <w:szCs w:val="20"/>
          <w:color w:val="auto"/>
        </w:rPr>
      </w:pPr>
      <w:r>
        <w:rPr>
          <w:rFonts w:ascii="Arial" w:cs="Arial" w:eastAsia="Arial" w:hAnsi="Arial"/>
          <w:sz w:val="16"/>
          <w:szCs w:val="16"/>
          <w:color w:val="auto"/>
        </w:rPr>
        <w:t>Financial assets classified or designated at fair value through profit or loss and equity instruments designated at fair value through other comprehensive income are not subject to impairment assessment.</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Financial assets migrate through three stages based on changes in credit risk from initial recognition.</w:t>
      </w:r>
    </w:p>
    <w:p>
      <w:pPr>
        <w:spacing w:after="0" w:line="178" w:lineRule="exact"/>
        <w:rPr>
          <w:sz w:val="20"/>
          <w:szCs w:val="20"/>
          <w:color w:val="auto"/>
        </w:rPr>
      </w:pPr>
    </w:p>
    <w:p>
      <w:pPr>
        <w:ind w:left="284" w:hanging="284"/>
        <w:spacing w:after="0"/>
        <w:tabs>
          <w:tab w:leader="none" w:pos="28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Investments in subsidiaries -</w:t>
      </w:r>
    </w:p>
    <w:p>
      <w:pPr>
        <w:spacing w:after="0" w:line="189" w:lineRule="exact"/>
        <w:rPr>
          <w:rFonts w:ascii="Arial" w:cs="Arial" w:eastAsia="Arial" w:hAnsi="Arial"/>
          <w:sz w:val="16"/>
          <w:szCs w:val="16"/>
          <w:color w:val="auto"/>
        </w:rPr>
      </w:pPr>
    </w:p>
    <w:p>
      <w:pPr>
        <w:ind w:left="284"/>
        <w:spacing w:after="0" w:line="255" w:lineRule="auto"/>
        <w:rPr>
          <w:rFonts w:ascii="Arial" w:cs="Arial" w:eastAsia="Arial" w:hAnsi="Arial"/>
          <w:sz w:val="16"/>
          <w:szCs w:val="16"/>
          <w:color w:val="auto"/>
        </w:rPr>
      </w:pPr>
      <w:r>
        <w:rPr>
          <w:rFonts w:ascii="Arial" w:cs="Arial" w:eastAsia="Arial" w:hAnsi="Arial"/>
          <w:sz w:val="16"/>
          <w:szCs w:val="16"/>
          <w:color w:val="auto"/>
        </w:rPr>
        <w:t>A subsidiary is an entity over which another Company has control (considered as parent company of Credicorp Ltd. or controlling interest). Control is achieved when the Company is exposed, or has rights, to variable returns from its involvement with the investee and has the ability to affect those returns through its power over the investee. Specifically, the Company controls an investee if and only if the Controlling interest has:</w:t>
      </w:r>
    </w:p>
    <w:p>
      <w:pPr>
        <w:spacing w:after="0" w:line="137" w:lineRule="exact"/>
        <w:rPr>
          <w:rFonts w:ascii="Arial" w:cs="Arial" w:eastAsia="Arial" w:hAnsi="Arial"/>
          <w:sz w:val="16"/>
          <w:szCs w:val="16"/>
          <w:color w:val="auto"/>
        </w:rPr>
      </w:pPr>
    </w:p>
    <w:p>
      <w:pPr>
        <w:ind w:left="584" w:hanging="295"/>
        <w:spacing w:after="0"/>
        <w:tabs>
          <w:tab w:leader="none" w:pos="584" w:val="left"/>
        </w:tabs>
        <w:numPr>
          <w:ilvl w:val="1"/>
          <w:numId w:val="213"/>
        </w:numPr>
        <w:rPr>
          <w:rFonts w:ascii="Arial" w:cs="Arial" w:eastAsia="Arial" w:hAnsi="Arial"/>
          <w:sz w:val="16"/>
          <w:szCs w:val="16"/>
          <w:color w:val="auto"/>
        </w:rPr>
      </w:pPr>
      <w:r>
        <w:rPr>
          <w:rFonts w:ascii="Arial" w:cs="Arial" w:eastAsia="Arial" w:hAnsi="Arial"/>
          <w:sz w:val="16"/>
          <w:szCs w:val="16"/>
          <w:color w:val="auto"/>
        </w:rPr>
        <w:t>Power over the investee (i.e. existing rights that give it the current ability to direct the relevant activities of the investee).</w:t>
      </w:r>
    </w:p>
    <w:p>
      <w:pPr>
        <w:spacing w:after="0" w:line="25" w:lineRule="exact"/>
        <w:rPr>
          <w:rFonts w:ascii="Arial" w:cs="Arial" w:eastAsia="Arial" w:hAnsi="Arial"/>
          <w:sz w:val="16"/>
          <w:szCs w:val="16"/>
          <w:color w:val="auto"/>
        </w:rPr>
      </w:pPr>
    </w:p>
    <w:p>
      <w:pPr>
        <w:ind w:left="584" w:hanging="295"/>
        <w:spacing w:after="0"/>
        <w:tabs>
          <w:tab w:leader="none" w:pos="584"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Exposure, or rights, to variable returns from its involvement with the investee, and</w:t>
      </w:r>
    </w:p>
    <w:p>
      <w:pPr>
        <w:spacing w:after="0" w:line="9" w:lineRule="exact"/>
        <w:rPr>
          <w:rFonts w:ascii="Arial" w:cs="Arial" w:eastAsia="Arial" w:hAnsi="Arial"/>
          <w:sz w:val="16"/>
          <w:szCs w:val="16"/>
          <w:color w:val="auto"/>
        </w:rPr>
      </w:pPr>
    </w:p>
    <w:p>
      <w:pPr>
        <w:ind w:left="584" w:hanging="295"/>
        <w:spacing w:after="0"/>
        <w:tabs>
          <w:tab w:leader="none" w:pos="584"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The ability to use its power over the investee to affect its returns.</w:t>
      </w:r>
    </w:p>
    <w:p>
      <w:pPr>
        <w:spacing w:after="0" w:line="174" w:lineRule="exact"/>
        <w:rPr>
          <w:sz w:val="20"/>
          <w:szCs w:val="20"/>
          <w:color w:val="auto"/>
        </w:rPr>
      </w:pPr>
    </w:p>
    <w:p>
      <w:pPr>
        <w:jc w:val="both"/>
        <w:ind w:left="284" w:right="360"/>
        <w:spacing w:after="0" w:line="255" w:lineRule="auto"/>
        <w:rPr>
          <w:sz w:val="20"/>
          <w:szCs w:val="20"/>
          <w:color w:val="auto"/>
        </w:rPr>
      </w:pPr>
      <w:r>
        <w:rPr>
          <w:rFonts w:ascii="Arial" w:cs="Arial" w:eastAsia="Arial" w:hAnsi="Arial"/>
          <w:sz w:val="16"/>
          <w:szCs w:val="16"/>
          <w:color w:val="auto"/>
        </w:rPr>
        <w:t>There is a presumption that a majority of voting rights results in control. To support this presumption and when the Company has less than a majority of the voting or similar rights of an investee, the Company considers all relevant facts and circumstances in assessing whether it has power over an investee, including:</w:t>
      </w:r>
    </w:p>
    <w:p>
      <w:pPr>
        <w:spacing w:after="0" w:line="137" w:lineRule="exact"/>
        <w:rPr>
          <w:sz w:val="20"/>
          <w:szCs w:val="20"/>
          <w:color w:val="auto"/>
        </w:rPr>
      </w:pPr>
    </w:p>
    <w:p>
      <w:pPr>
        <w:ind w:left="584" w:hanging="295"/>
        <w:spacing w:after="0"/>
        <w:tabs>
          <w:tab w:leader="none" w:pos="58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contractual arrangement with the other vote holders of the investee.</w:t>
      </w:r>
    </w:p>
    <w:p>
      <w:pPr>
        <w:spacing w:after="0" w:line="25" w:lineRule="exact"/>
        <w:rPr>
          <w:rFonts w:ascii="Arial" w:cs="Arial" w:eastAsia="Arial" w:hAnsi="Arial"/>
          <w:sz w:val="16"/>
          <w:szCs w:val="16"/>
          <w:color w:val="auto"/>
        </w:rPr>
      </w:pPr>
    </w:p>
    <w:p>
      <w:pPr>
        <w:ind w:left="584" w:hanging="295"/>
        <w:spacing w:after="0"/>
        <w:tabs>
          <w:tab w:leader="none" w:pos="58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Rights arising from other contractual arrangements.</w:t>
      </w:r>
    </w:p>
    <w:p>
      <w:pPr>
        <w:spacing w:after="0" w:line="9" w:lineRule="exact"/>
        <w:rPr>
          <w:rFonts w:ascii="Arial" w:cs="Arial" w:eastAsia="Arial" w:hAnsi="Arial"/>
          <w:sz w:val="16"/>
          <w:szCs w:val="16"/>
          <w:color w:val="auto"/>
        </w:rPr>
      </w:pPr>
    </w:p>
    <w:p>
      <w:pPr>
        <w:ind w:left="584" w:hanging="295"/>
        <w:spacing w:after="0"/>
        <w:tabs>
          <w:tab w:leader="none" w:pos="58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Company’s voting rights and potential voting rights.</w:t>
      </w:r>
    </w:p>
    <w:p>
      <w:pPr>
        <w:spacing w:after="0" w:line="174" w:lineRule="exact"/>
        <w:rPr>
          <w:sz w:val="20"/>
          <w:szCs w:val="20"/>
          <w:color w:val="auto"/>
        </w:rPr>
      </w:pPr>
    </w:p>
    <w:p>
      <w:pPr>
        <w:ind w:left="284" w:right="300"/>
        <w:spacing w:after="0" w:line="274" w:lineRule="auto"/>
        <w:rPr>
          <w:sz w:val="20"/>
          <w:szCs w:val="20"/>
          <w:color w:val="auto"/>
        </w:rPr>
      </w:pPr>
      <w:r>
        <w:rPr>
          <w:rFonts w:ascii="Arial" w:cs="Arial" w:eastAsia="Arial" w:hAnsi="Arial"/>
          <w:sz w:val="16"/>
          <w:szCs w:val="16"/>
          <w:color w:val="auto"/>
        </w:rPr>
        <w:t>The Company assesses whether or not it controls an investee if facts and circumstances indicate that there are changes in one or more of the three elements of control.</w:t>
      </w:r>
    </w:p>
    <w:p>
      <w:pPr>
        <w:spacing w:after="0" w:line="123" w:lineRule="exact"/>
        <w:rPr>
          <w:sz w:val="20"/>
          <w:szCs w:val="20"/>
          <w:color w:val="auto"/>
        </w:rPr>
      </w:pPr>
    </w:p>
    <w:p>
      <w:pPr>
        <w:ind w:left="284"/>
        <w:spacing w:after="0" w:line="248" w:lineRule="auto"/>
        <w:rPr>
          <w:sz w:val="20"/>
          <w:szCs w:val="20"/>
          <w:color w:val="auto"/>
        </w:rPr>
      </w:pPr>
      <w:r>
        <w:rPr>
          <w:rFonts w:ascii="Arial" w:cs="Arial" w:eastAsia="Arial" w:hAnsi="Arial"/>
          <w:sz w:val="16"/>
          <w:szCs w:val="16"/>
          <w:color w:val="auto"/>
        </w:rPr>
        <w:t>According to the equity method, investments in subsidiaries are recorded initially at cost, and subsequently the book value increases or decreases to recognize a profit or loss participation of subsidiaries in the “Net share of the income from investments in subsidiaries” caption of the statement of comprehensive income; furthermore, when variations in the equity of subsidiaries is due to variations in their equity, the part corresponding the Company will also be directly recognized in equity.</w:t>
      </w:r>
    </w:p>
    <w:p>
      <w:pPr>
        <w:spacing w:after="0" w:line="14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Dividends received from subsidiaries are recognized as a reduction in the value of the investment.</w:t>
      </w:r>
    </w:p>
    <w:p>
      <w:pPr>
        <w:spacing w:after="0" w:line="154" w:lineRule="exact"/>
        <w:rPr>
          <w:sz w:val="20"/>
          <w:szCs w:val="20"/>
          <w:color w:val="auto"/>
        </w:rPr>
      </w:pPr>
    </w:p>
    <w:p>
      <w:pPr>
        <w:ind w:left="4844"/>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16" w:right="339" w:bottom="1440" w:gutter="0" w:footer="0" w:header="0"/>
        </w:sectPr>
      </w:pPr>
    </w:p>
    <w:bookmarkStart w:id="207" w:name="page208"/>
    <w:bookmarkEnd w:id="207"/>
    <w:p>
      <w:pPr>
        <w:ind w:right="460"/>
        <w:spacing w:after="0" w:line="274" w:lineRule="auto"/>
        <w:rPr>
          <w:sz w:val="20"/>
          <w:szCs w:val="20"/>
          <w:color w:val="auto"/>
        </w:rPr>
      </w:pPr>
      <w:r>
        <w:rPr>
          <w:rFonts w:ascii="Arial" w:cs="Arial" w:eastAsia="Arial" w:hAnsi="Arial"/>
          <w:sz w:val="16"/>
          <w:szCs w:val="16"/>
          <w:color w:val="auto"/>
        </w:rPr>
        <w:t>As of December 31, 2025 and 2024, Credicorp maintains direct participation in the following entities (the figures of its individual financial statements are presented in accordance with IFRS Accounting Standards and before eliminations):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0"/>
                <w:szCs w:val="10"/>
                <w:b w:val="1"/>
                <w:bCs w:val="1"/>
                <w:color w:val="auto"/>
              </w:rPr>
              <w:t>Activity and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9"/>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country of</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2340" w:type="dxa"/>
            <w:vAlign w:val="bottom"/>
            <w:gridSpan w:val="2"/>
          </w:tcPr>
          <w:p>
            <w:pPr>
              <w:spacing w:after="0"/>
              <w:rPr>
                <w:sz w:val="20"/>
                <w:szCs w:val="20"/>
                <w:color w:val="auto"/>
              </w:rPr>
            </w:pPr>
            <w:r>
              <w:rPr>
                <w:rFonts w:ascii="Arial" w:cs="Arial" w:eastAsia="Arial" w:hAnsi="Arial"/>
                <w:sz w:val="10"/>
                <w:szCs w:val="10"/>
                <w:b w:val="1"/>
                <w:bCs w:val="1"/>
                <w:color w:val="auto"/>
              </w:rPr>
              <w:t>Entidad</w:t>
            </w:r>
          </w:p>
        </w:tc>
        <w:tc>
          <w:tcPr>
            <w:tcW w:w="940" w:type="dxa"/>
            <w:vAlign w:val="bottom"/>
            <w:gridSpan w:val="2"/>
          </w:tcPr>
          <w:p>
            <w:pPr>
              <w:spacing w:after="0"/>
              <w:rPr>
                <w:sz w:val="20"/>
                <w:szCs w:val="20"/>
                <w:color w:val="auto"/>
              </w:rPr>
            </w:pPr>
            <w:r>
              <w:rPr>
                <w:rFonts w:ascii="Arial" w:cs="Arial" w:eastAsia="Arial" w:hAnsi="Arial"/>
                <w:sz w:val="10"/>
                <w:szCs w:val="10"/>
                <w:b w:val="1"/>
                <w:bCs w:val="1"/>
                <w:color w:val="auto"/>
              </w:rPr>
              <w:t>incorporation</w:t>
            </w:r>
          </w:p>
        </w:tc>
        <w:tc>
          <w:tcPr>
            <w:tcW w:w="1180" w:type="dxa"/>
            <w:vAlign w:val="bottom"/>
            <w:gridSpan w:val="5"/>
          </w:tcPr>
          <w:p>
            <w:pPr>
              <w:spacing w:after="0"/>
              <w:rPr>
                <w:sz w:val="20"/>
                <w:szCs w:val="20"/>
                <w:color w:val="auto"/>
              </w:rPr>
            </w:pPr>
            <w:r>
              <w:rPr>
                <w:rFonts w:ascii="Arial" w:cs="Arial" w:eastAsia="Arial" w:hAnsi="Arial"/>
                <w:sz w:val="10"/>
                <w:szCs w:val="10"/>
                <w:b w:val="1"/>
                <w:bCs w:val="1"/>
                <w:color w:val="auto"/>
              </w:rPr>
              <w:t>Percentage of interest</w:t>
            </w:r>
          </w:p>
        </w:tc>
        <w:tc>
          <w:tcPr>
            <w:tcW w:w="72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Assets</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0"/>
                <w:szCs w:val="10"/>
                <w:b w:val="1"/>
                <w:bCs w:val="1"/>
                <w:color w:val="auto"/>
              </w:rPr>
              <w:t>Liabilities</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ind w:left="40"/>
              <w:spacing w:after="0"/>
              <w:rPr>
                <w:sz w:val="20"/>
                <w:szCs w:val="20"/>
                <w:color w:val="auto"/>
              </w:rPr>
            </w:pPr>
            <w:r>
              <w:rPr>
                <w:rFonts w:ascii="Arial" w:cs="Arial" w:eastAsia="Arial" w:hAnsi="Arial"/>
                <w:sz w:val="10"/>
                <w:szCs w:val="10"/>
                <w:b w:val="1"/>
                <w:bCs w:val="1"/>
                <w:color w:val="auto"/>
              </w:rPr>
              <w:t>Equity</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5"/>
          </w:tcPr>
          <w:p>
            <w:pPr>
              <w:jc w:val="right"/>
              <w:ind w:right="520"/>
              <w:spacing w:after="0"/>
              <w:rPr>
                <w:sz w:val="20"/>
                <w:szCs w:val="20"/>
                <w:color w:val="auto"/>
              </w:rPr>
            </w:pPr>
            <w:r>
              <w:rPr>
                <w:rFonts w:ascii="Arial" w:cs="Arial" w:eastAsia="Arial" w:hAnsi="Arial"/>
                <w:sz w:val="10"/>
                <w:szCs w:val="10"/>
                <w:b w:val="1"/>
                <w:bCs w:val="1"/>
                <w:color w:val="auto"/>
                <w:w w:val="93"/>
              </w:rPr>
              <w:t>Net income (loss)</w:t>
            </w:r>
          </w:p>
        </w:tc>
      </w:tr>
      <w:tr>
        <w:trPr>
          <w:trHeight w:val="101"/>
        </w:trPr>
        <w:tc>
          <w:tcPr>
            <w:tcW w:w="2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2025</w:t>
            </w: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ind w:left="40"/>
              <w:spacing w:after="0" w:line="101" w:lineRule="exact"/>
              <w:rPr>
                <w:sz w:val="20"/>
                <w:szCs w:val="20"/>
                <w:color w:val="auto"/>
              </w:rPr>
            </w:pPr>
            <w:r>
              <w:rPr>
                <w:rFonts w:ascii="Arial" w:cs="Arial" w:eastAsia="Arial" w:hAnsi="Arial"/>
                <w:sz w:val="10"/>
                <w:szCs w:val="10"/>
                <w:b w:val="1"/>
                <w:bCs w:val="1"/>
                <w:color w:val="auto"/>
              </w:rPr>
              <w:t>2024</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2025</w:t>
            </w: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ind w:left="40"/>
              <w:spacing w:after="0" w:line="101" w:lineRule="exact"/>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2025</w:t>
            </w: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2025</w:t>
            </w: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8"/>
                <w:szCs w:val="8"/>
                <w:color w:val="auto"/>
              </w:rPr>
            </w:pPr>
          </w:p>
        </w:tc>
        <w:tc>
          <w:tcPr>
            <w:tcW w:w="600" w:type="dxa"/>
            <w:vAlign w:val="bottom"/>
            <w:tcBorders>
              <w:top w:val="single" w:sz="8" w:color="auto"/>
            </w:tcBorders>
            <w:gridSpan w:val="2"/>
          </w:tcPr>
          <w:p>
            <w:pPr>
              <w:spacing w:after="0" w:line="101" w:lineRule="exact"/>
              <w:rPr>
                <w:sz w:val="20"/>
                <w:szCs w:val="20"/>
                <w:color w:val="auto"/>
              </w:rPr>
            </w:pPr>
            <w:r>
              <w:rPr>
                <w:rFonts w:ascii="Arial" w:cs="Arial" w:eastAsia="Arial" w:hAnsi="Arial"/>
                <w:sz w:val="10"/>
                <w:szCs w:val="10"/>
                <w:b w:val="1"/>
                <w:bCs w:val="1"/>
                <w:color w:val="auto"/>
              </w:rPr>
              <w:t>2025</w:t>
            </w: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8"/>
                <w:szCs w:val="8"/>
                <w:color w:val="auto"/>
              </w:rPr>
            </w:pPr>
          </w:p>
        </w:tc>
      </w:tr>
      <w:tr>
        <w:trPr>
          <w:trHeight w:val="125"/>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S/(000)</w:t>
            </w:r>
          </w:p>
        </w:tc>
        <w:tc>
          <w:tcPr>
            <w:tcW w:w="20" w:type="dxa"/>
            <w:vAlign w:val="bottom"/>
          </w:tcPr>
          <w:p>
            <w:pPr>
              <w:spacing w:after="0"/>
              <w:rPr>
                <w:sz w:val="10"/>
                <w:szCs w:val="10"/>
                <w:color w:val="auto"/>
              </w:rPr>
            </w:pPr>
          </w:p>
        </w:tc>
      </w:tr>
      <w:tr>
        <w:trPr>
          <w:trHeight w:val="181"/>
        </w:trPr>
        <w:tc>
          <w:tcPr>
            <w:tcW w:w="2340" w:type="dxa"/>
            <w:vAlign w:val="bottom"/>
            <w:gridSpan w:val="2"/>
          </w:tcPr>
          <w:p>
            <w:pPr>
              <w:spacing w:after="0"/>
              <w:rPr>
                <w:sz w:val="20"/>
                <w:szCs w:val="20"/>
                <w:color w:val="auto"/>
              </w:rPr>
            </w:pPr>
            <w:r>
              <w:rPr>
                <w:rFonts w:ascii="Arial" w:cs="Arial" w:eastAsia="Arial" w:hAnsi="Arial"/>
                <w:sz w:val="10"/>
                <w:szCs w:val="10"/>
                <w:color w:val="auto"/>
              </w:rPr>
              <w:t>Grupo Crédito S.A. (i)</w:t>
            </w:r>
          </w:p>
        </w:tc>
        <w:tc>
          <w:tcPr>
            <w:tcW w:w="940" w:type="dxa"/>
            <w:vAlign w:val="bottom"/>
            <w:gridSpan w:val="2"/>
          </w:tcPr>
          <w:p>
            <w:pPr>
              <w:spacing w:after="0"/>
              <w:rPr>
                <w:sz w:val="20"/>
                <w:szCs w:val="20"/>
                <w:color w:val="auto"/>
              </w:rPr>
            </w:pPr>
            <w:r>
              <w:rPr>
                <w:rFonts w:ascii="Arial" w:cs="Arial" w:eastAsia="Arial" w:hAnsi="Arial"/>
                <w:sz w:val="10"/>
                <w:szCs w:val="10"/>
                <w:color w:val="auto"/>
              </w:rPr>
              <w:t>Holding, Perú</w:t>
            </w:r>
          </w:p>
        </w:tc>
        <w:tc>
          <w:tcPr>
            <w:tcW w:w="500" w:type="dxa"/>
            <w:vAlign w:val="bottom"/>
          </w:tcPr>
          <w:p>
            <w:pPr>
              <w:jc w:val="right"/>
              <w:spacing w:after="0"/>
              <w:rPr>
                <w:sz w:val="20"/>
                <w:szCs w:val="20"/>
                <w:color w:val="auto"/>
              </w:rPr>
            </w:pPr>
            <w:r>
              <w:rPr>
                <w:rFonts w:ascii="Arial" w:cs="Arial" w:eastAsia="Arial" w:hAnsi="Arial"/>
                <w:sz w:val="10"/>
                <w:szCs w:val="10"/>
                <w:color w:val="auto"/>
              </w:rPr>
              <w:t>100.00</w:t>
            </w:r>
          </w:p>
        </w:tc>
        <w:tc>
          <w:tcPr>
            <w:tcW w:w="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37,319,936</w:t>
            </w:r>
          </w:p>
        </w:tc>
        <w:tc>
          <w:tcPr>
            <w:tcW w:w="6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0"/>
                <w:szCs w:val="10"/>
                <w:color w:val="auto"/>
              </w:rPr>
              <w:t>33,922,491</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215,166</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128,329</w:t>
            </w:r>
          </w:p>
        </w:tc>
        <w:tc>
          <w:tcPr>
            <w:tcW w:w="740" w:type="dxa"/>
            <w:vAlign w:val="bottom"/>
            <w:gridSpan w:val="3"/>
          </w:tcPr>
          <w:p>
            <w:pPr>
              <w:jc w:val="right"/>
              <w:ind w:right="80"/>
              <w:spacing w:after="0"/>
              <w:rPr>
                <w:sz w:val="20"/>
                <w:szCs w:val="20"/>
                <w:color w:val="auto"/>
              </w:rPr>
            </w:pPr>
            <w:r>
              <w:rPr>
                <w:rFonts w:ascii="Arial" w:cs="Arial" w:eastAsia="Arial" w:hAnsi="Arial"/>
                <w:sz w:val="10"/>
                <w:szCs w:val="10"/>
                <w:color w:val="auto"/>
              </w:rPr>
              <w:t>37,104,770</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33,794,162</w:t>
            </w:r>
            <w:r>
              <w:rPr>
                <w:rFonts w:ascii="Arial" w:cs="Arial" w:eastAsia="Arial" w:hAnsi="Arial"/>
                <w:sz w:val="10"/>
                <w:szCs w:val="10"/>
                <w:color w:val="FFFFFF"/>
              </w:rPr>
              <w:t>)</w:t>
            </w:r>
          </w:p>
        </w:tc>
        <w:tc>
          <w:tcPr>
            <w:tcW w:w="700" w:type="dxa"/>
            <w:vAlign w:val="bottom"/>
            <w:gridSpan w:val="3"/>
          </w:tcPr>
          <w:p>
            <w:pPr>
              <w:jc w:val="right"/>
              <w:ind w:right="100"/>
              <w:spacing w:after="0"/>
              <w:rPr>
                <w:sz w:val="20"/>
                <w:szCs w:val="20"/>
                <w:color w:val="auto"/>
              </w:rPr>
            </w:pPr>
            <w:r>
              <w:rPr>
                <w:rFonts w:ascii="Arial" w:cs="Arial" w:eastAsia="Arial" w:hAnsi="Arial"/>
                <w:sz w:val="10"/>
                <w:szCs w:val="10"/>
                <w:color w:val="auto"/>
              </w:rPr>
              <w:t>6,319,924</w:t>
            </w:r>
          </w:p>
        </w:tc>
        <w:tc>
          <w:tcPr>
            <w:tcW w:w="620" w:type="dxa"/>
            <w:vAlign w:val="bottom"/>
            <w:gridSpan w:val="2"/>
          </w:tcPr>
          <w:p>
            <w:pPr>
              <w:jc w:val="right"/>
              <w:ind w:right="20"/>
              <w:spacing w:after="0"/>
              <w:rPr>
                <w:sz w:val="20"/>
                <w:szCs w:val="20"/>
                <w:color w:val="auto"/>
              </w:rPr>
            </w:pPr>
            <w:r>
              <w:rPr>
                <w:rFonts w:ascii="Arial" w:cs="Arial" w:eastAsia="Arial" w:hAnsi="Arial"/>
                <w:sz w:val="10"/>
                <w:szCs w:val="10"/>
                <w:color w:val="auto"/>
              </w:rPr>
              <w:t>5,183,824</w:t>
            </w:r>
          </w:p>
        </w:tc>
      </w:tr>
      <w:tr>
        <w:trPr>
          <w:trHeight w:val="109"/>
        </w:trPr>
        <w:tc>
          <w:tcPr>
            <w:tcW w:w="2340" w:type="dxa"/>
            <w:vAlign w:val="bottom"/>
            <w:gridSpan w:val="2"/>
          </w:tcPr>
          <w:p>
            <w:pPr>
              <w:spacing w:after="0" w:line="109" w:lineRule="exact"/>
              <w:rPr>
                <w:sz w:val="20"/>
                <w:szCs w:val="20"/>
                <w:color w:val="auto"/>
              </w:rPr>
            </w:pPr>
            <w:r>
              <w:rPr>
                <w:rFonts w:ascii="Arial" w:cs="Arial" w:eastAsia="Arial" w:hAnsi="Arial"/>
                <w:sz w:val="10"/>
                <w:szCs w:val="10"/>
                <w:color w:val="auto"/>
              </w:rPr>
              <w:t>Pacífico Compañía De Seguros y Reaseguros S.A.</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340" w:type="dxa"/>
            <w:vAlign w:val="bottom"/>
            <w:gridSpan w:val="2"/>
          </w:tcPr>
          <w:p>
            <w:pPr>
              <w:spacing w:after="0" w:line="109" w:lineRule="exact"/>
              <w:rPr>
                <w:sz w:val="20"/>
                <w:szCs w:val="20"/>
                <w:color w:val="auto"/>
              </w:rPr>
            </w:pPr>
            <w:r>
              <w:rPr>
                <w:rFonts w:ascii="Arial" w:cs="Arial" w:eastAsia="Arial" w:hAnsi="Arial"/>
                <w:sz w:val="10"/>
                <w:szCs w:val="10"/>
                <w:color w:val="auto"/>
              </w:rPr>
              <w:t>(ii)</w:t>
            </w: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Insurance, Perú</w:t>
            </w: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65.20</w:t>
            </w:r>
          </w:p>
        </w:tc>
        <w:tc>
          <w:tcPr>
            <w:tcW w:w="60" w:type="dxa"/>
            <w:vAlign w:val="bottom"/>
          </w:tcPr>
          <w:p>
            <w:pPr>
              <w:spacing w:after="0"/>
              <w:rPr>
                <w:sz w:val="9"/>
                <w:szCs w:val="9"/>
                <w:color w:val="auto"/>
              </w:rPr>
            </w:pPr>
          </w:p>
        </w:tc>
        <w:tc>
          <w:tcPr>
            <w:tcW w:w="5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65.20</w:t>
            </w:r>
          </w:p>
        </w:tc>
        <w:tc>
          <w:tcPr>
            <w:tcW w:w="60" w:type="dxa"/>
            <w:vAlign w:val="bottom"/>
          </w:tcPr>
          <w:p>
            <w:pPr>
              <w:spacing w:after="0"/>
              <w:rPr>
                <w:sz w:val="9"/>
                <w:szCs w:val="9"/>
                <w:color w:val="auto"/>
              </w:rPr>
            </w:pPr>
          </w:p>
        </w:tc>
        <w:tc>
          <w:tcPr>
            <w:tcW w:w="6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19,199,573</w:t>
            </w:r>
          </w:p>
        </w:tc>
        <w:tc>
          <w:tcPr>
            <w:tcW w:w="60" w:type="dxa"/>
            <w:vAlign w:val="bottom"/>
          </w:tcPr>
          <w:p>
            <w:pPr>
              <w:spacing w:after="0"/>
              <w:rPr>
                <w:sz w:val="9"/>
                <w:szCs w:val="9"/>
                <w:color w:val="auto"/>
              </w:rPr>
            </w:pP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17,987,724</w:t>
            </w: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15,601,186</w:t>
            </w:r>
          </w:p>
        </w:tc>
        <w:tc>
          <w:tcPr>
            <w:tcW w:w="80" w:type="dxa"/>
            <w:vAlign w:val="bottom"/>
          </w:tcPr>
          <w:p>
            <w:pPr>
              <w:spacing w:after="0"/>
              <w:rPr>
                <w:sz w:val="9"/>
                <w:szCs w:val="9"/>
                <w:color w:val="auto"/>
              </w:rPr>
            </w:pPr>
          </w:p>
        </w:tc>
        <w:tc>
          <w:tcPr>
            <w:tcW w:w="6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14,617,367</w:t>
            </w: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3,598,387</w:t>
            </w: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3,370,357</w:t>
            </w:r>
          </w:p>
        </w:tc>
        <w:tc>
          <w:tcPr>
            <w:tcW w:w="70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790,582</w:t>
            </w:r>
          </w:p>
        </w:tc>
        <w:tc>
          <w:tcPr>
            <w:tcW w:w="6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765,767</w:t>
            </w:r>
          </w:p>
        </w:tc>
      </w:tr>
      <w:tr>
        <w:trPr>
          <w:trHeight w:val="109"/>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Capital Markets,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340" w:type="dxa"/>
            <w:vAlign w:val="bottom"/>
            <w:gridSpan w:val="2"/>
          </w:tcPr>
          <w:p>
            <w:pPr>
              <w:spacing w:after="0" w:line="109" w:lineRule="exact"/>
              <w:rPr>
                <w:sz w:val="20"/>
                <w:szCs w:val="20"/>
                <w:color w:val="auto"/>
              </w:rPr>
            </w:pPr>
            <w:r>
              <w:rPr>
                <w:rFonts w:ascii="Arial" w:cs="Arial" w:eastAsia="Arial" w:hAnsi="Arial"/>
                <w:sz w:val="10"/>
                <w:szCs w:val="10"/>
                <w:color w:val="auto"/>
              </w:rPr>
              <w:t>Atlantic Security Holding Corporation (iii)</w:t>
            </w: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Cayman Island</w:t>
            </w: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100.00</w:t>
            </w:r>
          </w:p>
        </w:tc>
        <w:tc>
          <w:tcPr>
            <w:tcW w:w="60" w:type="dxa"/>
            <w:vAlign w:val="bottom"/>
          </w:tcPr>
          <w:p>
            <w:pPr>
              <w:spacing w:after="0"/>
              <w:rPr>
                <w:sz w:val="9"/>
                <w:szCs w:val="9"/>
                <w:color w:val="auto"/>
              </w:rPr>
            </w:pPr>
          </w:p>
        </w:tc>
        <w:tc>
          <w:tcPr>
            <w:tcW w:w="5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100.00</w:t>
            </w:r>
          </w:p>
        </w:tc>
        <w:tc>
          <w:tcPr>
            <w:tcW w:w="60" w:type="dxa"/>
            <w:vAlign w:val="bottom"/>
          </w:tcPr>
          <w:p>
            <w:pPr>
              <w:spacing w:after="0"/>
              <w:rPr>
                <w:sz w:val="9"/>
                <w:szCs w:val="9"/>
                <w:color w:val="auto"/>
              </w:rPr>
            </w:pPr>
          </w:p>
        </w:tc>
        <w:tc>
          <w:tcPr>
            <w:tcW w:w="720" w:type="dxa"/>
            <w:vAlign w:val="bottom"/>
            <w:gridSpan w:val="3"/>
          </w:tcPr>
          <w:p>
            <w:pPr>
              <w:jc w:val="right"/>
              <w:ind w:right="60"/>
              <w:spacing w:after="0" w:line="109" w:lineRule="exact"/>
              <w:rPr>
                <w:sz w:val="20"/>
                <w:szCs w:val="20"/>
                <w:color w:val="auto"/>
              </w:rPr>
            </w:pPr>
            <w:r>
              <w:rPr>
                <w:rFonts w:ascii="Arial" w:cs="Arial" w:eastAsia="Arial" w:hAnsi="Arial"/>
                <w:sz w:val="10"/>
                <w:szCs w:val="10"/>
                <w:color w:val="auto"/>
              </w:rPr>
              <w:t>1,424,896</w:t>
            </w: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1,255,842</w:t>
            </w: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75,773</w:t>
            </w:r>
          </w:p>
        </w:tc>
        <w:tc>
          <w:tcPr>
            <w:tcW w:w="80" w:type="dxa"/>
            <w:vAlign w:val="bottom"/>
          </w:tcPr>
          <w:p>
            <w:pPr>
              <w:spacing w:after="0"/>
              <w:rPr>
                <w:sz w:val="9"/>
                <w:szCs w:val="9"/>
                <w:color w:val="auto"/>
              </w:rPr>
            </w:pPr>
          </w:p>
        </w:tc>
        <w:tc>
          <w:tcPr>
            <w:tcW w:w="6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268,462</w:t>
            </w: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1,349,123</w:t>
            </w: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987,380</w:t>
            </w:r>
          </w:p>
        </w:tc>
        <w:tc>
          <w:tcPr>
            <w:tcW w:w="70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737,562</w:t>
            </w:r>
          </w:p>
        </w:tc>
        <w:tc>
          <w:tcPr>
            <w:tcW w:w="6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569,643</w:t>
            </w:r>
          </w:p>
        </w:tc>
      </w:tr>
      <w:tr>
        <w:trPr>
          <w:trHeight w:val="109"/>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Capital Markets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and Asset</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management,</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340" w:type="dxa"/>
            <w:vAlign w:val="bottom"/>
            <w:gridSpan w:val="2"/>
          </w:tcPr>
          <w:p>
            <w:pPr>
              <w:spacing w:after="0" w:line="109" w:lineRule="exact"/>
              <w:rPr>
                <w:sz w:val="20"/>
                <w:szCs w:val="20"/>
                <w:color w:val="auto"/>
              </w:rPr>
            </w:pPr>
            <w:r>
              <w:rPr>
                <w:rFonts w:ascii="Arial" w:cs="Arial" w:eastAsia="Arial" w:hAnsi="Arial"/>
                <w:sz w:val="10"/>
                <w:szCs w:val="10"/>
                <w:color w:val="auto"/>
              </w:rPr>
              <w:t>Credicorp Capital Ltd (iv)</w:t>
            </w: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Bermuda</w:t>
            </w: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100.00</w:t>
            </w:r>
          </w:p>
        </w:tc>
        <w:tc>
          <w:tcPr>
            <w:tcW w:w="60" w:type="dxa"/>
            <w:vAlign w:val="bottom"/>
          </w:tcPr>
          <w:p>
            <w:pPr>
              <w:spacing w:after="0"/>
              <w:rPr>
                <w:sz w:val="9"/>
                <w:szCs w:val="9"/>
                <w:color w:val="auto"/>
              </w:rPr>
            </w:pPr>
          </w:p>
        </w:tc>
        <w:tc>
          <w:tcPr>
            <w:tcW w:w="5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100.00</w:t>
            </w:r>
          </w:p>
        </w:tc>
        <w:tc>
          <w:tcPr>
            <w:tcW w:w="60" w:type="dxa"/>
            <w:vAlign w:val="bottom"/>
          </w:tcPr>
          <w:p>
            <w:pPr>
              <w:spacing w:after="0"/>
              <w:rPr>
                <w:sz w:val="9"/>
                <w:szCs w:val="9"/>
                <w:color w:val="auto"/>
              </w:rPr>
            </w:pPr>
          </w:p>
        </w:tc>
        <w:tc>
          <w:tcPr>
            <w:tcW w:w="720" w:type="dxa"/>
            <w:vAlign w:val="bottom"/>
            <w:gridSpan w:val="3"/>
          </w:tcPr>
          <w:p>
            <w:pPr>
              <w:jc w:val="right"/>
              <w:ind w:right="60"/>
              <w:spacing w:after="0" w:line="109" w:lineRule="exact"/>
              <w:rPr>
                <w:sz w:val="20"/>
                <w:szCs w:val="20"/>
                <w:color w:val="auto"/>
              </w:rPr>
            </w:pPr>
            <w:r>
              <w:rPr>
                <w:rFonts w:ascii="Arial" w:cs="Arial" w:eastAsia="Arial" w:hAnsi="Arial"/>
                <w:sz w:val="10"/>
                <w:szCs w:val="10"/>
                <w:color w:val="auto"/>
              </w:rPr>
              <w:t>1,255,453</w:t>
            </w: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1,126,658</w:t>
            </w: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239</w:t>
            </w:r>
          </w:p>
        </w:tc>
        <w:tc>
          <w:tcPr>
            <w:tcW w:w="80" w:type="dxa"/>
            <w:vAlign w:val="bottom"/>
          </w:tcPr>
          <w:p>
            <w:pPr>
              <w:spacing w:after="0"/>
              <w:rPr>
                <w:sz w:val="9"/>
                <w:szCs w:val="9"/>
                <w:color w:val="auto"/>
              </w:rPr>
            </w:pPr>
          </w:p>
        </w:tc>
        <w:tc>
          <w:tcPr>
            <w:tcW w:w="6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956</w:t>
            </w: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1,255,214</w:t>
            </w: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1,125,702</w:t>
            </w:r>
          </w:p>
        </w:tc>
        <w:tc>
          <w:tcPr>
            <w:tcW w:w="700" w:type="dxa"/>
            <w:vAlign w:val="bottom"/>
            <w:gridSpan w:val="3"/>
          </w:tcPr>
          <w:p>
            <w:pPr>
              <w:jc w:val="right"/>
              <w:ind w:right="100"/>
              <w:spacing w:after="0" w:line="109" w:lineRule="exact"/>
              <w:rPr>
                <w:sz w:val="20"/>
                <w:szCs w:val="20"/>
                <w:color w:val="auto"/>
              </w:rPr>
            </w:pPr>
            <w:r>
              <w:rPr>
                <w:rFonts w:ascii="Arial" w:cs="Arial" w:eastAsia="Arial" w:hAnsi="Arial"/>
                <w:sz w:val="10"/>
                <w:szCs w:val="10"/>
                <w:color w:val="auto"/>
              </w:rPr>
              <w:t>103,802</w:t>
            </w: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58,194</w:t>
            </w:r>
          </w:p>
        </w:tc>
        <w:tc>
          <w:tcPr>
            <w:tcW w:w="20" w:type="dxa"/>
            <w:vAlign w:val="bottom"/>
          </w:tcPr>
          <w:p>
            <w:pPr>
              <w:spacing w:after="0"/>
              <w:rPr>
                <w:sz w:val="9"/>
                <w:szCs w:val="9"/>
                <w:color w:val="auto"/>
              </w:rPr>
            </w:pPr>
          </w:p>
        </w:tc>
      </w:tr>
      <w:tr>
        <w:trPr>
          <w:trHeight w:val="109"/>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Special purpose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340" w:type="dxa"/>
            <w:vAlign w:val="bottom"/>
            <w:gridSpan w:val="2"/>
          </w:tcPr>
          <w:p>
            <w:pPr>
              <w:spacing w:after="0" w:line="109" w:lineRule="exact"/>
              <w:rPr>
                <w:sz w:val="20"/>
                <w:szCs w:val="20"/>
                <w:color w:val="auto"/>
              </w:rPr>
            </w:pPr>
            <w:r>
              <w:rPr>
                <w:rFonts w:ascii="Arial" w:cs="Arial" w:eastAsia="Arial" w:hAnsi="Arial"/>
                <w:sz w:val="10"/>
                <w:szCs w:val="10"/>
                <w:color w:val="auto"/>
              </w:rPr>
              <w:t>CCR Inc. (v)</w:t>
            </w: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Entity Bahamas</w:t>
            </w: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100.00</w:t>
            </w:r>
          </w:p>
        </w:tc>
        <w:tc>
          <w:tcPr>
            <w:tcW w:w="60" w:type="dxa"/>
            <w:vAlign w:val="bottom"/>
          </w:tcPr>
          <w:p>
            <w:pPr>
              <w:spacing w:after="0"/>
              <w:rPr>
                <w:sz w:val="9"/>
                <w:szCs w:val="9"/>
                <w:color w:val="auto"/>
              </w:rPr>
            </w:pPr>
          </w:p>
        </w:tc>
        <w:tc>
          <w:tcPr>
            <w:tcW w:w="5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100.00</w:t>
            </w:r>
          </w:p>
        </w:tc>
        <w:tc>
          <w:tcPr>
            <w:tcW w:w="60" w:type="dxa"/>
            <w:vAlign w:val="bottom"/>
          </w:tcPr>
          <w:p>
            <w:pPr>
              <w:spacing w:after="0"/>
              <w:rPr>
                <w:sz w:val="9"/>
                <w:szCs w:val="9"/>
                <w:color w:val="auto"/>
              </w:rPr>
            </w:pPr>
          </w:p>
        </w:tc>
        <w:tc>
          <w:tcPr>
            <w:tcW w:w="6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202</w:t>
            </w:r>
          </w:p>
        </w:tc>
        <w:tc>
          <w:tcPr>
            <w:tcW w:w="60" w:type="dxa"/>
            <w:vAlign w:val="bottom"/>
          </w:tcPr>
          <w:p>
            <w:pPr>
              <w:spacing w:after="0"/>
              <w:rPr>
                <w:sz w:val="9"/>
                <w:szCs w:val="9"/>
                <w:color w:val="auto"/>
              </w:rPr>
            </w:pP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260</w:t>
            </w:r>
          </w:p>
        </w:tc>
        <w:tc>
          <w:tcPr>
            <w:tcW w:w="70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1</w:t>
            </w:r>
          </w:p>
        </w:tc>
        <w:tc>
          <w:tcPr>
            <w:tcW w:w="6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4</w:t>
            </w: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201</w:t>
            </w: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256</w:t>
            </w:r>
          </w:p>
        </w:tc>
        <w:tc>
          <w:tcPr>
            <w:tcW w:w="60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(55)</w:t>
            </w:r>
          </w:p>
        </w:tc>
        <w:tc>
          <w:tcPr>
            <w:tcW w:w="100" w:type="dxa"/>
            <w:vAlign w:val="bottom"/>
          </w:tcPr>
          <w:p>
            <w:pPr>
              <w:spacing w:after="0"/>
              <w:rPr>
                <w:sz w:val="9"/>
                <w:szCs w:val="9"/>
                <w:color w:val="auto"/>
              </w:rPr>
            </w:pPr>
          </w:p>
        </w:tc>
        <w:tc>
          <w:tcPr>
            <w:tcW w:w="6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(22)</w:t>
            </w:r>
          </w:p>
        </w:tc>
      </w:tr>
      <w:tr>
        <w:trPr>
          <w:trHeight w:val="109"/>
        </w:trPr>
        <w:tc>
          <w:tcPr>
            <w:tcW w:w="2340" w:type="dxa"/>
            <w:vAlign w:val="bottom"/>
            <w:gridSpan w:val="2"/>
          </w:tcPr>
          <w:p>
            <w:pPr>
              <w:spacing w:after="0" w:line="109" w:lineRule="exact"/>
              <w:rPr>
                <w:sz w:val="20"/>
                <w:szCs w:val="20"/>
                <w:color w:val="auto"/>
              </w:rPr>
            </w:pPr>
            <w:r>
              <w:rPr>
                <w:rFonts w:ascii="Arial" w:cs="Arial" w:eastAsia="Arial" w:hAnsi="Arial"/>
                <w:sz w:val="10"/>
                <w:szCs w:val="10"/>
                <w:color w:val="auto"/>
              </w:rPr>
              <w:t>Banco de Crédito de Bolivia (vi)</w:t>
            </w:r>
          </w:p>
        </w:tc>
        <w:tc>
          <w:tcPr>
            <w:tcW w:w="940" w:type="dxa"/>
            <w:vAlign w:val="bottom"/>
            <w:gridSpan w:val="2"/>
          </w:tcPr>
          <w:p>
            <w:pPr>
              <w:spacing w:after="0" w:line="109" w:lineRule="exact"/>
              <w:rPr>
                <w:sz w:val="20"/>
                <w:szCs w:val="20"/>
                <w:color w:val="auto"/>
              </w:rPr>
            </w:pPr>
            <w:r>
              <w:rPr>
                <w:rFonts w:ascii="Arial" w:cs="Arial" w:eastAsia="Arial" w:hAnsi="Arial"/>
                <w:sz w:val="10"/>
                <w:szCs w:val="10"/>
                <w:color w:val="auto"/>
              </w:rPr>
              <w:t>Banking Bolivia</w:t>
            </w:r>
          </w:p>
        </w:tc>
        <w:tc>
          <w:tcPr>
            <w:tcW w:w="56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4.01</w:t>
            </w:r>
          </w:p>
        </w:tc>
        <w:tc>
          <w:tcPr>
            <w:tcW w:w="620" w:type="dxa"/>
            <w:vAlign w:val="bottom"/>
            <w:gridSpan w:val="3"/>
          </w:tcPr>
          <w:p>
            <w:pPr>
              <w:jc w:val="right"/>
              <w:ind w:right="60"/>
              <w:spacing w:after="0" w:line="109" w:lineRule="exact"/>
              <w:rPr>
                <w:sz w:val="20"/>
                <w:szCs w:val="20"/>
                <w:color w:val="auto"/>
              </w:rPr>
            </w:pPr>
            <w:r>
              <w:rPr>
                <w:rFonts w:ascii="Arial" w:cs="Arial" w:eastAsia="Arial" w:hAnsi="Arial"/>
                <w:sz w:val="10"/>
                <w:szCs w:val="10"/>
                <w:color w:val="auto"/>
              </w:rPr>
              <w:t>4.01</w:t>
            </w:r>
          </w:p>
        </w:tc>
        <w:tc>
          <w:tcPr>
            <w:tcW w:w="6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10,865,285</w:t>
            </w:r>
          </w:p>
        </w:tc>
        <w:tc>
          <w:tcPr>
            <w:tcW w:w="60" w:type="dxa"/>
            <w:vAlign w:val="bottom"/>
          </w:tcPr>
          <w:p>
            <w:pPr>
              <w:spacing w:after="0"/>
              <w:rPr>
                <w:sz w:val="9"/>
                <w:szCs w:val="9"/>
                <w:color w:val="auto"/>
              </w:rPr>
            </w:pP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13,974,733</w:t>
            </w: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10,046,239</w:t>
            </w:r>
          </w:p>
        </w:tc>
        <w:tc>
          <w:tcPr>
            <w:tcW w:w="80" w:type="dxa"/>
            <w:vAlign w:val="bottom"/>
          </w:tcPr>
          <w:p>
            <w:pPr>
              <w:spacing w:after="0"/>
              <w:rPr>
                <w:sz w:val="9"/>
                <w:szCs w:val="9"/>
                <w:color w:val="auto"/>
              </w:rPr>
            </w:pPr>
          </w:p>
        </w:tc>
        <w:tc>
          <w:tcPr>
            <w:tcW w:w="6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12,968,583</w:t>
            </w:r>
          </w:p>
        </w:tc>
        <w:tc>
          <w:tcPr>
            <w:tcW w:w="740" w:type="dxa"/>
            <w:vAlign w:val="bottom"/>
            <w:gridSpan w:val="3"/>
          </w:tcPr>
          <w:p>
            <w:pPr>
              <w:jc w:val="right"/>
              <w:ind w:right="80"/>
              <w:spacing w:after="0" w:line="109" w:lineRule="exact"/>
              <w:rPr>
                <w:sz w:val="20"/>
                <w:szCs w:val="20"/>
                <w:color w:val="auto"/>
              </w:rPr>
            </w:pPr>
            <w:r>
              <w:rPr>
                <w:rFonts w:ascii="Arial" w:cs="Arial" w:eastAsia="Arial" w:hAnsi="Arial"/>
                <w:sz w:val="10"/>
                <w:szCs w:val="10"/>
                <w:color w:val="auto"/>
              </w:rPr>
              <w:t>819,046</w:t>
            </w: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1,006,150</w:t>
            </w:r>
          </w:p>
        </w:tc>
        <w:tc>
          <w:tcPr>
            <w:tcW w:w="60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85,851</w:t>
            </w:r>
          </w:p>
        </w:tc>
        <w:tc>
          <w:tcPr>
            <w:tcW w:w="10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93,511</w:t>
            </w:r>
          </w:p>
        </w:tc>
        <w:tc>
          <w:tcPr>
            <w:tcW w:w="20" w:type="dxa"/>
            <w:vAlign w:val="bottom"/>
          </w:tcPr>
          <w:p>
            <w:pPr>
              <w:spacing w:after="0"/>
              <w:rPr>
                <w:sz w:val="9"/>
                <w:szCs w:val="9"/>
                <w:color w:val="auto"/>
              </w:rPr>
            </w:pPr>
          </w:p>
        </w:tc>
      </w:tr>
      <w:tr>
        <w:trPr>
          <w:trHeight w:val="125"/>
        </w:trPr>
        <w:tc>
          <w:tcPr>
            <w:tcW w:w="2340" w:type="dxa"/>
            <w:vAlign w:val="bottom"/>
            <w:gridSpan w:val="2"/>
          </w:tcPr>
          <w:p>
            <w:pPr>
              <w:spacing w:after="0"/>
              <w:rPr>
                <w:sz w:val="20"/>
                <w:szCs w:val="20"/>
                <w:color w:val="auto"/>
              </w:rPr>
            </w:pPr>
            <w:r>
              <w:rPr>
                <w:rFonts w:ascii="Arial" w:cs="Arial" w:eastAsia="Arial" w:hAnsi="Arial"/>
                <w:sz w:val="10"/>
                <w:szCs w:val="10"/>
                <w:color w:val="auto"/>
              </w:rPr>
              <w:t>Inversiones Credicorp Bolivia S.A. (vi)</w:t>
            </w:r>
          </w:p>
        </w:tc>
        <w:tc>
          <w:tcPr>
            <w:tcW w:w="940" w:type="dxa"/>
            <w:vAlign w:val="bottom"/>
            <w:gridSpan w:val="2"/>
          </w:tcPr>
          <w:p>
            <w:pPr>
              <w:spacing w:after="0"/>
              <w:rPr>
                <w:sz w:val="20"/>
                <w:szCs w:val="20"/>
                <w:color w:val="auto"/>
              </w:rPr>
            </w:pPr>
            <w:r>
              <w:rPr>
                <w:rFonts w:ascii="Arial" w:cs="Arial" w:eastAsia="Arial" w:hAnsi="Arial"/>
                <w:sz w:val="10"/>
                <w:szCs w:val="10"/>
                <w:color w:val="auto"/>
              </w:rPr>
              <w:t>Banking Bolivia</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0.08</w:t>
            </w:r>
          </w:p>
        </w:tc>
        <w:tc>
          <w:tcPr>
            <w:tcW w:w="620" w:type="dxa"/>
            <w:vAlign w:val="bottom"/>
            <w:gridSpan w:val="3"/>
          </w:tcPr>
          <w:p>
            <w:pPr>
              <w:jc w:val="right"/>
              <w:ind w:right="60"/>
              <w:spacing w:after="0"/>
              <w:rPr>
                <w:sz w:val="20"/>
                <w:szCs w:val="20"/>
                <w:color w:val="auto"/>
              </w:rPr>
            </w:pPr>
            <w:r>
              <w:rPr>
                <w:rFonts w:ascii="Arial" w:cs="Arial" w:eastAsia="Arial" w:hAnsi="Arial"/>
                <w:sz w:val="10"/>
                <w:szCs w:val="10"/>
                <w:color w:val="auto"/>
              </w:rPr>
              <w:t>0.08</w:t>
            </w: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831,542</w:t>
            </w:r>
          </w:p>
        </w:tc>
        <w:tc>
          <w:tcPr>
            <w:tcW w:w="740" w:type="dxa"/>
            <w:vAlign w:val="bottom"/>
            <w:gridSpan w:val="3"/>
          </w:tcPr>
          <w:p>
            <w:pPr>
              <w:jc w:val="right"/>
              <w:ind w:right="80"/>
              <w:spacing w:after="0"/>
              <w:rPr>
                <w:sz w:val="20"/>
                <w:szCs w:val="20"/>
                <w:color w:val="auto"/>
              </w:rPr>
            </w:pPr>
            <w:r>
              <w:rPr>
                <w:rFonts w:ascii="Arial" w:cs="Arial" w:eastAsia="Arial" w:hAnsi="Arial"/>
                <w:sz w:val="10"/>
                <w:szCs w:val="10"/>
                <w:color w:val="auto"/>
              </w:rPr>
              <w:t>1,018,180</w:t>
            </w:r>
          </w:p>
        </w:tc>
        <w:tc>
          <w:tcPr>
            <w:tcW w:w="620" w:type="dxa"/>
            <w:vAlign w:val="bottom"/>
          </w:tcPr>
          <w:p>
            <w:pPr>
              <w:jc w:val="right"/>
              <w:spacing w:after="0"/>
              <w:rPr>
                <w:sz w:val="20"/>
                <w:szCs w:val="20"/>
                <w:color w:val="auto"/>
              </w:rPr>
            </w:pPr>
            <w:r>
              <w:rPr>
                <w:rFonts w:ascii="Arial" w:cs="Arial" w:eastAsia="Arial" w:hAnsi="Arial"/>
                <w:sz w:val="10"/>
                <w:szCs w:val="10"/>
                <w:color w:val="auto"/>
              </w:rPr>
              <w:t>99,192</w:t>
            </w:r>
          </w:p>
        </w:tc>
        <w:tc>
          <w:tcPr>
            <w:tcW w:w="8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137,422</w:t>
            </w:r>
          </w:p>
        </w:tc>
        <w:tc>
          <w:tcPr>
            <w:tcW w:w="740" w:type="dxa"/>
            <w:vAlign w:val="bottom"/>
            <w:gridSpan w:val="3"/>
          </w:tcPr>
          <w:p>
            <w:pPr>
              <w:jc w:val="right"/>
              <w:ind w:right="80"/>
              <w:spacing w:after="0"/>
              <w:rPr>
                <w:sz w:val="20"/>
                <w:szCs w:val="20"/>
                <w:color w:val="auto"/>
              </w:rPr>
            </w:pPr>
            <w:r>
              <w:rPr>
                <w:rFonts w:ascii="Arial" w:cs="Arial" w:eastAsia="Arial" w:hAnsi="Arial"/>
                <w:sz w:val="10"/>
                <w:szCs w:val="10"/>
                <w:color w:val="auto"/>
              </w:rPr>
              <w:t>732,350</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880,758</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81,857</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88,947</w:t>
            </w:r>
          </w:p>
        </w:tc>
        <w:tc>
          <w:tcPr>
            <w:tcW w:w="20" w:type="dxa"/>
            <w:vAlign w:val="bottom"/>
          </w:tcPr>
          <w:p>
            <w:pPr>
              <w:spacing w:after="0"/>
              <w:rPr>
                <w:sz w:val="10"/>
                <w:szCs w:val="10"/>
                <w:color w:val="auto"/>
              </w:rPr>
            </w:pPr>
          </w:p>
        </w:tc>
      </w:tr>
      <w:tr>
        <w:trPr>
          <w:trHeight w:val="290"/>
        </w:trPr>
        <w:tc>
          <w:tcPr>
            <w:tcW w:w="2340" w:type="dxa"/>
            <w:vAlign w:val="bottom"/>
            <w:gridSpan w:val="2"/>
          </w:tcPr>
          <w:p>
            <w:pPr>
              <w:spacing w:after="0"/>
              <w:rPr>
                <w:sz w:val="20"/>
                <w:szCs w:val="20"/>
                <w:color w:val="auto"/>
              </w:rPr>
            </w:pPr>
            <w:r>
              <w:rPr>
                <w:rFonts w:ascii="Arial" w:cs="Arial" w:eastAsia="Arial" w:hAnsi="Arial"/>
                <w:sz w:val="10"/>
                <w:szCs w:val="10"/>
                <w:color w:val="auto"/>
              </w:rPr>
              <w:t>Krealo ltd (vii)</w:t>
            </w:r>
          </w:p>
        </w:tc>
        <w:tc>
          <w:tcPr>
            <w:tcW w:w="940" w:type="dxa"/>
            <w:vAlign w:val="bottom"/>
            <w:gridSpan w:val="2"/>
          </w:tcPr>
          <w:p>
            <w:pPr>
              <w:spacing w:after="0"/>
              <w:rPr>
                <w:sz w:val="20"/>
                <w:szCs w:val="20"/>
                <w:color w:val="auto"/>
              </w:rPr>
            </w:pPr>
            <w:r>
              <w:rPr>
                <w:rFonts w:ascii="Arial" w:cs="Arial" w:eastAsia="Arial" w:hAnsi="Arial"/>
                <w:sz w:val="10"/>
                <w:szCs w:val="10"/>
                <w:color w:val="auto"/>
              </w:rPr>
              <w:t>Fintech, Bermudas</w:t>
            </w:r>
          </w:p>
        </w:tc>
        <w:tc>
          <w:tcPr>
            <w:tcW w:w="500" w:type="dxa"/>
            <w:vAlign w:val="bottom"/>
          </w:tcPr>
          <w:p>
            <w:pPr>
              <w:jc w:val="right"/>
              <w:spacing w:after="0"/>
              <w:rPr>
                <w:sz w:val="20"/>
                <w:szCs w:val="20"/>
                <w:color w:val="auto"/>
              </w:rPr>
            </w:pPr>
            <w:r>
              <w:rPr>
                <w:rFonts w:ascii="Arial" w:cs="Arial" w:eastAsia="Arial" w:hAnsi="Arial"/>
                <w:sz w:val="10"/>
                <w:szCs w:val="10"/>
                <w:color w:val="auto"/>
              </w:rPr>
              <w:t>100.00</w:t>
            </w:r>
          </w:p>
        </w:tc>
        <w:tc>
          <w:tcPr>
            <w:tcW w:w="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56,005</w:t>
            </w:r>
          </w:p>
        </w:tc>
        <w:tc>
          <w:tcPr>
            <w:tcW w:w="6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0"/>
                <w:szCs w:val="10"/>
                <w:color w:val="auto"/>
              </w:rPr>
              <w:t>45,138</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31</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1,818</w:t>
            </w:r>
          </w:p>
        </w:tc>
        <w:tc>
          <w:tcPr>
            <w:tcW w:w="740" w:type="dxa"/>
            <w:vAlign w:val="bottom"/>
            <w:gridSpan w:val="3"/>
          </w:tcPr>
          <w:p>
            <w:pPr>
              <w:jc w:val="right"/>
              <w:ind w:right="80"/>
              <w:spacing w:after="0"/>
              <w:rPr>
                <w:sz w:val="20"/>
                <w:szCs w:val="20"/>
                <w:color w:val="auto"/>
              </w:rPr>
            </w:pPr>
            <w:r>
              <w:rPr>
                <w:rFonts w:ascii="Arial" w:cs="Arial" w:eastAsia="Arial" w:hAnsi="Arial"/>
                <w:sz w:val="10"/>
                <w:szCs w:val="10"/>
                <w:color w:val="auto"/>
              </w:rPr>
              <w:t>55,974</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43,320</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(9,013)</w:t>
            </w: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0"/>
                <w:szCs w:val="10"/>
                <w:color w:val="auto"/>
              </w:rPr>
              <w:t>(1,598)</w:t>
            </w:r>
          </w:p>
        </w:tc>
      </w:tr>
    </w:tbl>
    <w:p>
      <w:pPr>
        <w:spacing w:after="0" w:line="303"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39370</wp:posOffset>
            </wp:positionV>
            <wp:extent cx="714692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20"/>
          </w:cols>
          <w:pgMar w:left="1180" w:top="304" w:right="599" w:bottom="1440" w:gutter="0" w:footer="0" w:header="0"/>
        </w:sectPr>
      </w:pPr>
    </w:p>
    <w:bookmarkStart w:id="208" w:name="page209"/>
    <w:bookmarkEnd w:id="208"/>
    <w:p>
      <w:pPr>
        <w:ind w:left="284" w:hanging="284"/>
        <w:spacing w:after="0" w:line="248" w:lineRule="auto"/>
        <w:tabs>
          <w:tab w:leader="none" w:pos="2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Grupo Crédito is a company whose main activities are to carry out management and administration activities of the subsidiaries of Credicorp Ltd. and invest in shares listed on the Peruvian Stock Exchange and unlisted shares of Peruvian companies. Below, we present the individual or separate financial statements of the main subsidiaries of Grupo Crédito through which Credicorp Ltd. controls, in accordance with IFRS Accounting Standards:</w:t>
      </w:r>
    </w:p>
    <w:p>
      <w:pPr>
        <w:spacing w:after="0" w:line="142" w:lineRule="exact"/>
        <w:rPr>
          <w:sz w:val="20"/>
          <w:szCs w:val="20"/>
          <w:color w:val="auto"/>
        </w:rPr>
      </w:pPr>
    </w:p>
    <w:tbl>
      <w:tblPr>
        <w:tblLayout w:type="fixed"/>
        <w:tblInd w:w="284" w:type="dxa"/>
        <w:tblCellMar>
          <w:top w:w="0" w:type="dxa"/>
          <w:left w:w="0" w:type="dxa"/>
          <w:bottom w:w="0" w:type="dxa"/>
          <w:right w:w="0" w:type="dxa"/>
        </w:tblCellMar>
      </w:tblPr>
      <w:tr>
        <w:trPr>
          <w:trHeight w:val="115"/>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spacing w:after="0"/>
              <w:rPr>
                <w:sz w:val="20"/>
                <w:szCs w:val="20"/>
                <w:color w:val="auto"/>
              </w:rPr>
            </w:pPr>
            <w:r>
              <w:rPr>
                <w:rFonts w:ascii="Arial" w:cs="Arial" w:eastAsia="Arial" w:hAnsi="Arial"/>
                <w:sz w:val="10"/>
                <w:szCs w:val="10"/>
                <w:b w:val="1"/>
                <w:bCs w:val="1"/>
                <w:color w:val="auto"/>
              </w:rPr>
              <w:t>Percentage of direct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09"/>
        </w:trPr>
        <w:tc>
          <w:tcPr>
            <w:tcW w:w="1640" w:type="dxa"/>
            <w:vAlign w:val="bottom"/>
          </w:tcPr>
          <w:p>
            <w:pPr>
              <w:spacing w:after="0"/>
              <w:rPr>
                <w:sz w:val="9"/>
                <w:szCs w:val="9"/>
                <w:color w:val="auto"/>
              </w:rPr>
            </w:pPr>
          </w:p>
        </w:tc>
        <w:tc>
          <w:tcPr>
            <w:tcW w:w="174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Activity and country of</w:t>
            </w:r>
          </w:p>
        </w:tc>
        <w:tc>
          <w:tcPr>
            <w:tcW w:w="62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and indirect</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21"/>
        </w:trPr>
        <w:tc>
          <w:tcPr>
            <w:tcW w:w="1640" w:type="dxa"/>
            <w:vAlign w:val="bottom"/>
          </w:tcPr>
          <w:p>
            <w:pPr>
              <w:spacing w:after="0"/>
              <w:rPr>
                <w:sz w:val="20"/>
                <w:szCs w:val="20"/>
                <w:color w:val="auto"/>
              </w:rPr>
            </w:pPr>
            <w:r>
              <w:rPr>
                <w:rFonts w:ascii="Arial" w:cs="Arial" w:eastAsia="Arial" w:hAnsi="Arial"/>
                <w:sz w:val="10"/>
                <w:szCs w:val="10"/>
                <w:b w:val="1"/>
                <w:bCs w:val="1"/>
                <w:color w:val="auto"/>
              </w:rPr>
              <w:t>Entity</w:t>
            </w:r>
          </w:p>
        </w:tc>
        <w:tc>
          <w:tcPr>
            <w:tcW w:w="1740" w:type="dxa"/>
            <w:vAlign w:val="bottom"/>
            <w:gridSpan w:val="3"/>
          </w:tcPr>
          <w:p>
            <w:pPr>
              <w:ind w:left="120"/>
              <w:spacing w:after="0"/>
              <w:rPr>
                <w:sz w:val="20"/>
                <w:szCs w:val="20"/>
                <w:color w:val="auto"/>
              </w:rPr>
            </w:pPr>
            <w:r>
              <w:rPr>
                <w:rFonts w:ascii="Arial" w:cs="Arial" w:eastAsia="Arial" w:hAnsi="Arial"/>
                <w:sz w:val="10"/>
                <w:szCs w:val="10"/>
                <w:b w:val="1"/>
                <w:bCs w:val="1"/>
                <w:color w:val="auto"/>
              </w:rPr>
              <w:t>incorporation</w:t>
            </w:r>
          </w:p>
        </w:tc>
        <w:tc>
          <w:tcPr>
            <w:tcW w:w="620" w:type="dxa"/>
            <w:vAlign w:val="bottom"/>
            <w:gridSpan w:val="2"/>
          </w:tcPr>
          <w:p>
            <w:pPr>
              <w:spacing w:after="0"/>
              <w:rPr>
                <w:sz w:val="20"/>
                <w:szCs w:val="20"/>
                <w:color w:val="auto"/>
              </w:rPr>
            </w:pPr>
            <w:r>
              <w:rPr>
                <w:rFonts w:ascii="Arial" w:cs="Arial" w:eastAsia="Arial" w:hAnsi="Arial"/>
                <w:sz w:val="10"/>
                <w:szCs w:val="10"/>
                <w:b w:val="1"/>
                <w:bCs w:val="1"/>
                <w:color w:val="auto"/>
                <w:w w:val="99"/>
              </w:rPr>
              <w:t>participation</w:t>
            </w:r>
          </w:p>
        </w:tc>
        <w:tc>
          <w:tcPr>
            <w:tcW w:w="500" w:type="dxa"/>
            <w:vAlign w:val="bottom"/>
          </w:tcPr>
          <w:p>
            <w:pPr>
              <w:spacing w:after="0"/>
              <w:rPr>
                <w:sz w:val="10"/>
                <w:szCs w:val="10"/>
                <w:color w:val="auto"/>
              </w:rPr>
            </w:pPr>
          </w:p>
        </w:tc>
        <w:tc>
          <w:tcPr>
            <w:tcW w:w="820" w:type="dxa"/>
            <w:vAlign w:val="bottom"/>
            <w:gridSpan w:val="3"/>
          </w:tcPr>
          <w:p>
            <w:pPr>
              <w:ind w:left="120"/>
              <w:spacing w:after="0"/>
              <w:rPr>
                <w:sz w:val="20"/>
                <w:szCs w:val="20"/>
                <w:color w:val="auto"/>
              </w:rPr>
            </w:pPr>
            <w:r>
              <w:rPr>
                <w:rFonts w:ascii="Arial" w:cs="Arial" w:eastAsia="Arial" w:hAnsi="Arial"/>
                <w:sz w:val="10"/>
                <w:szCs w:val="10"/>
                <w:b w:val="1"/>
                <w:bCs w:val="1"/>
                <w:color w:val="auto"/>
              </w:rPr>
              <w:t>Assets</w:t>
            </w:r>
          </w:p>
        </w:tc>
        <w:tc>
          <w:tcPr>
            <w:tcW w:w="600" w:type="dxa"/>
            <w:vAlign w:val="bottom"/>
          </w:tcPr>
          <w:p>
            <w:pPr>
              <w:spacing w:after="0"/>
              <w:rPr>
                <w:sz w:val="10"/>
                <w:szCs w:val="10"/>
                <w:color w:val="auto"/>
              </w:rPr>
            </w:pPr>
          </w:p>
        </w:tc>
        <w:tc>
          <w:tcPr>
            <w:tcW w:w="700" w:type="dxa"/>
            <w:vAlign w:val="bottom"/>
            <w:gridSpan w:val="2"/>
          </w:tcPr>
          <w:p>
            <w:pPr>
              <w:ind w:left="100"/>
              <w:spacing w:after="0"/>
              <w:rPr>
                <w:sz w:val="20"/>
                <w:szCs w:val="20"/>
                <w:color w:val="auto"/>
              </w:rPr>
            </w:pPr>
            <w:r>
              <w:rPr>
                <w:rFonts w:ascii="Arial" w:cs="Arial" w:eastAsia="Arial" w:hAnsi="Arial"/>
                <w:sz w:val="10"/>
                <w:szCs w:val="10"/>
                <w:b w:val="1"/>
                <w:bCs w:val="1"/>
                <w:color w:val="auto"/>
              </w:rPr>
              <w:t>Liabilities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4"/>
          </w:tcPr>
          <w:p>
            <w:pPr>
              <w:spacing w:after="0"/>
              <w:rPr>
                <w:sz w:val="20"/>
                <w:szCs w:val="20"/>
                <w:color w:val="auto"/>
              </w:rPr>
            </w:pPr>
            <w:r>
              <w:rPr>
                <w:rFonts w:ascii="Arial" w:cs="Arial" w:eastAsia="Arial" w:hAnsi="Arial"/>
                <w:sz w:val="10"/>
                <w:szCs w:val="10"/>
                <w:b w:val="1"/>
                <w:bCs w:val="1"/>
                <w:color w:val="auto"/>
              </w:rPr>
              <w:t>Net income (loss)</w:t>
            </w:r>
          </w:p>
        </w:tc>
      </w:tr>
      <w:tr>
        <w:trPr>
          <w:trHeight w:val="101"/>
        </w:trPr>
        <w:tc>
          <w:tcPr>
            <w:tcW w:w="1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2025</w:t>
            </w: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2024</w:t>
            </w: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2025</w:t>
            </w: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2025</w:t>
            </w:r>
          </w:p>
        </w:tc>
        <w:tc>
          <w:tcPr>
            <w:tcW w:w="700" w:type="dxa"/>
            <w:vAlign w:val="bottom"/>
            <w:tcBorders>
              <w:top w:val="single" w:sz="8" w:color="auto"/>
            </w:tcBorders>
            <w:gridSpan w:val="2"/>
          </w:tcPr>
          <w:p>
            <w:pPr>
              <w:ind w:left="100"/>
              <w:spacing w:after="0" w:line="101" w:lineRule="exact"/>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2025</w:t>
            </w:r>
          </w:p>
        </w:tc>
        <w:tc>
          <w:tcPr>
            <w:tcW w:w="700" w:type="dxa"/>
            <w:vAlign w:val="bottom"/>
            <w:tcBorders>
              <w:top w:val="single" w:sz="8" w:color="auto"/>
            </w:tcBorders>
            <w:gridSpan w:val="2"/>
          </w:tcPr>
          <w:p>
            <w:pPr>
              <w:ind w:left="100"/>
              <w:spacing w:after="0" w:line="101" w:lineRule="exact"/>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8"/>
                <w:szCs w:val="8"/>
                <w:color w:val="auto"/>
              </w:rPr>
            </w:pPr>
          </w:p>
        </w:tc>
        <w:tc>
          <w:tcPr>
            <w:tcW w:w="600" w:type="dxa"/>
            <w:vAlign w:val="bottom"/>
            <w:tcBorders>
              <w:top w:val="single" w:sz="8" w:color="auto"/>
            </w:tcBorders>
            <w:gridSpan w:val="2"/>
          </w:tcPr>
          <w:p>
            <w:pPr>
              <w:spacing w:after="0" w:line="101" w:lineRule="exact"/>
              <w:rPr>
                <w:sz w:val="20"/>
                <w:szCs w:val="20"/>
                <w:color w:val="auto"/>
              </w:rPr>
            </w:pPr>
            <w:r>
              <w:rPr>
                <w:rFonts w:ascii="Arial" w:cs="Arial" w:eastAsia="Arial" w:hAnsi="Arial"/>
                <w:sz w:val="10"/>
                <w:szCs w:val="10"/>
                <w:b w:val="1"/>
                <w:bCs w:val="1"/>
                <w:color w:val="auto"/>
              </w:rPr>
              <w:t>2025</w:t>
            </w: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2024</w:t>
            </w:r>
          </w:p>
        </w:tc>
      </w:tr>
      <w:tr>
        <w:trPr>
          <w:trHeight w:val="98"/>
        </w:trPr>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rPr>
              <w:t>S/(000)</w:t>
            </w:r>
          </w:p>
        </w:tc>
      </w:tr>
    </w:tbl>
    <w:p>
      <w:pPr>
        <w:spacing w:after="0" w:line="1" w:lineRule="exact"/>
        <w:rPr>
          <w:sz w:val="20"/>
          <w:szCs w:val="20"/>
          <w:color w:val="auto"/>
        </w:rPr>
      </w:pPr>
    </w:p>
    <w:tbl>
      <w:tblPr>
        <w:tblLayout w:type="fixed"/>
        <w:tblInd w:w="284" w:type="dxa"/>
        <w:tblCellMar>
          <w:top w:w="0" w:type="dxa"/>
          <w:left w:w="0" w:type="dxa"/>
          <w:bottom w:w="0" w:type="dxa"/>
          <w:right w:w="0" w:type="dxa"/>
        </w:tblCellMar>
      </w:tblPr>
      <w:tr>
        <w:trPr>
          <w:trHeight w:val="101"/>
        </w:trPr>
        <w:tc>
          <w:tcPr>
            <w:tcW w:w="1680" w:type="dxa"/>
            <w:vAlign w:val="bottom"/>
          </w:tcPr>
          <w:p>
            <w:pPr>
              <w:spacing w:after="0" w:line="101" w:lineRule="exact"/>
              <w:rPr>
                <w:sz w:val="20"/>
                <w:szCs w:val="20"/>
                <w:color w:val="auto"/>
              </w:rPr>
            </w:pPr>
            <w:r>
              <w:rPr>
                <w:rFonts w:ascii="Arial" w:cs="Arial" w:eastAsia="Arial" w:hAnsi="Arial"/>
                <w:sz w:val="10"/>
                <w:szCs w:val="10"/>
                <w:color w:val="auto"/>
              </w:rPr>
              <w:t>Banco de Crédito del Perú and</w:t>
            </w:r>
          </w:p>
        </w:tc>
        <w:tc>
          <w:tcPr>
            <w:tcW w:w="1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5"/>
        </w:trPr>
        <w:tc>
          <w:tcPr>
            <w:tcW w:w="1680" w:type="dxa"/>
            <w:vAlign w:val="bottom"/>
          </w:tcPr>
          <w:p>
            <w:pPr>
              <w:spacing w:after="0"/>
              <w:rPr>
                <w:sz w:val="20"/>
                <w:szCs w:val="20"/>
                <w:color w:val="auto"/>
              </w:rPr>
            </w:pPr>
            <w:r>
              <w:rPr>
                <w:rFonts w:ascii="Arial" w:cs="Arial" w:eastAsia="Arial" w:hAnsi="Arial"/>
                <w:sz w:val="10"/>
                <w:szCs w:val="10"/>
                <w:color w:val="auto"/>
              </w:rPr>
              <w:t>Subsidiaries (a)</w:t>
            </w:r>
          </w:p>
        </w:tc>
        <w:tc>
          <w:tcPr>
            <w:tcW w:w="1740" w:type="dxa"/>
            <w:vAlign w:val="bottom"/>
          </w:tcPr>
          <w:p>
            <w:pPr>
              <w:ind w:left="80"/>
              <w:spacing w:after="0"/>
              <w:rPr>
                <w:sz w:val="20"/>
                <w:szCs w:val="20"/>
                <w:color w:val="auto"/>
              </w:rPr>
            </w:pPr>
            <w:r>
              <w:rPr>
                <w:rFonts w:ascii="Arial" w:cs="Arial" w:eastAsia="Arial" w:hAnsi="Arial"/>
                <w:sz w:val="10"/>
                <w:szCs w:val="10"/>
                <w:color w:val="auto"/>
              </w:rPr>
              <w:t>Banking, Perú</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97.74</w:t>
            </w:r>
          </w:p>
        </w:tc>
        <w:tc>
          <w:tcPr>
            <w:tcW w:w="560" w:type="dxa"/>
            <w:vAlign w:val="bottom"/>
          </w:tcPr>
          <w:p>
            <w:pPr>
              <w:jc w:val="right"/>
              <w:ind w:right="52"/>
              <w:spacing w:after="0"/>
              <w:rPr>
                <w:sz w:val="20"/>
                <w:szCs w:val="20"/>
                <w:color w:val="auto"/>
              </w:rPr>
            </w:pPr>
            <w:r>
              <w:rPr>
                <w:rFonts w:ascii="Arial" w:cs="Arial" w:eastAsia="Arial" w:hAnsi="Arial"/>
                <w:sz w:val="10"/>
                <w:szCs w:val="10"/>
                <w:color w:val="auto"/>
              </w:rPr>
              <w:t>97.74</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219,933,373</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211,086,260</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191,487,370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184,934,666</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28,446,003</w:t>
            </w:r>
          </w:p>
        </w:tc>
        <w:tc>
          <w:tcPr>
            <w:tcW w:w="720" w:type="dxa"/>
            <w:vAlign w:val="bottom"/>
          </w:tcPr>
          <w:p>
            <w:pPr>
              <w:jc w:val="right"/>
              <w:ind w:right="92"/>
              <w:spacing w:after="0"/>
              <w:rPr>
                <w:sz w:val="20"/>
                <w:szCs w:val="20"/>
                <w:color w:val="auto"/>
              </w:rPr>
            </w:pPr>
            <w:r>
              <w:rPr>
                <w:rFonts w:ascii="Arial" w:cs="Arial" w:eastAsia="Arial" w:hAnsi="Arial"/>
                <w:sz w:val="10"/>
                <w:szCs w:val="10"/>
                <w:color w:val="auto"/>
              </w:rPr>
              <w:t>26,151,594</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6,500,570</w:t>
            </w:r>
          </w:p>
        </w:tc>
        <w:tc>
          <w:tcPr>
            <w:tcW w:w="560" w:type="dxa"/>
            <w:vAlign w:val="bottom"/>
          </w:tcPr>
          <w:p>
            <w:pPr>
              <w:jc w:val="right"/>
              <w:spacing w:after="0"/>
              <w:rPr>
                <w:sz w:val="20"/>
                <w:szCs w:val="20"/>
                <w:color w:val="auto"/>
              </w:rPr>
            </w:pPr>
            <w:r>
              <w:rPr>
                <w:rFonts w:ascii="Arial" w:cs="Arial" w:eastAsia="Arial" w:hAnsi="Arial"/>
                <w:sz w:val="10"/>
                <w:szCs w:val="10"/>
                <w:color w:val="auto"/>
              </w:rPr>
              <w:t>5,311,804</w:t>
            </w:r>
          </w:p>
        </w:tc>
      </w:tr>
      <w:tr>
        <w:trPr>
          <w:trHeight w:val="200"/>
        </w:trPr>
        <w:tc>
          <w:tcPr>
            <w:tcW w:w="1680" w:type="dxa"/>
            <w:vAlign w:val="bottom"/>
          </w:tcPr>
          <w:p>
            <w:pPr>
              <w:spacing w:after="0"/>
              <w:rPr>
                <w:sz w:val="20"/>
                <w:szCs w:val="20"/>
                <w:color w:val="auto"/>
              </w:rPr>
            </w:pPr>
            <w:r>
              <w:rPr>
                <w:rFonts w:ascii="Arial" w:cs="Arial" w:eastAsia="Arial" w:hAnsi="Arial"/>
                <w:sz w:val="10"/>
                <w:szCs w:val="10"/>
                <w:color w:val="auto"/>
              </w:rPr>
              <w:t>Inversiones Credicorp Bolivia S.A.</w:t>
            </w:r>
          </w:p>
        </w:tc>
        <w:tc>
          <w:tcPr>
            <w:tcW w:w="1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25"/>
        </w:trPr>
        <w:tc>
          <w:tcPr>
            <w:tcW w:w="1680" w:type="dxa"/>
            <w:vAlign w:val="bottom"/>
          </w:tcPr>
          <w:p>
            <w:pPr>
              <w:spacing w:after="0"/>
              <w:rPr>
                <w:sz w:val="20"/>
                <w:szCs w:val="20"/>
                <w:color w:val="auto"/>
              </w:rPr>
            </w:pPr>
            <w:r>
              <w:rPr>
                <w:rFonts w:ascii="Arial" w:cs="Arial" w:eastAsia="Arial" w:hAnsi="Arial"/>
                <w:sz w:val="10"/>
                <w:szCs w:val="10"/>
                <w:color w:val="auto"/>
              </w:rPr>
              <w:t>and Subsidiaries (b)</w:t>
            </w:r>
          </w:p>
        </w:tc>
        <w:tc>
          <w:tcPr>
            <w:tcW w:w="1740" w:type="dxa"/>
            <w:vAlign w:val="bottom"/>
          </w:tcPr>
          <w:p>
            <w:pPr>
              <w:ind w:left="80"/>
              <w:spacing w:after="0"/>
              <w:rPr>
                <w:sz w:val="20"/>
                <w:szCs w:val="20"/>
                <w:color w:val="auto"/>
              </w:rPr>
            </w:pPr>
            <w:r>
              <w:rPr>
                <w:rFonts w:ascii="Arial" w:cs="Arial" w:eastAsia="Arial" w:hAnsi="Arial"/>
                <w:sz w:val="10"/>
                <w:szCs w:val="10"/>
                <w:color w:val="auto"/>
              </w:rPr>
              <w:t>Banking, Bolivia</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99.96</w:t>
            </w:r>
          </w:p>
        </w:tc>
        <w:tc>
          <w:tcPr>
            <w:tcW w:w="560" w:type="dxa"/>
            <w:vAlign w:val="bottom"/>
          </w:tcPr>
          <w:p>
            <w:pPr>
              <w:jc w:val="right"/>
              <w:ind w:right="52"/>
              <w:spacing w:after="0"/>
              <w:rPr>
                <w:sz w:val="20"/>
                <w:szCs w:val="20"/>
                <w:color w:val="auto"/>
              </w:rPr>
            </w:pPr>
            <w:r>
              <w:rPr>
                <w:rFonts w:ascii="Arial" w:cs="Arial" w:eastAsia="Arial" w:hAnsi="Arial"/>
                <w:sz w:val="10"/>
                <w:szCs w:val="10"/>
                <w:color w:val="auto"/>
              </w:rPr>
              <w:t>99.96</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10,910,443</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14,028,528</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10,144,528</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13,106,538</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765,915</w:t>
            </w:r>
          </w:p>
        </w:tc>
        <w:tc>
          <w:tcPr>
            <w:tcW w:w="720" w:type="dxa"/>
            <w:vAlign w:val="bottom"/>
          </w:tcPr>
          <w:p>
            <w:pPr>
              <w:jc w:val="right"/>
              <w:ind w:right="92"/>
              <w:spacing w:after="0"/>
              <w:rPr>
                <w:sz w:val="20"/>
                <w:szCs w:val="20"/>
                <w:color w:val="auto"/>
              </w:rPr>
            </w:pPr>
            <w:r>
              <w:rPr>
                <w:rFonts w:ascii="Arial" w:cs="Arial" w:eastAsia="Arial" w:hAnsi="Arial"/>
                <w:sz w:val="10"/>
                <w:szCs w:val="10"/>
                <w:color w:val="auto"/>
              </w:rPr>
              <w:t>921,990</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85,379</w:t>
            </w:r>
          </w:p>
        </w:tc>
        <w:tc>
          <w:tcPr>
            <w:tcW w:w="560" w:type="dxa"/>
            <w:vAlign w:val="bottom"/>
          </w:tcPr>
          <w:p>
            <w:pPr>
              <w:jc w:val="right"/>
              <w:spacing w:after="0"/>
              <w:rPr>
                <w:sz w:val="20"/>
                <w:szCs w:val="20"/>
                <w:color w:val="auto"/>
              </w:rPr>
            </w:pPr>
            <w:r>
              <w:rPr>
                <w:rFonts w:ascii="Arial" w:cs="Arial" w:eastAsia="Arial" w:hAnsi="Arial"/>
                <w:sz w:val="10"/>
                <w:szCs w:val="10"/>
                <w:color w:val="auto"/>
              </w:rPr>
              <w:t>92,781</w:t>
            </w:r>
          </w:p>
        </w:tc>
      </w:tr>
      <w:tr>
        <w:trPr>
          <w:trHeight w:val="217"/>
        </w:trPr>
        <w:tc>
          <w:tcPr>
            <w:tcW w:w="1680" w:type="dxa"/>
            <w:vAlign w:val="bottom"/>
          </w:tcPr>
          <w:p>
            <w:pPr>
              <w:spacing w:after="0"/>
              <w:rPr>
                <w:sz w:val="20"/>
                <w:szCs w:val="20"/>
                <w:color w:val="auto"/>
              </w:rPr>
            </w:pPr>
            <w:r>
              <w:rPr>
                <w:rFonts w:ascii="Arial" w:cs="Arial" w:eastAsia="Arial" w:hAnsi="Arial"/>
                <w:sz w:val="10"/>
                <w:szCs w:val="10"/>
                <w:color w:val="auto"/>
              </w:rPr>
              <w:t>Prima AFP (c)</w:t>
            </w:r>
          </w:p>
        </w:tc>
        <w:tc>
          <w:tcPr>
            <w:tcW w:w="1740" w:type="dxa"/>
            <w:vAlign w:val="bottom"/>
          </w:tcPr>
          <w:p>
            <w:pPr>
              <w:ind w:left="80"/>
              <w:spacing w:after="0"/>
              <w:rPr>
                <w:sz w:val="20"/>
                <w:szCs w:val="20"/>
                <w:color w:val="auto"/>
              </w:rPr>
            </w:pPr>
            <w:r>
              <w:rPr>
                <w:rFonts w:ascii="Arial" w:cs="Arial" w:eastAsia="Arial" w:hAnsi="Arial"/>
                <w:sz w:val="10"/>
                <w:szCs w:val="10"/>
                <w:color w:val="auto"/>
              </w:rPr>
              <w:t>Pension fund administration, Perú</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100.00</w:t>
            </w:r>
          </w:p>
        </w:tc>
        <w:tc>
          <w:tcPr>
            <w:tcW w:w="560" w:type="dxa"/>
            <w:vAlign w:val="bottom"/>
          </w:tcPr>
          <w:p>
            <w:pPr>
              <w:jc w:val="right"/>
              <w:ind w:right="52"/>
              <w:spacing w:after="0"/>
              <w:rPr>
                <w:sz w:val="20"/>
                <w:szCs w:val="20"/>
                <w:color w:val="auto"/>
              </w:rPr>
            </w:pPr>
            <w:r>
              <w:rPr>
                <w:rFonts w:ascii="Arial" w:cs="Arial" w:eastAsia="Arial" w:hAnsi="Arial"/>
                <w:sz w:val="10"/>
                <w:szCs w:val="10"/>
                <w:color w:val="auto"/>
              </w:rPr>
              <w:t>100.00</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684,509</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657,971</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231,235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182,419</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453,274</w:t>
            </w:r>
          </w:p>
        </w:tc>
        <w:tc>
          <w:tcPr>
            <w:tcW w:w="720" w:type="dxa"/>
            <w:vAlign w:val="bottom"/>
          </w:tcPr>
          <w:p>
            <w:pPr>
              <w:jc w:val="right"/>
              <w:ind w:right="92"/>
              <w:spacing w:after="0"/>
              <w:rPr>
                <w:sz w:val="20"/>
                <w:szCs w:val="20"/>
                <w:color w:val="auto"/>
              </w:rPr>
            </w:pPr>
            <w:r>
              <w:rPr>
                <w:rFonts w:ascii="Arial" w:cs="Arial" w:eastAsia="Arial" w:hAnsi="Arial"/>
                <w:sz w:val="10"/>
                <w:szCs w:val="10"/>
                <w:color w:val="auto"/>
              </w:rPr>
              <w:t>475,552</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146,543</w:t>
            </w:r>
          </w:p>
        </w:tc>
        <w:tc>
          <w:tcPr>
            <w:tcW w:w="560" w:type="dxa"/>
            <w:vAlign w:val="bottom"/>
          </w:tcPr>
          <w:p>
            <w:pPr>
              <w:jc w:val="right"/>
              <w:spacing w:after="0"/>
              <w:rPr>
                <w:sz w:val="20"/>
                <w:szCs w:val="20"/>
                <w:color w:val="auto"/>
              </w:rPr>
            </w:pPr>
            <w:r>
              <w:rPr>
                <w:rFonts w:ascii="Arial" w:cs="Arial" w:eastAsia="Arial" w:hAnsi="Arial"/>
                <w:sz w:val="10"/>
                <w:szCs w:val="10"/>
                <w:color w:val="auto"/>
              </w:rPr>
              <w:t>132,926</w:t>
            </w:r>
          </w:p>
        </w:tc>
      </w:tr>
      <w:tr>
        <w:trPr>
          <w:trHeight w:val="217"/>
        </w:trPr>
        <w:tc>
          <w:tcPr>
            <w:tcW w:w="1680" w:type="dxa"/>
            <w:vAlign w:val="bottom"/>
          </w:tcPr>
          <w:p>
            <w:pPr>
              <w:spacing w:after="0"/>
              <w:rPr>
                <w:sz w:val="20"/>
                <w:szCs w:val="20"/>
                <w:color w:val="auto"/>
              </w:rPr>
            </w:pPr>
            <w:r>
              <w:rPr>
                <w:rFonts w:ascii="Arial" w:cs="Arial" w:eastAsia="Arial" w:hAnsi="Arial"/>
                <w:sz w:val="10"/>
                <w:szCs w:val="10"/>
                <w:color w:val="auto"/>
              </w:rPr>
              <w:t>Tenpo SpA and Subsidiaries (d)</w:t>
            </w:r>
          </w:p>
        </w:tc>
        <w:tc>
          <w:tcPr>
            <w:tcW w:w="1740" w:type="dxa"/>
            <w:vAlign w:val="bottom"/>
          </w:tcPr>
          <w:p>
            <w:pPr>
              <w:ind w:left="80"/>
              <w:spacing w:after="0"/>
              <w:rPr>
                <w:sz w:val="20"/>
                <w:szCs w:val="20"/>
                <w:color w:val="auto"/>
              </w:rPr>
            </w:pPr>
            <w:r>
              <w:rPr>
                <w:rFonts w:ascii="Arial" w:cs="Arial" w:eastAsia="Arial" w:hAnsi="Arial"/>
                <w:sz w:val="10"/>
                <w:szCs w:val="10"/>
                <w:color w:val="auto"/>
              </w:rPr>
              <w:t>Holding, Chile</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100.00</w:t>
            </w:r>
          </w:p>
        </w:tc>
        <w:tc>
          <w:tcPr>
            <w:tcW w:w="560" w:type="dxa"/>
            <w:vAlign w:val="bottom"/>
          </w:tcPr>
          <w:p>
            <w:pPr>
              <w:jc w:val="right"/>
              <w:ind w:right="52"/>
              <w:spacing w:after="0"/>
              <w:rPr>
                <w:sz w:val="20"/>
                <w:szCs w:val="20"/>
                <w:color w:val="auto"/>
              </w:rPr>
            </w:pPr>
            <w:r>
              <w:rPr>
                <w:rFonts w:ascii="Arial" w:cs="Arial" w:eastAsia="Arial" w:hAnsi="Arial"/>
                <w:sz w:val="10"/>
                <w:szCs w:val="10"/>
                <w:color w:val="auto"/>
              </w:rPr>
              <w:t>100.00</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2,063,256</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903,698</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1,708,824</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646,952</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354,432</w:t>
            </w:r>
          </w:p>
        </w:tc>
        <w:tc>
          <w:tcPr>
            <w:tcW w:w="720" w:type="dxa"/>
            <w:vAlign w:val="bottom"/>
          </w:tcPr>
          <w:p>
            <w:pPr>
              <w:jc w:val="right"/>
              <w:ind w:right="92"/>
              <w:spacing w:after="0"/>
              <w:rPr>
                <w:sz w:val="20"/>
                <w:szCs w:val="20"/>
                <w:color w:val="auto"/>
              </w:rPr>
            </w:pPr>
            <w:r>
              <w:rPr>
                <w:rFonts w:ascii="Arial" w:cs="Arial" w:eastAsia="Arial" w:hAnsi="Arial"/>
                <w:sz w:val="10"/>
                <w:szCs w:val="10"/>
                <w:color w:val="auto"/>
              </w:rPr>
              <w:t>256,746</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(148,391)</w:t>
            </w:r>
          </w:p>
        </w:tc>
        <w:tc>
          <w:tcPr>
            <w:tcW w:w="560" w:type="dxa"/>
            <w:vAlign w:val="bottom"/>
          </w:tcPr>
          <w:p>
            <w:pPr>
              <w:jc w:val="right"/>
              <w:spacing w:after="0"/>
              <w:rPr>
                <w:sz w:val="20"/>
                <w:szCs w:val="20"/>
                <w:color w:val="auto"/>
              </w:rPr>
            </w:pPr>
            <w:r>
              <w:rPr>
                <w:rFonts w:ascii="Arial" w:cs="Arial" w:eastAsia="Arial" w:hAnsi="Arial"/>
                <w:sz w:val="10"/>
                <w:szCs w:val="10"/>
                <w:color w:val="auto"/>
              </w:rPr>
              <w:t>(118,344)</w:t>
            </w:r>
          </w:p>
        </w:tc>
      </w:tr>
      <w:tr>
        <w:trPr>
          <w:trHeight w:val="217"/>
        </w:trPr>
        <w:tc>
          <w:tcPr>
            <w:tcW w:w="1680" w:type="dxa"/>
            <w:vAlign w:val="bottom"/>
          </w:tcPr>
          <w:p>
            <w:pPr>
              <w:spacing w:after="0"/>
              <w:rPr>
                <w:sz w:val="20"/>
                <w:szCs w:val="20"/>
                <w:color w:val="auto"/>
              </w:rPr>
            </w:pPr>
            <w:r>
              <w:rPr>
                <w:rFonts w:ascii="Arial" w:cs="Arial" w:eastAsia="Arial" w:hAnsi="Arial"/>
                <w:sz w:val="10"/>
                <w:szCs w:val="10"/>
                <w:color w:val="auto"/>
              </w:rPr>
              <w:t>Yape Market (e)</w:t>
            </w:r>
          </w:p>
        </w:tc>
        <w:tc>
          <w:tcPr>
            <w:tcW w:w="1740" w:type="dxa"/>
            <w:vAlign w:val="bottom"/>
          </w:tcPr>
          <w:p>
            <w:pPr>
              <w:ind w:left="80"/>
              <w:spacing w:after="0"/>
              <w:rPr>
                <w:sz w:val="20"/>
                <w:szCs w:val="20"/>
                <w:color w:val="auto"/>
              </w:rPr>
            </w:pPr>
            <w:r>
              <w:rPr>
                <w:rFonts w:ascii="Arial" w:cs="Arial" w:eastAsia="Arial" w:hAnsi="Arial"/>
                <w:sz w:val="10"/>
                <w:szCs w:val="10"/>
                <w:color w:val="auto"/>
              </w:rPr>
              <w:t>Digital platform for e-commerce</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100.00</w:t>
            </w:r>
          </w:p>
        </w:tc>
        <w:tc>
          <w:tcPr>
            <w:tcW w:w="560" w:type="dxa"/>
            <w:vAlign w:val="bottom"/>
          </w:tcPr>
          <w:p>
            <w:pPr>
              <w:jc w:val="right"/>
              <w:ind w:right="52"/>
              <w:spacing w:after="0"/>
              <w:rPr>
                <w:sz w:val="20"/>
                <w:szCs w:val="20"/>
                <w:color w:val="auto"/>
              </w:rPr>
            </w:pPr>
            <w:r>
              <w:rPr>
                <w:rFonts w:ascii="Arial" w:cs="Arial" w:eastAsia="Arial" w:hAnsi="Arial"/>
                <w:sz w:val="10"/>
                <w:szCs w:val="10"/>
                <w:color w:val="auto"/>
              </w:rPr>
              <w:t>100.00</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149,960</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119,137</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69,283</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60,567</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80,677</w:t>
            </w:r>
          </w:p>
        </w:tc>
        <w:tc>
          <w:tcPr>
            <w:tcW w:w="720" w:type="dxa"/>
            <w:vAlign w:val="bottom"/>
          </w:tcPr>
          <w:p>
            <w:pPr>
              <w:jc w:val="right"/>
              <w:ind w:right="92"/>
              <w:spacing w:after="0"/>
              <w:rPr>
                <w:sz w:val="20"/>
                <w:szCs w:val="20"/>
                <w:color w:val="auto"/>
              </w:rPr>
            </w:pPr>
            <w:r>
              <w:rPr>
                <w:rFonts w:ascii="Arial" w:cs="Arial" w:eastAsia="Arial" w:hAnsi="Arial"/>
                <w:sz w:val="10"/>
                <w:szCs w:val="10"/>
                <w:color w:val="auto"/>
              </w:rPr>
              <w:t>58,570</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(7,993)</w:t>
            </w:r>
          </w:p>
        </w:tc>
        <w:tc>
          <w:tcPr>
            <w:tcW w:w="560" w:type="dxa"/>
            <w:vAlign w:val="bottom"/>
          </w:tcPr>
          <w:p>
            <w:pPr>
              <w:jc w:val="right"/>
              <w:spacing w:after="0"/>
              <w:rPr>
                <w:sz w:val="20"/>
                <w:szCs w:val="20"/>
                <w:color w:val="auto"/>
              </w:rPr>
            </w:pPr>
            <w:r>
              <w:rPr>
                <w:rFonts w:ascii="Arial" w:cs="Arial" w:eastAsia="Arial" w:hAnsi="Arial"/>
                <w:sz w:val="10"/>
                <w:szCs w:val="10"/>
                <w:color w:val="auto"/>
              </w:rPr>
              <w:t>(35,190)</w:t>
            </w:r>
          </w:p>
        </w:tc>
      </w:tr>
      <w:tr>
        <w:trPr>
          <w:trHeight w:val="200"/>
        </w:trPr>
        <w:tc>
          <w:tcPr>
            <w:tcW w:w="1680" w:type="dxa"/>
            <w:vAlign w:val="bottom"/>
          </w:tcPr>
          <w:p>
            <w:pPr>
              <w:spacing w:after="0"/>
              <w:rPr>
                <w:sz w:val="17"/>
                <w:szCs w:val="17"/>
                <w:color w:val="auto"/>
              </w:rPr>
            </w:pPr>
          </w:p>
        </w:tc>
        <w:tc>
          <w:tcPr>
            <w:tcW w:w="1740" w:type="dxa"/>
            <w:vAlign w:val="bottom"/>
          </w:tcPr>
          <w:p>
            <w:pPr>
              <w:ind w:left="80"/>
              <w:spacing w:after="0"/>
              <w:rPr>
                <w:sz w:val="20"/>
                <w:szCs w:val="20"/>
                <w:color w:val="auto"/>
              </w:rPr>
            </w:pPr>
            <w:r>
              <w:rPr>
                <w:rFonts w:ascii="Arial" w:cs="Arial" w:eastAsia="Arial" w:hAnsi="Arial"/>
                <w:sz w:val="10"/>
                <w:szCs w:val="10"/>
                <w:color w:val="auto"/>
              </w:rPr>
              <w:t>Management and development of</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09"/>
        </w:trPr>
        <w:tc>
          <w:tcPr>
            <w:tcW w:w="1680" w:type="dxa"/>
            <w:vAlign w:val="bottom"/>
          </w:tcPr>
          <w:p>
            <w:pPr>
              <w:spacing w:after="0"/>
              <w:rPr>
                <w:sz w:val="9"/>
                <w:szCs w:val="9"/>
                <w:color w:val="auto"/>
              </w:rPr>
            </w:pPr>
          </w:p>
        </w:tc>
        <w:tc>
          <w:tcPr>
            <w:tcW w:w="1740" w:type="dxa"/>
            <w:vAlign w:val="bottom"/>
          </w:tcPr>
          <w:p>
            <w:pPr>
              <w:ind w:left="80"/>
              <w:spacing w:after="0" w:line="109" w:lineRule="exact"/>
              <w:rPr>
                <w:sz w:val="20"/>
                <w:szCs w:val="20"/>
                <w:color w:val="auto"/>
              </w:rPr>
            </w:pPr>
            <w:r>
              <w:rPr>
                <w:rFonts w:ascii="Arial" w:cs="Arial" w:eastAsia="Arial" w:hAnsi="Arial"/>
                <w:sz w:val="10"/>
                <w:szCs w:val="10"/>
                <w:color w:val="auto"/>
              </w:rPr>
              <w:t>digital businesses and innovation e</w:t>
            </w: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09"/>
        </w:trPr>
        <w:tc>
          <w:tcPr>
            <w:tcW w:w="1680" w:type="dxa"/>
            <w:vAlign w:val="bottom"/>
          </w:tcPr>
          <w:p>
            <w:pPr>
              <w:spacing w:after="0" w:line="109" w:lineRule="exact"/>
              <w:rPr>
                <w:sz w:val="20"/>
                <w:szCs w:val="20"/>
                <w:color w:val="auto"/>
              </w:rPr>
            </w:pPr>
            <w:r>
              <w:rPr>
                <w:rFonts w:ascii="Arial" w:cs="Arial" w:eastAsia="Arial" w:hAnsi="Arial"/>
                <w:sz w:val="10"/>
                <w:szCs w:val="10"/>
                <w:color w:val="auto"/>
              </w:rPr>
              <w:t>Krealo Management (f)</w:t>
            </w:r>
          </w:p>
        </w:tc>
        <w:tc>
          <w:tcPr>
            <w:tcW w:w="1740" w:type="dxa"/>
            <w:vAlign w:val="bottom"/>
          </w:tcPr>
          <w:p>
            <w:pPr>
              <w:ind w:left="80"/>
              <w:spacing w:after="0" w:line="109" w:lineRule="exact"/>
              <w:rPr>
                <w:sz w:val="20"/>
                <w:szCs w:val="20"/>
                <w:color w:val="auto"/>
              </w:rPr>
            </w:pPr>
            <w:r>
              <w:rPr>
                <w:rFonts w:ascii="Arial" w:cs="Arial" w:eastAsia="Arial" w:hAnsi="Arial"/>
                <w:sz w:val="10"/>
                <w:szCs w:val="10"/>
                <w:color w:val="auto"/>
              </w:rPr>
              <w:t>innovación</w:t>
            </w:r>
          </w:p>
        </w:tc>
        <w:tc>
          <w:tcPr>
            <w:tcW w:w="62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99.99</w:t>
            </w:r>
          </w:p>
        </w:tc>
        <w:tc>
          <w:tcPr>
            <w:tcW w:w="560" w:type="dxa"/>
            <w:vAlign w:val="bottom"/>
          </w:tcPr>
          <w:p>
            <w:pPr>
              <w:jc w:val="right"/>
              <w:ind w:right="52"/>
              <w:spacing w:after="0" w:line="109" w:lineRule="exact"/>
              <w:rPr>
                <w:sz w:val="20"/>
                <w:szCs w:val="20"/>
                <w:color w:val="auto"/>
              </w:rPr>
            </w:pPr>
            <w:r>
              <w:rPr>
                <w:rFonts w:ascii="Arial" w:cs="Arial" w:eastAsia="Arial" w:hAnsi="Arial"/>
                <w:sz w:val="10"/>
                <w:szCs w:val="10"/>
                <w:color w:val="auto"/>
              </w:rPr>
              <w:t>99.99</w:t>
            </w:r>
          </w:p>
        </w:tc>
        <w:tc>
          <w:tcPr>
            <w:tcW w:w="720" w:type="dxa"/>
            <w:vAlign w:val="bottom"/>
          </w:tcPr>
          <w:p>
            <w:pPr>
              <w:jc w:val="right"/>
              <w:ind w:right="52"/>
              <w:spacing w:after="0" w:line="109" w:lineRule="exact"/>
              <w:rPr>
                <w:sz w:val="20"/>
                <w:szCs w:val="20"/>
                <w:color w:val="auto"/>
              </w:rPr>
            </w:pPr>
            <w:r>
              <w:rPr>
                <w:rFonts w:ascii="Arial" w:cs="Arial" w:eastAsia="Arial" w:hAnsi="Arial"/>
                <w:sz w:val="10"/>
                <w:szCs w:val="10"/>
                <w:color w:val="auto"/>
              </w:rPr>
              <w:t>89,338</w:t>
            </w:r>
          </w:p>
        </w:tc>
        <w:tc>
          <w:tcPr>
            <w:tcW w:w="680" w:type="dxa"/>
            <w:vAlign w:val="bottom"/>
          </w:tcPr>
          <w:p>
            <w:pPr>
              <w:jc w:val="right"/>
              <w:ind w:right="32"/>
              <w:spacing w:after="0" w:line="109" w:lineRule="exact"/>
              <w:rPr>
                <w:sz w:val="20"/>
                <w:szCs w:val="20"/>
                <w:color w:val="auto"/>
              </w:rPr>
            </w:pPr>
            <w:r>
              <w:rPr>
                <w:rFonts w:ascii="Arial" w:cs="Arial" w:eastAsia="Arial" w:hAnsi="Arial"/>
                <w:sz w:val="10"/>
                <w:szCs w:val="10"/>
                <w:color w:val="auto"/>
              </w:rPr>
              <w:t>54,414</w:t>
            </w:r>
          </w:p>
        </w:tc>
        <w:tc>
          <w:tcPr>
            <w:tcW w:w="700" w:type="dxa"/>
            <w:vAlign w:val="bottom"/>
          </w:tcPr>
          <w:p>
            <w:pPr>
              <w:jc w:val="right"/>
              <w:ind w:right="32"/>
              <w:spacing w:after="0" w:line="109" w:lineRule="exact"/>
              <w:rPr>
                <w:sz w:val="20"/>
                <w:szCs w:val="20"/>
                <w:color w:val="auto"/>
              </w:rPr>
            </w:pPr>
            <w:r>
              <w:rPr>
                <w:rFonts w:ascii="Arial" w:cs="Arial" w:eastAsia="Arial" w:hAnsi="Arial"/>
                <w:sz w:val="10"/>
                <w:szCs w:val="10"/>
                <w:color w:val="auto"/>
              </w:rPr>
              <w:t>51,766</w:t>
            </w:r>
          </w:p>
        </w:tc>
        <w:tc>
          <w:tcPr>
            <w:tcW w:w="740" w:type="dxa"/>
            <w:vAlign w:val="bottom"/>
          </w:tcPr>
          <w:p>
            <w:pPr>
              <w:jc w:val="right"/>
              <w:ind w:right="72"/>
              <w:spacing w:after="0" w:line="109" w:lineRule="exact"/>
              <w:rPr>
                <w:sz w:val="20"/>
                <w:szCs w:val="20"/>
                <w:color w:val="auto"/>
              </w:rPr>
            </w:pPr>
            <w:r>
              <w:rPr>
                <w:rFonts w:ascii="Arial" w:cs="Arial" w:eastAsia="Arial" w:hAnsi="Arial"/>
                <w:sz w:val="10"/>
                <w:szCs w:val="10"/>
                <w:color w:val="auto"/>
              </w:rPr>
              <w:t>7,175</w:t>
            </w:r>
          </w:p>
        </w:tc>
        <w:tc>
          <w:tcPr>
            <w:tcW w:w="700" w:type="dxa"/>
            <w:vAlign w:val="bottom"/>
          </w:tcPr>
          <w:p>
            <w:pPr>
              <w:jc w:val="right"/>
              <w:ind w:right="72"/>
              <w:spacing w:after="0" w:line="109" w:lineRule="exact"/>
              <w:rPr>
                <w:sz w:val="20"/>
                <w:szCs w:val="20"/>
                <w:color w:val="auto"/>
              </w:rPr>
            </w:pPr>
            <w:r>
              <w:rPr>
                <w:rFonts w:ascii="Arial" w:cs="Arial" w:eastAsia="Arial" w:hAnsi="Arial"/>
                <w:sz w:val="10"/>
                <w:szCs w:val="10"/>
                <w:color w:val="auto"/>
              </w:rPr>
              <w:t>37,572</w:t>
            </w:r>
          </w:p>
        </w:tc>
        <w:tc>
          <w:tcPr>
            <w:tcW w:w="720" w:type="dxa"/>
            <w:vAlign w:val="bottom"/>
          </w:tcPr>
          <w:p>
            <w:pPr>
              <w:jc w:val="right"/>
              <w:ind w:right="92"/>
              <w:spacing w:after="0" w:line="109" w:lineRule="exact"/>
              <w:rPr>
                <w:sz w:val="20"/>
                <w:szCs w:val="20"/>
                <w:color w:val="auto"/>
              </w:rPr>
            </w:pPr>
            <w:r>
              <w:rPr>
                <w:rFonts w:ascii="Arial" w:cs="Arial" w:eastAsia="Arial" w:hAnsi="Arial"/>
                <w:sz w:val="10"/>
                <w:szCs w:val="10"/>
                <w:color w:val="auto"/>
              </w:rPr>
              <w:t>47,239</w:t>
            </w:r>
          </w:p>
        </w:tc>
        <w:tc>
          <w:tcPr>
            <w:tcW w:w="700" w:type="dxa"/>
            <w:vAlign w:val="bottom"/>
          </w:tcPr>
          <w:p>
            <w:pPr>
              <w:jc w:val="right"/>
              <w:ind w:right="92"/>
              <w:spacing w:after="0" w:line="109" w:lineRule="exact"/>
              <w:rPr>
                <w:sz w:val="20"/>
                <w:szCs w:val="20"/>
                <w:color w:val="auto"/>
              </w:rPr>
            </w:pPr>
            <w:r>
              <w:rPr>
                <w:rFonts w:ascii="Arial" w:cs="Arial" w:eastAsia="Arial" w:hAnsi="Arial"/>
                <w:sz w:val="10"/>
                <w:szCs w:val="10"/>
                <w:color w:val="auto"/>
              </w:rPr>
              <w:t>(72,029)</w:t>
            </w: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(55,679)</w:t>
            </w:r>
          </w:p>
        </w:tc>
      </w:tr>
      <w:tr>
        <w:trPr>
          <w:trHeight w:val="109"/>
        </w:trPr>
        <w:tc>
          <w:tcPr>
            <w:tcW w:w="1680" w:type="dxa"/>
            <w:vAlign w:val="bottom"/>
          </w:tcPr>
          <w:p>
            <w:pPr>
              <w:spacing w:after="0" w:line="109" w:lineRule="exact"/>
              <w:rPr>
                <w:sz w:val="20"/>
                <w:szCs w:val="20"/>
                <w:color w:val="auto"/>
              </w:rPr>
            </w:pPr>
            <w:r>
              <w:rPr>
                <w:rFonts w:ascii="Arial" w:cs="Arial" w:eastAsia="Arial" w:hAnsi="Arial"/>
                <w:sz w:val="10"/>
                <w:szCs w:val="10"/>
                <w:color w:val="auto"/>
              </w:rPr>
              <w:t>Compañía Incubadora de Soluciones</w:t>
            </w:r>
          </w:p>
        </w:tc>
        <w:tc>
          <w:tcPr>
            <w:tcW w:w="1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25"/>
        </w:trPr>
        <w:tc>
          <w:tcPr>
            <w:tcW w:w="1680" w:type="dxa"/>
            <w:vAlign w:val="bottom"/>
          </w:tcPr>
          <w:p>
            <w:pPr>
              <w:spacing w:after="0"/>
              <w:rPr>
                <w:sz w:val="20"/>
                <w:szCs w:val="20"/>
                <w:color w:val="auto"/>
              </w:rPr>
            </w:pPr>
            <w:r>
              <w:rPr>
                <w:rFonts w:ascii="Arial" w:cs="Arial" w:eastAsia="Arial" w:hAnsi="Arial"/>
                <w:sz w:val="10"/>
                <w:szCs w:val="10"/>
                <w:color w:val="auto"/>
              </w:rPr>
              <w:t>Móviles S.A - Culqi (g)</w:t>
            </w:r>
          </w:p>
        </w:tc>
        <w:tc>
          <w:tcPr>
            <w:tcW w:w="1740" w:type="dxa"/>
            <w:vAlign w:val="bottom"/>
          </w:tcPr>
          <w:p>
            <w:pPr>
              <w:ind w:left="80"/>
              <w:spacing w:after="0"/>
              <w:rPr>
                <w:sz w:val="20"/>
                <w:szCs w:val="20"/>
                <w:color w:val="auto"/>
              </w:rPr>
            </w:pPr>
            <w:r>
              <w:rPr>
                <w:rFonts w:ascii="Arial" w:cs="Arial" w:eastAsia="Arial" w:hAnsi="Arial"/>
                <w:sz w:val="10"/>
                <w:szCs w:val="10"/>
                <w:color w:val="auto"/>
              </w:rPr>
              <w:t>Payment Processing Services</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100.00</w:t>
            </w:r>
          </w:p>
        </w:tc>
        <w:tc>
          <w:tcPr>
            <w:tcW w:w="560" w:type="dxa"/>
            <w:vAlign w:val="bottom"/>
          </w:tcPr>
          <w:p>
            <w:pPr>
              <w:jc w:val="right"/>
              <w:ind w:right="52"/>
              <w:spacing w:after="0"/>
              <w:rPr>
                <w:sz w:val="20"/>
                <w:szCs w:val="20"/>
                <w:color w:val="auto"/>
              </w:rPr>
            </w:pPr>
            <w:r>
              <w:rPr>
                <w:rFonts w:ascii="Arial" w:cs="Arial" w:eastAsia="Arial" w:hAnsi="Arial"/>
                <w:sz w:val="10"/>
                <w:szCs w:val="10"/>
                <w:color w:val="auto"/>
              </w:rPr>
              <w:t>100.00</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225,546</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200,890</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171,339</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134,725</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54,207</w:t>
            </w:r>
          </w:p>
        </w:tc>
        <w:tc>
          <w:tcPr>
            <w:tcW w:w="720" w:type="dxa"/>
            <w:vAlign w:val="bottom"/>
          </w:tcPr>
          <w:p>
            <w:pPr>
              <w:jc w:val="right"/>
              <w:ind w:right="92"/>
              <w:spacing w:after="0"/>
              <w:rPr>
                <w:sz w:val="20"/>
                <w:szCs w:val="20"/>
                <w:color w:val="auto"/>
              </w:rPr>
            </w:pPr>
            <w:r>
              <w:rPr>
                <w:rFonts w:ascii="Arial" w:cs="Arial" w:eastAsia="Arial" w:hAnsi="Arial"/>
                <w:sz w:val="10"/>
                <w:szCs w:val="10"/>
                <w:color w:val="auto"/>
              </w:rPr>
              <w:t>66,165</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(62,458)</w:t>
            </w:r>
          </w:p>
        </w:tc>
        <w:tc>
          <w:tcPr>
            <w:tcW w:w="560" w:type="dxa"/>
            <w:vAlign w:val="bottom"/>
          </w:tcPr>
          <w:p>
            <w:pPr>
              <w:jc w:val="right"/>
              <w:spacing w:after="0"/>
              <w:rPr>
                <w:sz w:val="20"/>
                <w:szCs w:val="20"/>
                <w:color w:val="auto"/>
              </w:rPr>
            </w:pPr>
            <w:r>
              <w:rPr>
                <w:rFonts w:ascii="Arial" w:cs="Arial" w:eastAsia="Arial" w:hAnsi="Arial"/>
                <w:sz w:val="10"/>
                <w:szCs w:val="10"/>
                <w:color w:val="auto"/>
              </w:rPr>
              <w:t>(90,040)</w:t>
            </w:r>
          </w:p>
        </w:tc>
      </w:tr>
      <w:tr>
        <w:trPr>
          <w:trHeight w:val="217"/>
        </w:trPr>
        <w:tc>
          <w:tcPr>
            <w:tcW w:w="1680" w:type="dxa"/>
            <w:vAlign w:val="bottom"/>
          </w:tcPr>
          <w:p>
            <w:pPr>
              <w:spacing w:after="0"/>
              <w:rPr>
                <w:sz w:val="20"/>
                <w:szCs w:val="20"/>
                <w:color w:val="auto"/>
              </w:rPr>
            </w:pPr>
            <w:r>
              <w:rPr>
                <w:rFonts w:ascii="Arial" w:cs="Arial" w:eastAsia="Arial" w:hAnsi="Arial"/>
                <w:sz w:val="10"/>
                <w:szCs w:val="10"/>
                <w:color w:val="auto"/>
              </w:rPr>
              <w:t>Other Minors Subsidaries (h)</w:t>
            </w: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3,054</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2,715</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1,105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570</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1,949</w:t>
            </w:r>
          </w:p>
        </w:tc>
        <w:tc>
          <w:tcPr>
            <w:tcW w:w="720" w:type="dxa"/>
            <w:vAlign w:val="bottom"/>
          </w:tcPr>
          <w:p>
            <w:pPr>
              <w:jc w:val="right"/>
              <w:ind w:right="92"/>
              <w:spacing w:after="0"/>
              <w:rPr>
                <w:sz w:val="20"/>
                <w:szCs w:val="20"/>
                <w:color w:val="auto"/>
              </w:rPr>
            </w:pPr>
            <w:r>
              <w:rPr>
                <w:rFonts w:ascii="Arial" w:cs="Arial" w:eastAsia="Arial" w:hAnsi="Arial"/>
                <w:sz w:val="10"/>
                <w:szCs w:val="10"/>
                <w:color w:val="auto"/>
              </w:rPr>
              <w:t>2,145</w:t>
            </w:r>
          </w:p>
        </w:tc>
        <w:tc>
          <w:tcPr>
            <w:tcW w:w="700" w:type="dxa"/>
            <w:vAlign w:val="bottom"/>
          </w:tcPr>
          <w:p>
            <w:pPr>
              <w:jc w:val="right"/>
              <w:ind w:right="92"/>
              <w:spacing w:after="0"/>
              <w:rPr>
                <w:sz w:val="20"/>
                <w:szCs w:val="20"/>
                <w:color w:val="auto"/>
              </w:rPr>
            </w:pPr>
            <w:r>
              <w:rPr>
                <w:rFonts w:ascii="Arial" w:cs="Arial" w:eastAsia="Arial" w:hAnsi="Arial"/>
                <w:sz w:val="10"/>
                <w:szCs w:val="10"/>
                <w:color w:val="auto"/>
              </w:rPr>
              <w:t>(836)</w:t>
            </w:r>
          </w:p>
        </w:tc>
        <w:tc>
          <w:tcPr>
            <w:tcW w:w="560" w:type="dxa"/>
            <w:vAlign w:val="bottom"/>
          </w:tcPr>
          <w:p>
            <w:pPr>
              <w:jc w:val="right"/>
              <w:spacing w:after="0"/>
              <w:rPr>
                <w:sz w:val="20"/>
                <w:szCs w:val="20"/>
                <w:color w:val="auto"/>
              </w:rPr>
            </w:pPr>
            <w:r>
              <w:rPr>
                <w:rFonts w:ascii="Arial" w:cs="Arial" w:eastAsia="Arial" w:hAnsi="Arial"/>
                <w:sz w:val="10"/>
                <w:szCs w:val="10"/>
                <w:color w:val="auto"/>
              </w:rPr>
              <w:t>(1,194)</w:t>
            </w:r>
          </w:p>
        </w:tc>
      </w:tr>
    </w:tbl>
    <w:p>
      <w:pPr>
        <w:spacing w:after="0" w:line="303" w:lineRule="exact"/>
        <w:rPr>
          <w:sz w:val="20"/>
          <w:szCs w:val="20"/>
          <w:color w:val="auto"/>
        </w:rPr>
      </w:pPr>
    </w:p>
    <w:p>
      <w:pPr>
        <w:jc w:val="center"/>
        <w:ind w:right="456"/>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564"/>
          </w:cols>
          <w:pgMar w:left="896" w:top="292" w:right="439" w:bottom="1440" w:gutter="0" w:footer="0" w:header="0"/>
        </w:sectPr>
      </w:pPr>
    </w:p>
    <w:bookmarkStart w:id="209" w:name="page210"/>
    <w:bookmarkEnd w:id="209"/>
    <w:p>
      <w:pPr>
        <w:ind w:left="320" w:right="100" w:hanging="285"/>
        <w:spacing w:after="0" w:line="274" w:lineRule="auto"/>
        <w:tabs>
          <w:tab w:leader="none" w:pos="3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BCP was established in 1889 and its activities are regulated by the Peruvian Banking Regulator (Superintendencia de Banca, Seguros y AFP – SBS (the authority that regulates banking, insurance and pension funds activities in Perú, hereinafter “the SBS”).</w:t>
      </w:r>
    </w:p>
    <w:p>
      <w:pPr>
        <w:spacing w:after="0" w:line="122" w:lineRule="exact"/>
        <w:rPr>
          <w:rFonts w:ascii="Arial" w:cs="Arial" w:eastAsia="Arial" w:hAnsi="Arial"/>
          <w:sz w:val="16"/>
          <w:szCs w:val="16"/>
          <w:color w:val="auto"/>
        </w:rPr>
      </w:pPr>
    </w:p>
    <w:p>
      <w:pPr>
        <w:ind w:left="320" w:right="280"/>
        <w:spacing w:after="0" w:line="248" w:lineRule="auto"/>
        <w:rPr>
          <w:rFonts w:ascii="Arial" w:cs="Arial" w:eastAsia="Arial" w:hAnsi="Arial"/>
          <w:sz w:val="16"/>
          <w:szCs w:val="16"/>
          <w:color w:val="auto"/>
        </w:rPr>
      </w:pPr>
      <w:r>
        <w:rPr>
          <w:rFonts w:ascii="Arial" w:cs="Arial" w:eastAsia="Arial" w:hAnsi="Arial"/>
          <w:sz w:val="16"/>
          <w:szCs w:val="16"/>
          <w:color w:val="auto"/>
        </w:rPr>
        <w:t>Its main Subsidiary is Mibanco, Banco de la Microempresa S.A. (hereinafter “MiBanco”), a banking entity in Perú oriented towards the micro and small business sector. As of December 31, 2025, the assets, liabilities, equity and net result of Mibanco amount to approximately S/18,372.4 millones, S/15,570.4 millones, S/2,802.0 millones y S/455.3 million, respectively (S/16,947.3 millones, S/14,279.3 millones, S/2,668.0, and S/309.1 million, respectively December 31, 2024).</w:t>
      </w:r>
    </w:p>
    <w:p>
      <w:pPr>
        <w:spacing w:after="0" w:line="144" w:lineRule="exact"/>
        <w:rPr>
          <w:rFonts w:ascii="Arial" w:cs="Arial" w:eastAsia="Arial" w:hAnsi="Arial"/>
          <w:sz w:val="16"/>
          <w:szCs w:val="16"/>
          <w:color w:val="auto"/>
        </w:rPr>
      </w:pPr>
    </w:p>
    <w:p>
      <w:pPr>
        <w:ind w:left="320" w:right="120" w:hanging="285"/>
        <w:spacing w:after="0" w:line="248" w:lineRule="auto"/>
        <w:tabs>
          <w:tab w:leader="none" w:pos="3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Inversiones Credicorp Bolivia S.A. (hereinafter “ICBSA”) was incorporated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44" w:lineRule="exact"/>
        <w:rPr>
          <w:rFonts w:ascii="Arial" w:cs="Arial" w:eastAsia="Arial" w:hAnsi="Arial"/>
          <w:sz w:val="16"/>
          <w:szCs w:val="16"/>
          <w:color w:val="auto"/>
        </w:rPr>
      </w:pPr>
    </w:p>
    <w:p>
      <w:pPr>
        <w:ind w:left="320"/>
        <w:spacing w:after="0" w:line="248" w:lineRule="auto"/>
        <w:rPr>
          <w:rFonts w:ascii="Arial" w:cs="Arial" w:eastAsia="Arial" w:hAnsi="Arial"/>
          <w:sz w:val="16"/>
          <w:szCs w:val="16"/>
          <w:color w:val="auto"/>
        </w:rPr>
      </w:pPr>
      <w:r>
        <w:rPr>
          <w:rFonts w:ascii="Arial" w:cs="Arial" w:eastAsia="Arial" w:hAnsi="Arial"/>
          <w:sz w:val="16"/>
          <w:szCs w:val="16"/>
          <w:color w:val="auto"/>
        </w:rPr>
        <w:t>Its main Subsidiary is Banco de Crédito de Bolivia (hereinafter “BCB”), a commercial bank which operates in Bolivia. As of December 31, 2025, the assets, liabilities, equity and net result of BCB were approximately S/10,865.5 million, S/ 10,046.5 million, S/819.0 million and S/85.9 million, respectively (S/13,974.7 million, S/ 12,968.7 million, S/ 1,006.0 million and S/ 93.5 million, respectively as of December 31, 2024).</w:t>
      </w:r>
    </w:p>
    <w:p>
      <w:pPr>
        <w:spacing w:after="0" w:line="144" w:lineRule="exact"/>
        <w:rPr>
          <w:rFonts w:ascii="Arial" w:cs="Arial" w:eastAsia="Arial" w:hAnsi="Arial"/>
          <w:sz w:val="16"/>
          <w:szCs w:val="16"/>
          <w:color w:val="auto"/>
        </w:rPr>
      </w:pPr>
    </w:p>
    <w:p>
      <w:pPr>
        <w:ind w:left="320" w:hanging="285"/>
        <w:spacing w:after="0"/>
        <w:tabs>
          <w:tab w:leader="none" w:pos="3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Prima AFP is a private pension fund administrator, and its activities are regulated by the SBS.</w:t>
      </w:r>
    </w:p>
    <w:p>
      <w:pPr>
        <w:spacing w:after="0" w:line="177" w:lineRule="exact"/>
        <w:rPr>
          <w:rFonts w:ascii="Arial" w:cs="Arial" w:eastAsia="Arial" w:hAnsi="Arial"/>
          <w:sz w:val="16"/>
          <w:szCs w:val="16"/>
          <w:color w:val="auto"/>
        </w:rPr>
      </w:pPr>
    </w:p>
    <w:p>
      <w:pPr>
        <w:ind w:left="320" w:right="80" w:hanging="285"/>
        <w:spacing w:after="0" w:line="245" w:lineRule="auto"/>
        <w:tabs>
          <w:tab w:leader="none" w:pos="3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Tenpo SpA (hereinafter “Tenpo”, formerly “Krealo SpA”) was established in Chile in January 2019, with the purpose of making capital investments. On July 1, 2019, Tenpo (Krealo SpA) acquired the Chilean companies Tenpo Technologies SpA (formerly “Tenpo SpA”) and Tenpo Prepago S.A. (formerly “Multicaja Prepago S.A.”). This group of companies offers some financial products and is in the process of obtaining approval from the Superintendency of Banks and Financial Institutions of Chile for the granting of a banking license and the opening of Tenpo Bank.</w:t>
      </w:r>
    </w:p>
    <w:p>
      <w:pPr>
        <w:spacing w:after="0" w:line="146" w:lineRule="exact"/>
        <w:rPr>
          <w:rFonts w:ascii="Arial" w:cs="Arial" w:eastAsia="Arial" w:hAnsi="Arial"/>
          <w:sz w:val="16"/>
          <w:szCs w:val="16"/>
          <w:color w:val="auto"/>
        </w:rPr>
      </w:pPr>
    </w:p>
    <w:p>
      <w:pPr>
        <w:ind w:left="320" w:right="420" w:hanging="285"/>
        <w:spacing w:after="0" w:line="274" w:lineRule="auto"/>
        <w:tabs>
          <w:tab w:leader="none" w:pos="3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Yape Market S.A.C. (hereinafter “Yape Market”) was incorporated on July 1, 2022, and its main activity is providing promotion, sales management, and product and/or service placement services through electronic channels.</w:t>
      </w:r>
    </w:p>
    <w:p>
      <w:pPr>
        <w:spacing w:after="0" w:line="122" w:lineRule="exact"/>
        <w:rPr>
          <w:rFonts w:ascii="Arial" w:cs="Arial" w:eastAsia="Arial" w:hAnsi="Arial"/>
          <w:sz w:val="16"/>
          <w:szCs w:val="16"/>
          <w:color w:val="auto"/>
        </w:rPr>
      </w:pPr>
    </w:p>
    <w:p>
      <w:pPr>
        <w:ind w:left="320" w:right="300" w:hanging="285"/>
        <w:spacing w:after="0" w:line="255" w:lineRule="auto"/>
        <w:tabs>
          <w:tab w:leader="none" w:pos="3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Krealo Management S.A. (hereinafter “Krealo Management”) was incorporated in September 2022, and its purpose is to make investments and participate in the capital of other domestic and foreign companies. Its subsidiaries are Wally POS S.A.C., Sami Shop S.A.C., and Monokera S.A.C.</w:t>
      </w:r>
    </w:p>
    <w:p>
      <w:pPr>
        <w:spacing w:after="0" w:line="137" w:lineRule="exact"/>
        <w:rPr>
          <w:rFonts w:ascii="Arial" w:cs="Arial" w:eastAsia="Arial" w:hAnsi="Arial"/>
          <w:sz w:val="16"/>
          <w:szCs w:val="16"/>
          <w:color w:val="auto"/>
        </w:rPr>
      </w:pPr>
    </w:p>
    <w:p>
      <w:pPr>
        <w:ind w:left="320" w:right="500" w:hanging="285"/>
        <w:spacing w:after="0" w:line="274" w:lineRule="auto"/>
        <w:tabs>
          <w:tab w:leader="none" w:pos="3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Culqi (hereinafter “Culqi”) was created in December 2013 and its main activity is providing digital payment gateway services, which consist of collecting payments from consumers through online or physical platforms.</w:t>
      </w:r>
    </w:p>
    <w:p>
      <w:pPr>
        <w:spacing w:after="0" w:line="122" w:lineRule="exact"/>
        <w:rPr>
          <w:rFonts w:ascii="Arial" w:cs="Arial" w:eastAsia="Arial" w:hAnsi="Arial"/>
          <w:sz w:val="16"/>
          <w:szCs w:val="16"/>
          <w:color w:val="auto"/>
        </w:rPr>
      </w:pPr>
    </w:p>
    <w:p>
      <w:pPr>
        <w:ind w:left="320" w:hanging="285"/>
        <w:spacing w:after="0"/>
        <w:tabs>
          <w:tab w:leader="none" w:pos="3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Other minor subsidiaries include Inversiones 2020 S.A. and Soluciones en Procesamiento S.A.</w:t>
      </w:r>
    </w:p>
    <w:p>
      <w:pPr>
        <w:spacing w:after="0" w:line="334" w:lineRule="exact"/>
        <w:rPr>
          <w:rFonts w:ascii="Arial" w:cs="Arial" w:eastAsia="Arial" w:hAnsi="Arial"/>
          <w:sz w:val="16"/>
          <w:szCs w:val="16"/>
          <w:color w:val="auto"/>
        </w:rPr>
      </w:pPr>
    </w:p>
    <w:p>
      <w:pPr>
        <w:ind w:left="4420" w:hanging="104"/>
        <w:spacing w:after="0"/>
        <w:tabs>
          <w:tab w:leader="none" w:pos="442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39370</wp:posOffset>
            </wp:positionV>
            <wp:extent cx="714692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00"/>
          </w:cols>
          <w:pgMar w:left="1440" w:top="292" w:right="359" w:bottom="1440" w:gutter="0" w:footer="0" w:header="0"/>
        </w:sectPr>
      </w:pPr>
    </w:p>
    <w:bookmarkStart w:id="210" w:name="page211"/>
    <w:bookmarkEnd w:id="210"/>
    <w:p>
      <w:pPr>
        <w:ind w:left="295" w:hanging="295"/>
        <w:spacing w:after="0" w:line="248" w:lineRule="auto"/>
        <w:tabs>
          <w:tab w:leader="none" w:pos="2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Pacífico Seguros is an entity supervised by the SBS, whose economic activities include the underwriting and administration of general and life insurance policies, reinsurance operations, as well as real estate and financial investments. It has subsidiaries including Crediseguro Seguros Personales, Crediseguro Seguros Generales, Pacífico Asiste, and Pacífico EPS and its subsidiaries, which actively participate in the multiple insurance and health insurance businesses, respectively.</w:t>
      </w:r>
    </w:p>
    <w:p>
      <w:pPr>
        <w:spacing w:after="0" w:line="144" w:lineRule="exact"/>
        <w:rPr>
          <w:rFonts w:ascii="Arial" w:cs="Arial" w:eastAsia="Arial" w:hAnsi="Arial"/>
          <w:sz w:val="16"/>
          <w:szCs w:val="16"/>
          <w:color w:val="auto"/>
        </w:rPr>
      </w:pPr>
    </w:p>
    <w:p>
      <w:pPr>
        <w:ind w:left="295" w:right="20" w:hanging="295"/>
        <w:spacing w:after="0" w:line="248" w:lineRule="auto"/>
        <w:tabs>
          <w:tab w:leader="none" w:pos="2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Atlantic Security Holding Corporation (hereinafter “ASHC”) is an entity established in the Cayman Islands, whose most important subsidiary is ASB Bank Corp., which was merged with Atlantic Security Bank in August 2021. ASB Bank Corp. was incorporated on September 9, 2020, in the Republic of Panama. Its main activities are private and institutional banking services and fiduciary administration, primarily for Peruvian clients of BCP.</w:t>
      </w:r>
    </w:p>
    <w:p>
      <w:pPr>
        <w:spacing w:after="0" w:line="144" w:lineRule="exact"/>
        <w:rPr>
          <w:rFonts w:ascii="Arial" w:cs="Arial" w:eastAsia="Arial" w:hAnsi="Arial"/>
          <w:sz w:val="16"/>
          <w:szCs w:val="16"/>
          <w:color w:val="auto"/>
        </w:rPr>
      </w:pPr>
    </w:p>
    <w:p>
      <w:pPr>
        <w:ind w:left="295" w:hanging="295"/>
        <w:spacing w:after="0" w:line="248" w:lineRule="auto"/>
        <w:tabs>
          <w:tab w:leader="none" w:pos="2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Credicorp Capital Ltd. (hereinafter “CCL”) was incorporated in 2012, and its main subsidiaries are Credicorp Capital Holding Peru (owner of Credicorp Capital Perú S.A.A.), Credicorp Holding Colombia (owner of Credicorp Capital Colombia and Mibanco – Banco de la Microempresa de Colombia S.A.), and Credicorp Capital Holding Chile (owner of Credicorp Capital Chile), which carry out their activities in Peru, Colombia and Chile, respectively.</w:t>
      </w:r>
    </w:p>
    <w:p>
      <w:pPr>
        <w:spacing w:after="0" w:line="144" w:lineRule="exact"/>
        <w:rPr>
          <w:rFonts w:ascii="Arial" w:cs="Arial" w:eastAsia="Arial" w:hAnsi="Arial"/>
          <w:sz w:val="16"/>
          <w:szCs w:val="16"/>
          <w:color w:val="auto"/>
        </w:rPr>
      </w:pPr>
    </w:p>
    <w:p>
      <w:pPr>
        <w:ind w:left="295" w:right="220" w:hanging="295"/>
        <w:spacing w:after="0" w:line="274" w:lineRule="auto"/>
        <w:tabs>
          <w:tab w:leader="none" w:pos="2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CCR Inc. was incorporated in 2000, and its main activity is to administer loans granted to BCP by foreign financial institutions. These loans are guaranteed by transactions carried out by BCP.</w:t>
      </w:r>
    </w:p>
    <w:p>
      <w:pPr>
        <w:spacing w:after="0" w:line="122" w:lineRule="exact"/>
        <w:rPr>
          <w:rFonts w:ascii="Arial" w:cs="Arial" w:eastAsia="Arial" w:hAnsi="Arial"/>
          <w:sz w:val="16"/>
          <w:szCs w:val="16"/>
          <w:color w:val="auto"/>
        </w:rPr>
      </w:pPr>
    </w:p>
    <w:p>
      <w:pPr>
        <w:ind w:left="295" w:right="80" w:hanging="295"/>
        <w:spacing w:after="0" w:line="243" w:lineRule="auto"/>
        <w:tabs>
          <w:tab w:leader="none" w:pos="2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Inversiones Credicorp Bolivia S.A. (hereinafter “ICBSA”) was incorporated in February 2013, and its purpose is to make capital investments, on its own behalf or on behalf of third parties, in companies and other entities providing financial services, exercising or determining their management, administration, control, and representation, both nationally and abroad. To this end, it may invest in capital markets, insurance, asset management, pension funds, and other related financial and/or securities products. Its main subsidiary is Banco de Crédito de Bolivia (hereinafter “BCB”), a commercial bank operating in Bolivia. Grupo Crédito directly and indirectly holds 99.92 percent ownership, and Credicorp holds 0.08 percent.</w:t>
      </w:r>
    </w:p>
    <w:p>
      <w:pPr>
        <w:spacing w:after="0" w:line="148" w:lineRule="exact"/>
        <w:rPr>
          <w:rFonts w:ascii="Arial" w:cs="Arial" w:eastAsia="Arial" w:hAnsi="Arial"/>
          <w:sz w:val="16"/>
          <w:szCs w:val="16"/>
          <w:color w:val="auto"/>
        </w:rPr>
      </w:pPr>
    </w:p>
    <w:p>
      <w:pPr>
        <w:ind w:left="295" w:hanging="295"/>
        <w:spacing w:after="0"/>
        <w:tabs>
          <w:tab w:leader="none" w:pos="2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Krealo Ltd. was acquired by Credicorp Ltd. in November 2022.</w:t>
      </w:r>
    </w:p>
    <w:p>
      <w:pPr>
        <w:spacing w:after="0" w:line="334" w:lineRule="exact"/>
        <w:rPr>
          <w:rFonts w:ascii="Arial" w:cs="Arial" w:eastAsia="Arial" w:hAnsi="Arial"/>
          <w:sz w:val="16"/>
          <w:szCs w:val="16"/>
          <w:color w:val="auto"/>
        </w:rPr>
      </w:pPr>
    </w:p>
    <w:p>
      <w:pPr>
        <w:ind w:left="4675" w:hanging="104"/>
        <w:spacing w:after="0"/>
        <w:tabs>
          <w:tab w:leader="none" w:pos="467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39370</wp:posOffset>
            </wp:positionV>
            <wp:extent cx="714692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55"/>
          </w:cols>
          <w:pgMar w:left="1185" w:top="304" w:right="359" w:bottom="1440" w:gutter="0" w:footer="0" w:header="0"/>
        </w:sectPr>
      </w:pPr>
    </w:p>
    <w:bookmarkStart w:id="211" w:name="page212"/>
    <w:bookmarkEnd w:id="211"/>
    <w:p>
      <w:pPr>
        <w:ind w:left="284" w:hanging="284"/>
        <w:spacing w:after="0"/>
        <w:tabs>
          <w:tab w:leader="none" w:pos="28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Income tax -</w:t>
      </w:r>
    </w:p>
    <w:p>
      <w:pPr>
        <w:spacing w:after="0" w:line="177" w:lineRule="exact"/>
        <w:rPr>
          <w:rFonts w:ascii="Arial" w:cs="Arial" w:eastAsia="Arial" w:hAnsi="Arial"/>
          <w:sz w:val="16"/>
          <w:szCs w:val="16"/>
          <w:color w:val="auto"/>
        </w:rPr>
      </w:pPr>
    </w:p>
    <w:p>
      <w:pPr>
        <w:ind w:left="284"/>
        <w:spacing w:after="0" w:line="245" w:lineRule="auto"/>
        <w:rPr>
          <w:rFonts w:ascii="Arial" w:cs="Arial" w:eastAsia="Arial" w:hAnsi="Arial"/>
          <w:sz w:val="16"/>
          <w:szCs w:val="16"/>
          <w:color w:val="auto"/>
        </w:rPr>
      </w:pPr>
      <w:r>
        <w:rPr>
          <w:rFonts w:ascii="Arial" w:cs="Arial" w:eastAsia="Arial" w:hAnsi="Arial"/>
          <w:sz w:val="16"/>
          <w:szCs w:val="16"/>
          <w:color w:val="auto"/>
        </w:rPr>
        <w:t>Deferred income tax reflects the effects of temporary differences between the carrying amounts of assets and liabilities for accounting purposes and those determined for tax purposes. Deferred assets and liabilities are measured using the tax rates expected to apply to taxable income in the years in which these differences are expected to be recovered or settled. The measurement of deferred assets and liabilities reflects the tax consequences derived from how Credicorp and its Subsidiaries expect to recover or settle the value of their assets and liabilities at the date of the separate statement of financial position.</w:t>
      </w:r>
    </w:p>
    <w:p>
      <w:pPr>
        <w:spacing w:after="0" w:line="146" w:lineRule="exact"/>
        <w:rPr>
          <w:rFonts w:ascii="Arial" w:cs="Arial" w:eastAsia="Arial" w:hAnsi="Arial"/>
          <w:sz w:val="16"/>
          <w:szCs w:val="16"/>
          <w:color w:val="auto"/>
        </w:rPr>
      </w:pPr>
    </w:p>
    <w:p>
      <w:pPr>
        <w:ind w:left="284" w:right="40"/>
        <w:spacing w:after="0" w:line="248" w:lineRule="auto"/>
        <w:rPr>
          <w:rFonts w:ascii="Arial" w:cs="Arial" w:eastAsia="Arial" w:hAnsi="Arial"/>
          <w:sz w:val="16"/>
          <w:szCs w:val="16"/>
          <w:color w:val="auto"/>
        </w:rPr>
      </w:pPr>
      <w:r>
        <w:rPr>
          <w:rFonts w:ascii="Arial" w:cs="Arial" w:eastAsia="Arial" w:hAnsi="Arial"/>
          <w:sz w:val="16"/>
          <w:szCs w:val="16"/>
          <w:color w:val="auto"/>
        </w:rPr>
        <w:t>The carrying amount of deferred tax assets and liabilities may change, even when the amount of temporary differences has not changed, due to a change in the income tax rate. The effect of the change in deferred tax, corresponding to the rate change, will be recognized in the separate statement of income for the period, except for items previously recognized outside the separate statement of income (either in other comprehensive income or directly in equity).</w:t>
      </w:r>
    </w:p>
    <w:p>
      <w:pPr>
        <w:spacing w:after="0" w:line="144" w:lineRule="exact"/>
        <w:rPr>
          <w:rFonts w:ascii="Arial" w:cs="Arial" w:eastAsia="Arial" w:hAnsi="Arial"/>
          <w:sz w:val="16"/>
          <w:szCs w:val="16"/>
          <w:color w:val="auto"/>
        </w:rPr>
      </w:pPr>
    </w:p>
    <w:p>
      <w:pPr>
        <w:ind w:left="284" w:right="120"/>
        <w:spacing w:after="0" w:line="248" w:lineRule="auto"/>
        <w:rPr>
          <w:rFonts w:ascii="Arial" w:cs="Arial" w:eastAsia="Arial" w:hAnsi="Arial"/>
          <w:sz w:val="16"/>
          <w:szCs w:val="16"/>
          <w:color w:val="auto"/>
        </w:rPr>
      </w:pPr>
      <w:r>
        <w:rPr>
          <w:rFonts w:ascii="Arial" w:cs="Arial" w:eastAsia="Arial" w:hAnsi="Arial"/>
          <w:sz w:val="16"/>
          <w:szCs w:val="16"/>
          <w:color w:val="auto"/>
        </w:rPr>
        <w:t>Deferred tax assets and liabilities are recognized regardless of the time it is estimated that temporary differences are offset. Deferred assets are recognized when it is probable that there will be sufficient future taxable income for the temporary difference to be applied. At the date of the separate statement of financial position, Credicorp and its subsidiaries assess unrecognized deferred assets and the recoverability of recognized ones.</w:t>
      </w:r>
    </w:p>
    <w:p>
      <w:pPr>
        <w:spacing w:after="0" w:line="144" w:lineRule="exact"/>
        <w:rPr>
          <w:rFonts w:ascii="Arial" w:cs="Arial" w:eastAsia="Arial" w:hAnsi="Arial"/>
          <w:sz w:val="16"/>
          <w:szCs w:val="16"/>
          <w:color w:val="auto"/>
        </w:rPr>
      </w:pPr>
    </w:p>
    <w:p>
      <w:pPr>
        <w:ind w:left="284"/>
        <w:spacing w:after="0" w:line="274" w:lineRule="auto"/>
        <w:rPr>
          <w:rFonts w:ascii="Arial" w:cs="Arial" w:eastAsia="Arial" w:hAnsi="Arial"/>
          <w:sz w:val="16"/>
          <w:szCs w:val="16"/>
          <w:color w:val="auto"/>
        </w:rPr>
      </w:pPr>
      <w:r>
        <w:rPr>
          <w:rFonts w:ascii="Arial" w:cs="Arial" w:eastAsia="Arial" w:hAnsi="Arial"/>
          <w:sz w:val="16"/>
          <w:szCs w:val="16"/>
          <w:color w:val="auto"/>
        </w:rPr>
        <w:t>Credicorp and its subsidiaries determine their deferred tax based on the tax rate applicable to their undistributed profits, recognizing any additional tax for dividend distribution on the date the liability is recognized.</w:t>
      </w:r>
    </w:p>
    <w:p>
      <w:pPr>
        <w:spacing w:after="0" w:line="122" w:lineRule="exact"/>
        <w:rPr>
          <w:rFonts w:ascii="Arial" w:cs="Arial" w:eastAsia="Arial" w:hAnsi="Arial"/>
          <w:sz w:val="16"/>
          <w:szCs w:val="16"/>
          <w:color w:val="auto"/>
        </w:rPr>
      </w:pPr>
    </w:p>
    <w:p>
      <w:pPr>
        <w:ind w:left="284" w:right="80"/>
        <w:spacing w:after="0" w:line="274" w:lineRule="auto"/>
        <w:rPr>
          <w:rFonts w:ascii="Arial" w:cs="Arial" w:eastAsia="Arial" w:hAnsi="Arial"/>
          <w:sz w:val="16"/>
          <w:szCs w:val="16"/>
          <w:color w:val="auto"/>
        </w:rPr>
      </w:pPr>
      <w:r>
        <w:rPr>
          <w:rFonts w:ascii="Arial" w:cs="Arial" w:eastAsia="Arial" w:hAnsi="Arial"/>
          <w:sz w:val="16"/>
          <w:szCs w:val="16"/>
          <w:color w:val="auto"/>
        </w:rPr>
        <w:t>Deferred tax assets and liabilities are offset if there is a legal right to offset them and the deferred taxes are related to the same taxable entity and the same tax authority.</w:t>
      </w:r>
    </w:p>
    <w:p>
      <w:pPr>
        <w:spacing w:after="0" w:line="122" w:lineRule="exact"/>
        <w:rPr>
          <w:rFonts w:ascii="Arial" w:cs="Arial" w:eastAsia="Arial" w:hAnsi="Arial"/>
          <w:sz w:val="16"/>
          <w:szCs w:val="16"/>
          <w:color w:val="auto"/>
        </w:rPr>
      </w:pPr>
    </w:p>
    <w:p>
      <w:pPr>
        <w:ind w:left="284" w:right="6440" w:hanging="284"/>
        <w:spacing w:after="0" w:line="472" w:lineRule="auto"/>
        <w:tabs>
          <w:tab w:leader="none" w:pos="28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Derivative financial instruments and hedge accounting - Trading -</w:t>
      </w:r>
    </w:p>
    <w:p>
      <w:pPr>
        <w:ind w:left="284" w:right="160"/>
        <w:spacing w:after="0" w:line="274" w:lineRule="auto"/>
        <w:rPr>
          <w:rFonts w:ascii="Arial" w:cs="Arial" w:eastAsia="Arial" w:hAnsi="Arial"/>
          <w:sz w:val="16"/>
          <w:szCs w:val="16"/>
          <w:color w:val="auto"/>
        </w:rPr>
      </w:pPr>
      <w:r>
        <w:rPr>
          <w:rFonts w:ascii="Arial" w:cs="Arial" w:eastAsia="Arial" w:hAnsi="Arial"/>
          <w:sz w:val="16"/>
          <w:szCs w:val="16"/>
          <w:color w:val="auto"/>
        </w:rPr>
        <w:t>The Company trades derivative financial instruments to meet the needs of its clients. The Company may also take positions with the expectation of benefitting from favorable movements in prices, rates, or indices.</w:t>
      </w:r>
    </w:p>
    <w:p>
      <w:pPr>
        <w:spacing w:after="0" w:line="122" w:lineRule="exact"/>
        <w:rPr>
          <w:rFonts w:ascii="Arial" w:cs="Arial" w:eastAsia="Arial" w:hAnsi="Arial"/>
          <w:sz w:val="16"/>
          <w:szCs w:val="16"/>
          <w:color w:val="auto"/>
        </w:rPr>
      </w:pPr>
    </w:p>
    <w:p>
      <w:pPr>
        <w:ind w:left="284" w:right="440"/>
        <w:spacing w:after="0" w:line="274" w:lineRule="auto"/>
        <w:rPr>
          <w:rFonts w:ascii="Arial" w:cs="Arial" w:eastAsia="Arial" w:hAnsi="Arial"/>
          <w:sz w:val="16"/>
          <w:szCs w:val="16"/>
          <w:color w:val="auto"/>
        </w:rPr>
      </w:pPr>
      <w:r>
        <w:rPr>
          <w:rFonts w:ascii="Arial" w:cs="Arial" w:eastAsia="Arial" w:hAnsi="Arial"/>
          <w:sz w:val="16"/>
          <w:szCs w:val="16"/>
          <w:color w:val="auto"/>
        </w:rPr>
        <w:t>Part of the derivative transactions that provide effective economic hedges under the Company’s risk management positions do not qualify as hedges under the specific rules of IFRS 9 and are therefore treated as derivatives for trading purposes.</w:t>
      </w:r>
    </w:p>
    <w:p>
      <w:pPr>
        <w:spacing w:after="0" w:line="122" w:lineRule="exact"/>
        <w:rPr>
          <w:rFonts w:ascii="Arial" w:cs="Arial" w:eastAsia="Arial" w:hAnsi="Arial"/>
          <w:sz w:val="16"/>
          <w:szCs w:val="16"/>
          <w:color w:val="auto"/>
        </w:rPr>
      </w:pPr>
    </w:p>
    <w:p>
      <w:pPr>
        <w:ind w:left="284" w:right="140"/>
        <w:spacing w:after="0" w:line="255" w:lineRule="auto"/>
        <w:rPr>
          <w:rFonts w:ascii="Arial" w:cs="Arial" w:eastAsia="Arial" w:hAnsi="Arial"/>
          <w:sz w:val="16"/>
          <w:szCs w:val="16"/>
          <w:color w:val="auto"/>
        </w:rPr>
      </w:pPr>
      <w:r>
        <w:rPr>
          <w:rFonts w:ascii="Arial" w:cs="Arial" w:eastAsia="Arial" w:hAnsi="Arial"/>
          <w:sz w:val="16"/>
          <w:szCs w:val="16"/>
          <w:color w:val="auto"/>
        </w:rPr>
        <w:t>Derivative financial instruments are initially recognized in the separate statement of financial position at fair value and subsequently measured at fair value. Fair values are obtained based on market exchange rates and interest rates. All derivatives are considered assets when fair value is positive and liabilities when fair value is negative. Gains and losses from changes in fair value are recorded in the separate statement of income.</w:t>
      </w:r>
    </w:p>
    <w:p>
      <w:pPr>
        <w:spacing w:after="0" w:line="294" w:lineRule="exact"/>
        <w:rPr>
          <w:rFonts w:ascii="Arial" w:cs="Arial" w:eastAsia="Arial" w:hAnsi="Arial"/>
          <w:sz w:val="16"/>
          <w:szCs w:val="16"/>
          <w:color w:val="auto"/>
        </w:rPr>
      </w:pPr>
    </w:p>
    <w:p>
      <w:pPr>
        <w:ind w:left="4964" w:hanging="104"/>
        <w:spacing w:after="0"/>
        <w:tabs>
          <w:tab w:leader="none" w:pos="4964" w:val="left"/>
        </w:tabs>
        <w:numPr>
          <w:ilvl w:val="1"/>
          <w:numId w:val="218"/>
        </w:numPr>
        <w:rPr>
          <w:rFonts w:ascii="Arial" w:cs="Arial" w:eastAsia="Arial" w:hAnsi="Arial"/>
          <w:sz w:val="16"/>
          <w:szCs w:val="16"/>
          <w:color w:val="auto"/>
        </w:rPr>
      </w:pPr>
      <w:r>
        <w:rPr>
          <w:rFonts w:ascii="Arial" w:cs="Arial" w:eastAsia="Arial" w:hAnsi="Arial"/>
          <w:sz w:val="16"/>
          <w:szCs w:val="16"/>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84"/>
          </w:cols>
          <w:pgMar w:left="896" w:top="304" w:right="319" w:bottom="1440" w:gutter="0" w:footer="0" w:header="0"/>
        </w:sectPr>
      </w:pPr>
    </w:p>
    <w:bookmarkStart w:id="212" w:name="page213"/>
    <w:bookmarkEnd w:id="212"/>
    <w:p>
      <w:pPr>
        <w:ind w:left="284" w:hanging="284"/>
        <w:spacing w:after="0"/>
        <w:tabs>
          <w:tab w:leader="none" w:pos="28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Fair value measurement -</w:t>
      </w:r>
    </w:p>
    <w:p>
      <w:pPr>
        <w:spacing w:after="0" w:line="177" w:lineRule="exact"/>
        <w:rPr>
          <w:rFonts w:ascii="Arial" w:cs="Arial" w:eastAsia="Arial" w:hAnsi="Arial"/>
          <w:sz w:val="16"/>
          <w:szCs w:val="16"/>
          <w:color w:val="auto"/>
        </w:rPr>
      </w:pPr>
    </w:p>
    <w:p>
      <w:pPr>
        <w:ind w:left="284"/>
        <w:spacing w:after="0" w:line="255" w:lineRule="auto"/>
        <w:rPr>
          <w:rFonts w:ascii="Arial" w:cs="Arial" w:eastAsia="Arial" w:hAnsi="Arial"/>
          <w:sz w:val="16"/>
          <w:szCs w:val="16"/>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37" w:lineRule="exact"/>
        <w:rPr>
          <w:rFonts w:ascii="Arial" w:cs="Arial" w:eastAsia="Arial" w:hAnsi="Arial"/>
          <w:sz w:val="16"/>
          <w:szCs w:val="16"/>
          <w:color w:val="auto"/>
        </w:rPr>
      </w:pPr>
    </w:p>
    <w:p>
      <w:pPr>
        <w:ind w:left="864" w:hanging="285"/>
        <w:spacing w:after="0"/>
        <w:tabs>
          <w:tab w:leader="none" w:pos="86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In the principal market for the asset or liability, or</w:t>
      </w:r>
    </w:p>
    <w:p>
      <w:pPr>
        <w:spacing w:after="0" w:line="12" w:lineRule="exact"/>
        <w:rPr>
          <w:rFonts w:ascii="Arial" w:cs="Arial" w:eastAsia="Arial" w:hAnsi="Arial"/>
          <w:sz w:val="16"/>
          <w:szCs w:val="16"/>
          <w:color w:val="auto"/>
        </w:rPr>
      </w:pPr>
    </w:p>
    <w:p>
      <w:pPr>
        <w:ind w:left="864" w:hanging="285"/>
        <w:spacing w:after="0"/>
        <w:tabs>
          <w:tab w:leader="none" w:pos="86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In the absence of a principal market, in the most advantageous market for the asset or liability.</w:t>
      </w:r>
    </w:p>
    <w:p>
      <w:pPr>
        <w:spacing w:after="0" w:line="162" w:lineRule="exact"/>
        <w:rPr>
          <w:sz w:val="20"/>
          <w:szCs w:val="20"/>
          <w:color w:val="auto"/>
        </w:rPr>
      </w:pPr>
    </w:p>
    <w:p>
      <w:pPr>
        <w:ind w:left="284" w:right="60"/>
        <w:spacing w:after="0" w:line="274" w:lineRule="auto"/>
        <w:rPr>
          <w:sz w:val="20"/>
          <w:szCs w:val="20"/>
          <w:color w:val="auto"/>
        </w:rPr>
      </w:pPr>
      <w:r>
        <w:rPr>
          <w:rFonts w:ascii="Arial" w:cs="Arial" w:eastAsia="Arial" w:hAnsi="Arial"/>
          <w:sz w:val="16"/>
          <w:szCs w:val="16"/>
          <w:color w:val="auto"/>
        </w:rPr>
        <w:t>The principal or the most advantageous market must be accessible by the Company. Also, the fair value of a liability reflects its non-performance risk.</w:t>
      </w:r>
    </w:p>
    <w:p>
      <w:pPr>
        <w:spacing w:after="0" w:line="123" w:lineRule="exact"/>
        <w:rPr>
          <w:sz w:val="20"/>
          <w:szCs w:val="20"/>
          <w:color w:val="auto"/>
        </w:rPr>
      </w:pPr>
    </w:p>
    <w:p>
      <w:pPr>
        <w:ind w:left="284" w:right="20"/>
        <w:spacing w:after="0" w:line="255" w:lineRule="auto"/>
        <w:rPr>
          <w:sz w:val="20"/>
          <w:szCs w:val="20"/>
          <w:color w:val="auto"/>
        </w:rPr>
      </w:pPr>
      <w:r>
        <w:rPr>
          <w:rFonts w:ascii="Arial" w:cs="Arial" w:eastAsia="Arial" w:hAnsi="Arial"/>
          <w:sz w:val="16"/>
          <w:szCs w:val="16"/>
          <w:color w:val="auto"/>
        </w:rPr>
        <w:t>When available, the Company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37" w:lineRule="exact"/>
        <w:rPr>
          <w:sz w:val="20"/>
          <w:szCs w:val="20"/>
          <w:color w:val="auto"/>
        </w:rPr>
      </w:pPr>
    </w:p>
    <w:p>
      <w:pPr>
        <w:jc w:val="both"/>
        <w:ind w:left="284" w:right="280"/>
        <w:spacing w:after="0" w:line="255" w:lineRule="auto"/>
        <w:rPr>
          <w:sz w:val="20"/>
          <w:szCs w:val="20"/>
          <w:color w:val="auto"/>
        </w:rPr>
      </w:pPr>
      <w:r>
        <w:rPr>
          <w:rFonts w:ascii="Arial" w:cs="Arial" w:eastAsia="Arial" w:hAnsi="Arial"/>
          <w:sz w:val="16"/>
          <w:szCs w:val="16"/>
          <w:color w:val="auto"/>
        </w:rPr>
        <w:t>If there is no quoted price in an active market, the Company uses valuation techniques that maximize the use of relevant observable data and minimize the use of unobservable data. The valuation technique chosen incorporates all factors that market participants would consider when setting the price of a transaction.</w:t>
      </w:r>
    </w:p>
    <w:p>
      <w:pPr>
        <w:spacing w:after="0" w:line="137" w:lineRule="exact"/>
        <w:rPr>
          <w:sz w:val="20"/>
          <w:szCs w:val="20"/>
          <w:color w:val="auto"/>
        </w:rPr>
      </w:pPr>
    </w:p>
    <w:p>
      <w:pPr>
        <w:ind w:left="284" w:right="320"/>
        <w:spacing w:after="0" w:line="274" w:lineRule="auto"/>
        <w:rPr>
          <w:sz w:val="20"/>
          <w:szCs w:val="20"/>
          <w:color w:val="auto"/>
        </w:rPr>
      </w:pPr>
      <w:r>
        <w:rPr>
          <w:rFonts w:ascii="Arial" w:cs="Arial" w:eastAsia="Arial" w:hAnsi="Arial"/>
          <w:sz w:val="16"/>
          <w:szCs w:val="16"/>
          <w:color w:val="auto"/>
        </w:rPr>
        <w:t>All assets and liabilities for which fair value is measured or disclosed in the separate financial statements are categorized within the fair value hierarchy, described as follows, based on the lowest level of input used that is significant to the fair value measurement as a whole:</w:t>
      </w:r>
    </w:p>
    <w:p>
      <w:pPr>
        <w:spacing w:after="0" w:line="123" w:lineRule="exact"/>
        <w:rPr>
          <w:sz w:val="20"/>
          <w:szCs w:val="20"/>
          <w:color w:val="auto"/>
        </w:rPr>
      </w:pPr>
    </w:p>
    <w:p>
      <w:pPr>
        <w:ind w:left="864" w:hanging="285"/>
        <w:spacing w:after="0"/>
        <w:tabs>
          <w:tab w:leader="none" w:pos="86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Level 1: Quoted prices (unadjusted) in active markets for identical assets or liabilities.</w:t>
      </w:r>
    </w:p>
    <w:p>
      <w:pPr>
        <w:spacing w:after="0" w:line="12" w:lineRule="exact"/>
        <w:rPr>
          <w:rFonts w:ascii="Arial" w:cs="Arial" w:eastAsia="Arial" w:hAnsi="Arial"/>
          <w:sz w:val="16"/>
          <w:szCs w:val="16"/>
          <w:color w:val="auto"/>
        </w:rPr>
      </w:pPr>
    </w:p>
    <w:p>
      <w:pPr>
        <w:ind w:left="864" w:right="520" w:hanging="285"/>
        <w:spacing w:after="0" w:line="236" w:lineRule="auto"/>
        <w:tabs>
          <w:tab w:leader="none" w:pos="86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Level 2: Valuation techniques by which the lowest level of information that is significant to the fair value measurement is directly or indirectly observable.</w:t>
      </w:r>
    </w:p>
    <w:p>
      <w:pPr>
        <w:ind w:left="864" w:hanging="285"/>
        <w:spacing w:after="0"/>
        <w:tabs>
          <w:tab w:leader="none" w:pos="86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Level 3: Valuation techniques by which the lowest level of information that is significant to the fair value measurement is not observable.</w:t>
      </w:r>
    </w:p>
    <w:p>
      <w:pPr>
        <w:spacing w:after="0" w:line="162" w:lineRule="exact"/>
        <w:rPr>
          <w:sz w:val="20"/>
          <w:szCs w:val="20"/>
          <w:color w:val="auto"/>
        </w:rPr>
      </w:pPr>
    </w:p>
    <w:p>
      <w:pPr>
        <w:jc w:val="both"/>
        <w:ind w:left="284" w:right="400"/>
        <w:spacing w:after="0" w:line="274" w:lineRule="auto"/>
        <w:rPr>
          <w:sz w:val="20"/>
          <w:szCs w:val="20"/>
          <w:color w:val="auto"/>
        </w:rPr>
      </w:pPr>
      <w:r>
        <w:rPr>
          <w:rFonts w:ascii="Arial" w:cs="Arial" w:eastAsia="Arial" w:hAnsi="Arial"/>
          <w:sz w:val="16"/>
          <w:szCs w:val="16"/>
          <w:color w:val="auto"/>
        </w:rPr>
        <w:t>The Company determines for assets and liabilities that are recognized at fair value in the separate financial statements on a recurring basis, whether transfers occurred between different levels within the hierarchy by reviewing the categorization at the end of each reporting period.</w:t>
      </w:r>
    </w:p>
    <w:p>
      <w:pPr>
        <w:spacing w:after="0" w:line="123" w:lineRule="exact"/>
        <w:rPr>
          <w:sz w:val="20"/>
          <w:szCs w:val="20"/>
          <w:color w:val="auto"/>
        </w:rPr>
      </w:pPr>
    </w:p>
    <w:p>
      <w:pPr>
        <w:ind w:left="284" w:right="280"/>
        <w:spacing w:after="0" w:line="274" w:lineRule="auto"/>
        <w:rPr>
          <w:sz w:val="20"/>
          <w:szCs w:val="20"/>
          <w:color w:val="auto"/>
        </w:rPr>
      </w:pPr>
      <w:r>
        <w:rPr>
          <w:rFonts w:ascii="Arial" w:cs="Arial" w:eastAsia="Arial" w:hAnsi="Arial"/>
          <w:sz w:val="16"/>
          <w:szCs w:val="16"/>
          <w:color w:val="auto"/>
        </w:rPr>
        <w:t>For fair value disclosure purposes, the Company has determined the classes of assets and liabilities based on the nature, characteristics, and risks of the asset or liability and the level of the fair value hierarchy as explained above.</w:t>
      </w:r>
    </w:p>
    <w:p>
      <w:pPr>
        <w:spacing w:after="0" w:line="12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As of December 31, 2025 and 2024, the financial instruments held by the company have a Level 1 fair value hierarchy.</w:t>
      </w:r>
    </w:p>
    <w:p>
      <w:pPr>
        <w:spacing w:after="0" w:line="335" w:lineRule="exact"/>
        <w:rPr>
          <w:sz w:val="20"/>
          <w:szCs w:val="20"/>
          <w:color w:val="auto"/>
        </w:rPr>
      </w:pPr>
    </w:p>
    <w:p>
      <w:pPr>
        <w:jc w:val="center"/>
        <w:ind w:right="516"/>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24"/>
          </w:cols>
          <w:pgMar w:left="896" w:top="304" w:right="379" w:bottom="1440" w:gutter="0" w:footer="0" w:header="0"/>
        </w:sectPr>
      </w:pPr>
    </w:p>
    <w:bookmarkStart w:id="213" w:name="page214"/>
    <w:bookmarkEnd w:id="213"/>
    <w:p>
      <w:pPr>
        <w:ind w:left="284" w:hanging="284"/>
        <w:spacing w:after="0"/>
        <w:tabs>
          <w:tab w:leader="none" w:pos="28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Cash and cash equivalents -</w:t>
      </w:r>
    </w:p>
    <w:p>
      <w:pPr>
        <w:spacing w:after="0" w:line="177" w:lineRule="exact"/>
        <w:rPr>
          <w:rFonts w:ascii="Arial" w:cs="Arial" w:eastAsia="Arial" w:hAnsi="Arial"/>
          <w:sz w:val="16"/>
          <w:szCs w:val="16"/>
          <w:color w:val="auto"/>
        </w:rPr>
      </w:pPr>
    </w:p>
    <w:p>
      <w:pPr>
        <w:ind w:left="284" w:right="160"/>
        <w:spacing w:after="0" w:line="255" w:lineRule="auto"/>
        <w:rPr>
          <w:rFonts w:ascii="Arial" w:cs="Arial" w:eastAsia="Arial" w:hAnsi="Arial"/>
          <w:sz w:val="16"/>
          <w:szCs w:val="16"/>
          <w:color w:val="auto"/>
        </w:rPr>
      </w:pPr>
      <w:r>
        <w:rPr>
          <w:rFonts w:ascii="Arial" w:cs="Arial" w:eastAsia="Arial" w:hAnsi="Arial"/>
          <w:sz w:val="16"/>
          <w:szCs w:val="16"/>
          <w:color w:val="auto"/>
        </w:rPr>
        <w:t>For the purposes of the separate statement of cash flows, cash and cash equivalents correspond to cash balances, funds deposited with central banks, “overnight” deposits, interbank funds, and deposits with maturities of three months or less from the acquisition date, excluding restricted funds,see Note 4.</w:t>
      </w:r>
    </w:p>
    <w:p>
      <w:pPr>
        <w:spacing w:after="0" w:line="137" w:lineRule="exact"/>
        <w:rPr>
          <w:rFonts w:ascii="Arial" w:cs="Arial" w:eastAsia="Arial" w:hAnsi="Arial"/>
          <w:sz w:val="16"/>
          <w:szCs w:val="16"/>
          <w:color w:val="auto"/>
        </w:rPr>
      </w:pPr>
    </w:p>
    <w:p>
      <w:pPr>
        <w:ind w:left="284" w:right="200"/>
        <w:spacing w:after="0" w:line="248" w:lineRule="auto"/>
        <w:rPr>
          <w:rFonts w:ascii="Arial" w:cs="Arial" w:eastAsia="Arial" w:hAnsi="Arial"/>
          <w:sz w:val="16"/>
          <w:szCs w:val="16"/>
          <w:color w:val="auto"/>
        </w:rPr>
      </w:pPr>
      <w:r>
        <w:rPr>
          <w:rFonts w:ascii="Arial" w:cs="Arial" w:eastAsia="Arial" w:hAnsi="Arial"/>
          <w:sz w:val="16"/>
          <w:szCs w:val="16"/>
          <w:color w:val="auto"/>
        </w:rPr>
        <w:t>Unrealized gains and losses arising from changes in foreign currency exchange rates are not cash flows. However, the effect of exchange rate changes on cash and cash equivalents held or due in foreign currency is reported in the statement of cash flows in order to reconcile cash and cash equivalents at the beginning and the end of the period. This amount is presented separately from cash flows from operating, investing and financing activities and includes the differences, if any, had those cash flows been reported at end of period exchange rates.</w:t>
      </w:r>
    </w:p>
    <w:p>
      <w:pPr>
        <w:spacing w:after="0" w:line="144" w:lineRule="exact"/>
        <w:rPr>
          <w:rFonts w:ascii="Arial" w:cs="Arial" w:eastAsia="Arial" w:hAnsi="Arial"/>
          <w:sz w:val="16"/>
          <w:szCs w:val="16"/>
          <w:color w:val="auto"/>
        </w:rPr>
      </w:pPr>
    </w:p>
    <w:p>
      <w:pPr>
        <w:ind w:left="284" w:hanging="284"/>
        <w:spacing w:after="0"/>
        <w:tabs>
          <w:tab w:leader="none" w:pos="28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International Financial Reporting Standards issued but not yet effective –</w:t>
      </w:r>
    </w:p>
    <w:p>
      <w:pPr>
        <w:spacing w:after="0" w:line="177" w:lineRule="exact"/>
        <w:rPr>
          <w:rFonts w:ascii="Arial" w:cs="Arial" w:eastAsia="Arial" w:hAnsi="Arial"/>
          <w:sz w:val="16"/>
          <w:szCs w:val="16"/>
          <w:color w:val="auto"/>
        </w:rPr>
      </w:pPr>
    </w:p>
    <w:p>
      <w:pPr>
        <w:ind w:left="284" w:right="60"/>
        <w:spacing w:after="0" w:line="274" w:lineRule="auto"/>
        <w:rPr>
          <w:rFonts w:ascii="Arial" w:cs="Arial" w:eastAsia="Arial" w:hAnsi="Arial"/>
          <w:sz w:val="16"/>
          <w:szCs w:val="16"/>
          <w:color w:val="auto"/>
        </w:rPr>
      </w:pPr>
      <w:r>
        <w:rPr>
          <w:rFonts w:ascii="Arial" w:cs="Arial" w:eastAsia="Arial" w:hAnsi="Arial"/>
          <w:sz w:val="16"/>
          <w:szCs w:val="16"/>
          <w:color w:val="0D0D0D"/>
        </w:rPr>
        <w:t>The company decided not to early adopt the following standards and interpretations that were issued but are not yet effective as of December 31, 2025.</w:t>
      </w:r>
    </w:p>
    <w:p>
      <w:pPr>
        <w:spacing w:after="0" w:line="12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0D0D0D"/>
        </w:rPr>
        <w:t>-   IFRS 18 - “Presentation and Disclosure in Financial Statements”</w:t>
      </w:r>
    </w:p>
    <w:p>
      <w:pPr>
        <w:spacing w:after="0" w:line="178" w:lineRule="exact"/>
        <w:rPr>
          <w:sz w:val="20"/>
          <w:szCs w:val="20"/>
          <w:color w:val="auto"/>
        </w:rPr>
      </w:pPr>
    </w:p>
    <w:p>
      <w:pPr>
        <w:ind w:left="284" w:right="80"/>
        <w:spacing w:after="0" w:line="241" w:lineRule="auto"/>
        <w:rPr>
          <w:sz w:val="20"/>
          <w:szCs w:val="20"/>
          <w:color w:val="auto"/>
        </w:rPr>
      </w:pPr>
      <w:r>
        <w:rPr>
          <w:rFonts w:ascii="Arial" w:cs="Arial" w:eastAsia="Arial" w:hAnsi="Arial"/>
          <w:sz w:val="16"/>
          <w:szCs w:val="16"/>
          <w:color w:val="0D0D0D"/>
        </w:rPr>
        <w:t>On April 9, 2024, the IASB issued IFRS 18 “Presentation and Disclosure in Financial Statements,” which replaces IAS 1 and introduces new requirements aimed at improving the quality of information presented in the financial statements, and promoting analysis, transparency, and comparability of entities’ performance. In particular, IFRS 18 requires all income and expenses in the statement of profit or loss to be classified into five categories: operating, investing, financing, income taxes, and discontinued operations (with the first three categories being new). It also incorporates standardized subtotals to provide a more consistent structure to the statement of profit or loss. In addition, IFRS 18 introduces disclosure requirements for management defined performance measures (MPMs) and establishes criteria for the aggregation and disaggregation of information in primary financial statements and in notes. It also includes amendments to IAS 7 regarding the presentation of cash flows (e.g., the starting point of the indirect method and the classification of interest and dividends).</w:t>
      </w:r>
    </w:p>
    <w:p>
      <w:pPr>
        <w:spacing w:after="0" w:line="151" w:lineRule="exact"/>
        <w:rPr>
          <w:sz w:val="20"/>
          <w:szCs w:val="20"/>
          <w:color w:val="auto"/>
        </w:rPr>
      </w:pPr>
    </w:p>
    <w:p>
      <w:pPr>
        <w:ind w:left="284" w:right="20"/>
        <w:spacing w:after="0" w:line="274" w:lineRule="auto"/>
        <w:rPr>
          <w:sz w:val="20"/>
          <w:szCs w:val="20"/>
          <w:color w:val="auto"/>
        </w:rPr>
      </w:pPr>
      <w:r>
        <w:rPr>
          <w:rFonts w:ascii="Arial" w:cs="Arial" w:eastAsia="Arial" w:hAnsi="Arial"/>
          <w:sz w:val="16"/>
          <w:szCs w:val="16"/>
          <w:color w:val="0D0D0D"/>
        </w:rPr>
        <w:t>This new standard will be effective on January 1, 2027. Management is evaluating the potential effects this could have on the Company’s financial statements.</w:t>
      </w:r>
    </w:p>
    <w:p>
      <w:pPr>
        <w:spacing w:after="0" w:line="123" w:lineRule="exact"/>
        <w:rPr>
          <w:sz w:val="20"/>
          <w:szCs w:val="20"/>
          <w:color w:val="auto"/>
        </w:rPr>
      </w:pPr>
    </w:p>
    <w:p>
      <w:pPr>
        <w:ind w:left="284"/>
        <w:spacing w:after="0"/>
        <w:tabs>
          <w:tab w:leader="none" w:pos="564" w:val="left"/>
        </w:tabs>
        <w:rPr>
          <w:sz w:val="20"/>
          <w:szCs w:val="20"/>
          <w:color w:val="auto"/>
        </w:rPr>
      </w:pPr>
      <w:r>
        <w:rPr>
          <w:rFonts w:ascii="Arial" w:cs="Arial" w:eastAsia="Arial" w:hAnsi="Arial"/>
          <w:sz w:val="16"/>
          <w:szCs w:val="16"/>
          <w:color w:val="0D0D0D"/>
        </w:rPr>
        <w:t>-</w:t>
        <w:tab/>
        <w:t>Amendments to IFRS 9 and IFRS 7 “Amendments to the classification and measurement of financial instruments”-</w:t>
      </w:r>
    </w:p>
    <w:p>
      <w:pPr>
        <w:spacing w:after="0" w:line="178" w:lineRule="exact"/>
        <w:rPr>
          <w:sz w:val="20"/>
          <w:szCs w:val="20"/>
          <w:color w:val="auto"/>
        </w:rPr>
      </w:pPr>
    </w:p>
    <w:p>
      <w:pPr>
        <w:ind w:left="284"/>
        <w:spacing w:after="0" w:line="248" w:lineRule="auto"/>
        <w:rPr>
          <w:sz w:val="20"/>
          <w:szCs w:val="20"/>
          <w:color w:val="auto"/>
        </w:rPr>
      </w:pPr>
      <w:r>
        <w:rPr>
          <w:rFonts w:ascii="Arial" w:cs="Arial" w:eastAsia="Arial" w:hAnsi="Arial"/>
          <w:sz w:val="16"/>
          <w:szCs w:val="16"/>
          <w:color w:val="0D0D0D"/>
        </w:rPr>
        <w:t>On May 30, 2024, the IASB issued amendments to IFRS 9 and IFRS 7, which include, among other aspects, clarifications on the requirements for the recognition and derecognition of financial assets and financial liabilities. The amendments also provide additional guidance on assessing the contractual cash flow characteristics of financial assets that incorporate ESG features or similar contingent characteristics, and clarify the scope of non recourse financing arrangements and contractually linked instruments.</w:t>
      </w:r>
    </w:p>
    <w:p>
      <w:pPr>
        <w:spacing w:after="0" w:line="301" w:lineRule="exact"/>
        <w:rPr>
          <w:sz w:val="20"/>
          <w:szCs w:val="20"/>
          <w:color w:val="auto"/>
        </w:rPr>
      </w:pPr>
    </w:p>
    <w:p>
      <w:pPr>
        <w:ind w:left="4864"/>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04" w:right="339" w:bottom="1440" w:gutter="0" w:footer="0" w:header="0"/>
        </w:sectPr>
      </w:pPr>
    </w:p>
    <w:bookmarkStart w:id="214" w:name="page215"/>
    <w:bookmarkEnd w:id="214"/>
    <w:p>
      <w:pPr>
        <w:ind w:left="863"/>
        <w:spacing w:after="0" w:line="248" w:lineRule="auto"/>
        <w:rPr>
          <w:sz w:val="20"/>
          <w:szCs w:val="20"/>
          <w:color w:val="auto"/>
        </w:rPr>
      </w:pPr>
      <w:r>
        <w:rPr>
          <w:rFonts w:ascii="Arial" w:cs="Arial" w:eastAsia="Arial" w:hAnsi="Arial"/>
          <w:sz w:val="16"/>
          <w:szCs w:val="16"/>
          <w:color w:val="0D0D0D"/>
        </w:rPr>
        <w:t>In addition, the amendments clarify that a financial liability is derecognized on the “settlement date” and introduce (under certain conditions) an accounting policy option that permits early derecognition of financial liabilities settled through an electronic payment system before the settlement date. Finally, the amendments introduce disclosure requirements for instruments with contingent features and additional disclosures for equity instruments classified at fair value through other comprehensive income.</w:t>
      </w:r>
    </w:p>
    <w:p>
      <w:pPr>
        <w:spacing w:after="0" w:line="144" w:lineRule="exact"/>
        <w:rPr>
          <w:sz w:val="20"/>
          <w:szCs w:val="20"/>
          <w:color w:val="auto"/>
        </w:rPr>
      </w:pPr>
    </w:p>
    <w:p>
      <w:pPr>
        <w:ind w:left="863" w:right="180"/>
        <w:spacing w:after="0" w:line="274" w:lineRule="auto"/>
        <w:rPr>
          <w:sz w:val="20"/>
          <w:szCs w:val="20"/>
          <w:color w:val="auto"/>
        </w:rPr>
      </w:pPr>
      <w:r>
        <w:rPr>
          <w:rFonts w:ascii="Arial" w:cs="Arial" w:eastAsia="Arial" w:hAnsi="Arial"/>
          <w:sz w:val="16"/>
          <w:szCs w:val="16"/>
          <w:color w:val="0D0D0D"/>
        </w:rPr>
        <w:t>The amendments are effective for annual periods beginning on or after January 1, 2026. The Company is assessing the potential effects these amendments may have on the separate financial statements.</w:t>
      </w:r>
    </w:p>
    <w:p>
      <w:pPr>
        <w:spacing w:after="0" w:line="123" w:lineRule="exact"/>
        <w:rPr>
          <w:sz w:val="20"/>
          <w:szCs w:val="20"/>
          <w:color w:val="auto"/>
        </w:rPr>
      </w:pPr>
    </w:p>
    <w:p>
      <w:pPr>
        <w:ind w:left="583" w:hanging="583"/>
        <w:spacing w:after="0"/>
        <w:tabs>
          <w:tab w:leader="none" w:pos="583"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CASH AND CASH EQUIVALENTS</w:t>
      </w:r>
    </w:p>
    <w:p>
      <w:pPr>
        <w:spacing w:after="0" w:line="178" w:lineRule="exact"/>
        <w:rPr>
          <w:sz w:val="20"/>
          <w:szCs w:val="20"/>
          <w:color w:val="auto"/>
        </w:rPr>
      </w:pPr>
    </w:p>
    <w:tbl>
      <w:tblPr>
        <w:tblLayout w:type="fixed"/>
        <w:tblInd w:w="583" w:type="dxa"/>
        <w:tblCellMar>
          <w:top w:w="0" w:type="dxa"/>
          <w:left w:w="0" w:type="dxa"/>
          <w:bottom w:w="0" w:type="dxa"/>
          <w:right w:w="0" w:type="dxa"/>
        </w:tblCellMar>
      </w:tblPr>
      <w:tr>
        <w:trPr>
          <w:trHeight w:val="198"/>
        </w:trPr>
        <w:tc>
          <w:tcPr>
            <w:tcW w:w="7020" w:type="dxa"/>
            <w:vAlign w:val="bottom"/>
            <w:gridSpan w:val="2"/>
          </w:tcPr>
          <w:p>
            <w:pPr>
              <w:ind w:left="6000"/>
              <w:spacing w:after="0"/>
              <w:rPr>
                <w:sz w:val="20"/>
                <w:szCs w:val="20"/>
                <w:color w:val="auto"/>
              </w:rPr>
            </w:pPr>
            <w:r>
              <w:rPr>
                <w:rFonts w:ascii="Arial" w:cs="Arial" w:eastAsia="Arial" w:hAnsi="Arial"/>
                <w:sz w:val="16"/>
                <w:szCs w:val="16"/>
                <w:b w:val="1"/>
                <w:bCs w:val="1"/>
                <w:color w:val="auto"/>
              </w:rPr>
              <w:t>2025</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214"/>
        </w:trPr>
        <w:tc>
          <w:tcPr>
            <w:tcW w:w="600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21"/>
        </w:trPr>
        <w:tc>
          <w:tcPr>
            <w:tcW w:w="7020" w:type="dxa"/>
            <w:vAlign w:val="bottom"/>
            <w:gridSpan w:val="2"/>
          </w:tcPr>
          <w:p>
            <w:pPr>
              <w:spacing w:after="0"/>
              <w:rPr>
                <w:sz w:val="20"/>
                <w:szCs w:val="20"/>
                <w:color w:val="auto"/>
              </w:rPr>
            </w:pPr>
            <w:r>
              <w:rPr>
                <w:rFonts w:ascii="Arial" w:cs="Arial" w:eastAsia="Arial" w:hAnsi="Arial"/>
                <w:sz w:val="16"/>
                <w:szCs w:val="16"/>
                <w:color w:val="auto"/>
              </w:rPr>
              <w:t>Saving deposits (a)</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320,909</w:t>
            </w:r>
          </w:p>
        </w:tc>
        <w:tc>
          <w:tcPr>
            <w:tcW w:w="2080" w:type="dxa"/>
            <w:vAlign w:val="bottom"/>
            <w:gridSpan w:val="2"/>
          </w:tcPr>
          <w:p>
            <w:pPr>
              <w:jc w:val="right"/>
              <w:ind w:right="20"/>
              <w:spacing w:after="0"/>
              <w:rPr>
                <w:sz w:val="20"/>
                <w:szCs w:val="20"/>
                <w:color w:val="auto"/>
              </w:rPr>
            </w:pPr>
            <w:r>
              <w:rPr>
                <w:rFonts w:ascii="Arial" w:cs="Arial" w:eastAsia="Arial" w:hAnsi="Arial"/>
                <w:sz w:val="16"/>
                <w:szCs w:val="16"/>
                <w:color w:val="auto"/>
              </w:rPr>
              <w:t>399,943</w:t>
            </w:r>
          </w:p>
        </w:tc>
      </w:tr>
      <w:tr>
        <w:trPr>
          <w:trHeight w:val="177"/>
        </w:trPr>
        <w:tc>
          <w:tcPr>
            <w:tcW w:w="600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320,909</w:t>
            </w:r>
          </w:p>
        </w:tc>
        <w:tc>
          <w:tcPr>
            <w:tcW w:w="200" w:type="dxa"/>
            <w:vAlign w:val="bottom"/>
          </w:tcPr>
          <w:p>
            <w:pPr>
              <w:spacing w:after="0"/>
              <w:rPr>
                <w:sz w:val="15"/>
                <w:szCs w:val="15"/>
                <w:color w:val="auto"/>
              </w:rPr>
            </w:pPr>
          </w:p>
        </w:tc>
        <w:tc>
          <w:tcPr>
            <w:tcW w:w="208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399,943</w:t>
            </w:r>
          </w:p>
        </w:tc>
      </w:tr>
    </w:tbl>
    <w:p>
      <w:pPr>
        <w:spacing w:after="0" w:line="164" w:lineRule="exact"/>
        <w:rPr>
          <w:sz w:val="20"/>
          <w:szCs w:val="20"/>
          <w:color w:val="auto"/>
        </w:rPr>
      </w:pPr>
    </w:p>
    <w:p>
      <w:pPr>
        <w:ind w:left="583" w:right="180"/>
        <w:spacing w:after="0" w:line="274" w:lineRule="auto"/>
        <w:rPr>
          <w:sz w:val="20"/>
          <w:szCs w:val="20"/>
          <w:color w:val="auto"/>
        </w:rPr>
      </w:pPr>
      <w:r>
        <w:rPr>
          <w:rFonts w:ascii="Arial" w:cs="Arial" w:eastAsia="Arial" w:hAnsi="Arial"/>
          <w:sz w:val="16"/>
          <w:szCs w:val="16"/>
          <w:color w:val="auto"/>
        </w:rPr>
        <w:t>Credicorp Ltd. has saving deposits with Banco de Crédito del Perú and ASB Bank Corp, which are denominated in soles and U.S. dollars; they are cash in hand and accrue interest at market rates.</w:t>
      </w:r>
    </w:p>
    <w:p>
      <w:pPr>
        <w:spacing w:after="0" w:line="280"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3"/>
          </w:cols>
          <w:pgMar w:left="317" w:top="304" w:right="419" w:bottom="1440" w:gutter="0" w:footer="0" w:header="0"/>
        </w:sectPr>
      </w:pPr>
    </w:p>
    <w:bookmarkStart w:id="215" w:name="page216"/>
    <w:bookmarkEnd w:id="215"/>
    <w:p>
      <w:pPr>
        <w:ind w:left="583" w:hanging="583"/>
        <w:spacing w:after="0"/>
        <w:tabs>
          <w:tab w:leader="none" w:pos="583" w:val="left"/>
        </w:tabs>
        <w:numPr>
          <w:ilvl w:val="0"/>
          <w:numId w:val="223"/>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INVESTMENTS</w:t>
      </w:r>
    </w:p>
    <w:p>
      <w:pPr>
        <w:spacing w:after="0" w:line="184" w:lineRule="exact"/>
        <w:rPr>
          <w:rFonts w:ascii="Arial" w:cs="Arial" w:eastAsia="Arial" w:hAnsi="Arial"/>
          <w:sz w:val="14"/>
          <w:szCs w:val="14"/>
          <w:b w:val="1"/>
          <w:bCs w:val="1"/>
          <w:color w:val="auto"/>
        </w:rPr>
      </w:pPr>
    </w:p>
    <w:p>
      <w:pPr>
        <w:ind w:left="583"/>
        <w:spacing w:after="0"/>
        <w:rPr>
          <w:rFonts w:ascii="Arial" w:cs="Arial" w:eastAsia="Arial" w:hAnsi="Arial"/>
          <w:sz w:val="14"/>
          <w:szCs w:val="14"/>
          <w:b w:val="1"/>
          <w:bCs w:val="1"/>
          <w:color w:val="auto"/>
        </w:rPr>
      </w:pPr>
      <w:r>
        <w:rPr>
          <w:rFonts w:ascii="Arial" w:cs="Arial" w:eastAsia="Arial" w:hAnsi="Arial"/>
          <w:sz w:val="16"/>
          <w:szCs w:val="16"/>
          <w:color w:val="auto"/>
        </w:rPr>
        <w:t>The following tables present the components of this category:</w:t>
      </w:r>
    </w:p>
    <w:p>
      <w:pPr>
        <w:spacing w:after="0" w:line="177" w:lineRule="exact"/>
        <w:rPr>
          <w:rFonts w:ascii="Arial" w:cs="Arial" w:eastAsia="Arial" w:hAnsi="Arial"/>
          <w:sz w:val="14"/>
          <w:szCs w:val="14"/>
          <w:b w:val="1"/>
          <w:bCs w:val="1"/>
          <w:color w:val="auto"/>
        </w:rPr>
      </w:pPr>
    </w:p>
    <w:p>
      <w:pPr>
        <w:ind w:left="863" w:hanging="284"/>
        <w:spacing w:after="0"/>
        <w:tabs>
          <w:tab w:leader="none" w:pos="863"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At fair value through other comprehensive income:</w:t>
      </w:r>
    </w:p>
    <w:p>
      <w:pPr>
        <w:spacing w:after="0" w:line="211" w:lineRule="exact"/>
        <w:rPr>
          <w:sz w:val="20"/>
          <w:szCs w:val="20"/>
          <w:color w:val="auto"/>
        </w:rPr>
      </w:pPr>
    </w:p>
    <w:tbl>
      <w:tblPr>
        <w:tblLayout w:type="fixed"/>
        <w:tblInd w:w="863" w:type="dxa"/>
        <w:tblCellMar>
          <w:top w:w="0" w:type="dxa"/>
          <w:left w:w="0" w:type="dxa"/>
          <w:bottom w:w="0" w:type="dxa"/>
          <w:right w:w="0" w:type="dxa"/>
        </w:tblCellMar>
      </w:tblPr>
      <w:tr>
        <w:trPr>
          <w:trHeight w:val="153"/>
        </w:trPr>
        <w:tc>
          <w:tcPr>
            <w:tcW w:w="280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Unrealized gross amount</w:t>
            </w: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spacing w:after="0"/>
              <w:rPr>
                <w:sz w:val="20"/>
                <w:szCs w:val="20"/>
                <w:color w:val="auto"/>
              </w:rPr>
            </w:pPr>
            <w:r>
              <w:rPr>
                <w:rFonts w:ascii="Arial" w:cs="Arial" w:eastAsia="Arial" w:hAnsi="Arial"/>
                <w:sz w:val="13"/>
                <w:szCs w:val="13"/>
                <w:b w:val="1"/>
                <w:bCs w:val="1"/>
                <w:color w:val="auto"/>
              </w:rPr>
              <w:t>Unrealized gross amount</w:t>
            </w:r>
          </w:p>
        </w:tc>
        <w:tc>
          <w:tcPr>
            <w:tcW w:w="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53"/>
        </w:trPr>
        <w:tc>
          <w:tcPr>
            <w:tcW w:w="2800" w:type="dxa"/>
            <w:vAlign w:val="bottom"/>
          </w:tcPr>
          <w:p>
            <w:pPr>
              <w:spacing w:after="0"/>
              <w:rPr>
                <w:sz w:val="13"/>
                <w:szCs w:val="13"/>
                <w:color w:val="auto"/>
              </w:rPr>
            </w:pPr>
          </w:p>
        </w:tc>
        <w:tc>
          <w:tcPr>
            <w:tcW w:w="980" w:type="dxa"/>
            <w:vAlign w:val="bottom"/>
            <w:gridSpan w:val="3"/>
          </w:tcPr>
          <w:p>
            <w:pPr>
              <w:ind w:left="140"/>
              <w:spacing w:after="0"/>
              <w:rPr>
                <w:sz w:val="20"/>
                <w:szCs w:val="20"/>
                <w:color w:val="auto"/>
              </w:rPr>
            </w:pPr>
            <w:r>
              <w:rPr>
                <w:rFonts w:ascii="Arial" w:cs="Arial" w:eastAsia="Arial" w:hAnsi="Arial"/>
                <w:sz w:val="13"/>
                <w:szCs w:val="13"/>
                <w:b w:val="1"/>
                <w:bCs w:val="1"/>
                <w:color w:val="auto"/>
              </w:rPr>
              <w:t>Cost</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Profits</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Losses</w:t>
            </w:r>
          </w:p>
        </w:tc>
        <w:tc>
          <w:tcPr>
            <w:tcW w:w="900" w:type="dxa"/>
            <w:vAlign w:val="bottom"/>
            <w:gridSpan w:val="3"/>
          </w:tcPr>
          <w:p>
            <w:pPr>
              <w:ind w:left="100"/>
              <w:spacing w:after="0"/>
              <w:rPr>
                <w:sz w:val="20"/>
                <w:szCs w:val="20"/>
                <w:color w:val="auto"/>
              </w:rPr>
            </w:pPr>
            <w:r>
              <w:rPr>
                <w:rFonts w:ascii="Arial" w:cs="Arial" w:eastAsia="Arial" w:hAnsi="Arial"/>
                <w:sz w:val="13"/>
                <w:szCs w:val="13"/>
                <w:b w:val="1"/>
                <w:bCs w:val="1"/>
                <w:color w:val="auto"/>
              </w:rPr>
              <w:t>fair value</w:t>
            </w:r>
          </w:p>
        </w:tc>
        <w:tc>
          <w:tcPr>
            <w:tcW w:w="980" w:type="dxa"/>
            <w:vAlign w:val="bottom"/>
            <w:gridSpan w:val="3"/>
          </w:tcPr>
          <w:p>
            <w:pPr>
              <w:ind w:left="100"/>
              <w:spacing w:after="0"/>
              <w:rPr>
                <w:sz w:val="20"/>
                <w:szCs w:val="20"/>
                <w:color w:val="auto"/>
              </w:rPr>
            </w:pPr>
            <w:r>
              <w:rPr>
                <w:rFonts w:ascii="Arial" w:cs="Arial" w:eastAsia="Arial" w:hAnsi="Arial"/>
                <w:sz w:val="13"/>
                <w:szCs w:val="13"/>
                <w:b w:val="1"/>
                <w:bCs w:val="1"/>
                <w:color w:val="auto"/>
              </w:rPr>
              <w:t>Cost</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Profits</w:t>
            </w:r>
          </w:p>
        </w:tc>
        <w:tc>
          <w:tcPr>
            <w:tcW w:w="980" w:type="dxa"/>
            <w:vAlign w:val="bottom"/>
            <w:gridSpan w:val="3"/>
          </w:tcPr>
          <w:p>
            <w:pPr>
              <w:ind w:left="100"/>
              <w:spacing w:after="0"/>
              <w:rPr>
                <w:sz w:val="20"/>
                <w:szCs w:val="20"/>
                <w:color w:val="auto"/>
              </w:rPr>
            </w:pPr>
            <w:r>
              <w:rPr>
                <w:rFonts w:ascii="Arial" w:cs="Arial" w:eastAsia="Arial" w:hAnsi="Arial"/>
                <w:sz w:val="13"/>
                <w:szCs w:val="13"/>
                <w:b w:val="1"/>
                <w:bCs w:val="1"/>
                <w:color w:val="auto"/>
              </w:rPr>
              <w:t>Losses</w:t>
            </w: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Equity instruments designated at the initial</w:t>
            </w: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jc w:val="right"/>
              <w:ind w:right="216"/>
              <w:spacing w:after="0"/>
              <w:rPr>
                <w:sz w:val="20"/>
                <w:szCs w:val="20"/>
                <w:color w:val="auto"/>
              </w:rPr>
            </w:pPr>
            <w:r>
              <w:rPr>
                <w:rFonts w:ascii="Arial" w:cs="Arial" w:eastAsia="Arial" w:hAnsi="Arial"/>
                <w:sz w:val="13"/>
                <w:szCs w:val="13"/>
                <w:b w:val="1"/>
                <w:bCs w:val="1"/>
                <w:color w:val="auto"/>
                <w:w w:val="93"/>
              </w:rPr>
              <w:t>S/(000)</w:t>
            </w: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3"/>
                <w:szCs w:val="13"/>
                <w:b w:val="1"/>
                <w:bCs w:val="1"/>
                <w:color w:val="auto"/>
              </w:rPr>
              <w:t>recognition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3"/>
                <w:szCs w:val="13"/>
                <w:color w:val="auto"/>
              </w:rPr>
              <w:t>Shares issued by:</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3"/>
                <w:szCs w:val="13"/>
                <w:color w:val="auto"/>
              </w:rPr>
              <w:t>Inversiones Centenario</w:t>
            </w:r>
          </w:p>
        </w:tc>
        <w:tc>
          <w:tcPr>
            <w:tcW w:w="9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220,283</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
              <w:spacing w:after="0" w:line="145" w:lineRule="exact"/>
              <w:rPr>
                <w:sz w:val="20"/>
                <w:szCs w:val="20"/>
                <w:color w:val="auto"/>
              </w:rPr>
            </w:pPr>
            <w:r>
              <w:rPr>
                <w:rFonts w:ascii="Arial" w:cs="Arial" w:eastAsia="Arial" w:hAnsi="Arial"/>
                <w:sz w:val="13"/>
                <w:szCs w:val="13"/>
                <w:color w:val="auto"/>
              </w:rPr>
              <w:t>(142,389)</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77,894</w:t>
            </w: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220,283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(116,123)</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104,160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3"/>
                <w:szCs w:val="13"/>
                <w:color w:val="auto"/>
              </w:rPr>
              <w:t>Compañía Universal Textil S.A.</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184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02"/>
              <w:spacing w:after="0"/>
              <w:rPr>
                <w:sz w:val="20"/>
                <w:szCs w:val="20"/>
                <w:color w:val="auto"/>
              </w:rPr>
            </w:pPr>
            <w:r>
              <w:rPr>
                <w:rFonts w:ascii="Arial" w:cs="Arial" w:eastAsia="Arial" w:hAnsi="Arial"/>
                <w:sz w:val="13"/>
                <w:szCs w:val="13"/>
                <w:color w:val="auto"/>
              </w:rPr>
              <w:t>(184)</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220,467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(142,531</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77,894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220,467</w:t>
            </w:r>
          </w:p>
        </w:tc>
        <w:tc>
          <w:tcPr>
            <w:tcW w:w="1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(116,307</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104,160</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800" w:type="dxa"/>
            <w:vAlign w:val="bottom"/>
          </w:tcPr>
          <w:p>
            <w:pPr>
              <w:spacing w:after="0"/>
              <w:rPr>
                <w:sz w:val="20"/>
                <w:szCs w:val="20"/>
                <w:color w:val="auto"/>
              </w:rPr>
            </w:pPr>
            <w:r>
              <w:rPr>
                <w:rFonts w:ascii="Arial" w:cs="Arial" w:eastAsia="Arial" w:hAnsi="Arial"/>
                <w:sz w:val="13"/>
                <w:szCs w:val="13"/>
                <w:b w:val="1"/>
                <w:bCs w:val="1"/>
                <w:color w:val="auto"/>
              </w:rPr>
              <w:t>Debt instruments</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3"/>
                <w:szCs w:val="13"/>
                <w:color w:val="auto"/>
              </w:rPr>
              <w:t>Bonds issued by:</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3"/>
                <w:szCs w:val="13"/>
                <w:color w:val="auto"/>
              </w:rPr>
              <w:t>Pacífico Compañía de Seguros y Reaseguros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3"/>
                <w:szCs w:val="13"/>
                <w:color w:val="auto"/>
              </w:rPr>
              <w:t>S.A. (i)</w:t>
            </w:r>
          </w:p>
        </w:tc>
        <w:tc>
          <w:tcPr>
            <w:tcW w:w="9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15,041</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
              <w:spacing w:after="0" w:line="145" w:lineRule="exact"/>
              <w:rPr>
                <w:sz w:val="20"/>
                <w:szCs w:val="20"/>
                <w:color w:val="auto"/>
              </w:rPr>
            </w:pPr>
            <w:r>
              <w:rPr>
                <w:rFonts w:ascii="Arial" w:cs="Arial" w:eastAsia="Arial" w:hAnsi="Arial"/>
                <w:sz w:val="13"/>
                <w:szCs w:val="13"/>
                <w:color w:val="auto"/>
              </w:rPr>
              <w:t>(108)</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14,933</w:t>
            </w: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16,810</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(1,823)</w:t>
            </w:r>
          </w:p>
        </w:tc>
        <w:tc>
          <w:tcPr>
            <w:tcW w:w="7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14,987</w:t>
            </w: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3"/>
                <w:szCs w:val="13"/>
                <w:color w:val="auto"/>
              </w:rPr>
              <w:t>Mibanco S.A. (ii)</w:t>
            </w:r>
          </w:p>
        </w:tc>
        <w:tc>
          <w:tcPr>
            <w:tcW w:w="9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8,598</w:t>
            </w:r>
          </w:p>
        </w:tc>
        <w:tc>
          <w:tcPr>
            <w:tcW w:w="106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105</w:t>
            </w:r>
          </w:p>
        </w:tc>
        <w:tc>
          <w:tcPr>
            <w:tcW w:w="820" w:type="dxa"/>
            <w:vAlign w:val="bottom"/>
            <w:gridSpan w:val="2"/>
          </w:tcPr>
          <w:p>
            <w:pPr>
              <w:jc w:val="right"/>
              <w:ind w:right="62"/>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8,703</w:t>
            </w:r>
          </w:p>
        </w:tc>
        <w:tc>
          <w:tcPr>
            <w:tcW w:w="98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8,598</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02"/>
              <w:spacing w:after="0" w:line="145" w:lineRule="exact"/>
              <w:rPr>
                <w:sz w:val="20"/>
                <w:szCs w:val="20"/>
                <w:color w:val="auto"/>
              </w:rPr>
            </w:pPr>
            <w:r>
              <w:rPr>
                <w:rFonts w:ascii="Arial" w:cs="Arial" w:eastAsia="Arial" w:hAnsi="Arial"/>
                <w:sz w:val="13"/>
                <w:szCs w:val="13"/>
                <w:color w:val="auto"/>
              </w:rPr>
              <w:t>(172)</w:t>
            </w:r>
          </w:p>
        </w:tc>
        <w:tc>
          <w:tcPr>
            <w:tcW w:w="72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8,426</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3"/>
                <w:szCs w:val="13"/>
                <w:color w:val="auto"/>
              </w:rPr>
              <w:t>U.S. goverment bonds (iii)</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1,127,798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2,716</w:t>
            </w:r>
          </w:p>
        </w:tc>
        <w:tc>
          <w:tcPr>
            <w:tcW w:w="100" w:type="dxa"/>
            <w:vAlign w:val="bottom"/>
          </w:tcPr>
          <w:p>
            <w:pPr>
              <w:spacing w:after="0"/>
              <w:rPr>
                <w:sz w:val="14"/>
                <w:szCs w:val="14"/>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1,130,514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800" w:type="dxa"/>
            <w:vAlign w:val="bottom"/>
          </w:tcPr>
          <w:p>
            <w:pPr>
              <w:spacing w:after="0" w:line="137" w:lineRule="exact"/>
              <w:rPr>
                <w:sz w:val="20"/>
                <w:szCs w:val="20"/>
                <w:color w:val="auto"/>
              </w:rPr>
            </w:pPr>
            <w:r>
              <w:rPr>
                <w:rFonts w:ascii="Arial" w:cs="Arial" w:eastAsia="Arial" w:hAnsi="Arial"/>
                <w:sz w:val="13"/>
                <w:szCs w:val="13"/>
                <w:color w:val="auto"/>
              </w:rPr>
              <w:t>Sub total</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23,639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105</w:t>
            </w:r>
          </w:p>
        </w:tc>
        <w:tc>
          <w:tcPr>
            <w:tcW w:w="2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(108</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23,636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1,153,206</w:t>
            </w:r>
          </w:p>
        </w:tc>
        <w:tc>
          <w:tcPr>
            <w:tcW w:w="1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2,716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(1,995</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1,153,927</w:t>
            </w:r>
          </w:p>
        </w:tc>
        <w:tc>
          <w:tcPr>
            <w:tcW w:w="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3"/>
                <w:szCs w:val="13"/>
                <w:color w:val="auto"/>
              </w:rPr>
              <w:t>Accrued interest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4,240</w:t>
            </w:r>
          </w:p>
        </w:tc>
        <w:tc>
          <w:tcPr>
            <w:tcW w:w="0" w:type="dxa"/>
            <w:vAlign w:val="bottom"/>
          </w:tcPr>
          <w:p>
            <w:pPr>
              <w:spacing w:after="0"/>
              <w:rPr>
                <w:sz w:val="1"/>
                <w:szCs w:val="1"/>
                <w:color w:val="auto"/>
              </w:rPr>
            </w:pPr>
          </w:p>
        </w:tc>
      </w:tr>
      <w:tr>
        <w:trPr>
          <w:trHeight w:val="137"/>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23,790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1,158,167</w:t>
            </w:r>
          </w:p>
        </w:tc>
        <w:tc>
          <w:tcPr>
            <w:tcW w:w="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101,684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1,262,327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223" w:right="120" w:hanging="355"/>
        <w:spacing w:after="0" w:line="242" w:lineRule="auto"/>
        <w:tabs>
          <w:tab w:leader="none" w:pos="122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December 2020, Credicorp Ltd. purchased subordinated bonds issued by Pacífico with an annual interest rate of 4.41percent and maturing in December 2030, for an amount of US$4.5 million, equivalent to S/15.0 million as of December 31, 2025 (S/16.8 million as of December 31, 2024).</w:t>
      </w:r>
    </w:p>
    <w:p>
      <w:pPr>
        <w:spacing w:after="0" w:line="2" w:lineRule="exact"/>
        <w:rPr>
          <w:rFonts w:ascii="Arial" w:cs="Arial" w:eastAsia="Arial" w:hAnsi="Arial"/>
          <w:sz w:val="16"/>
          <w:szCs w:val="16"/>
          <w:color w:val="auto"/>
        </w:rPr>
      </w:pPr>
    </w:p>
    <w:p>
      <w:pPr>
        <w:ind w:left="1223" w:right="600" w:hanging="355"/>
        <w:spacing w:after="0" w:line="236" w:lineRule="auto"/>
        <w:tabs>
          <w:tab w:leader="none" w:pos="122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March 2021, Credicorp Ltd. purchased subordinated bonds issued by Mibanco with an annual interest rate of 5.84 percent and maturing in December 2030, amounting to S/8.6 million as of December 31, 2025 and December 31, 2024.</w:t>
      </w:r>
    </w:p>
    <w:p>
      <w:pPr>
        <w:ind w:left="1223" w:hanging="355"/>
        <w:spacing w:after="0" w:line="253" w:lineRule="auto"/>
        <w:tabs>
          <w:tab w:leader="none" w:pos="122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December 2023, Credicorp Ltd. purchased U.S. Treasury bonds with an annual interest rate of 4.25 percent and maturing in May 2025, with a purchase value of US$298.7 million, equivalent to S/1,127.8 million as of December 31, 2024.</w:t>
      </w:r>
    </w:p>
    <w:p>
      <w:pPr>
        <w:spacing w:after="0" w:line="295" w:lineRule="exact"/>
        <w:rPr>
          <w:rFonts w:ascii="Arial" w:cs="Arial" w:eastAsia="Arial" w:hAnsi="Arial"/>
          <w:sz w:val="16"/>
          <w:szCs w:val="16"/>
          <w:color w:val="auto"/>
        </w:rPr>
      </w:pPr>
    </w:p>
    <w:p>
      <w:pPr>
        <w:ind w:left="5523" w:hanging="104"/>
        <w:spacing w:after="0"/>
        <w:tabs>
          <w:tab w:leader="none" w:pos="5523" w:val="left"/>
        </w:tabs>
        <w:numPr>
          <w:ilvl w:val="1"/>
          <w:numId w:val="224"/>
        </w:numPr>
        <w:rPr>
          <w:rFonts w:ascii="Arial" w:cs="Arial" w:eastAsia="Arial" w:hAnsi="Arial"/>
          <w:sz w:val="16"/>
          <w:szCs w:val="16"/>
          <w:color w:val="auto"/>
        </w:rPr>
      </w:pPr>
      <w:r>
        <w:rPr>
          <w:rFonts w:ascii="Arial" w:cs="Arial" w:eastAsia="Arial" w:hAnsi="Arial"/>
          <w:sz w:val="16"/>
          <w:szCs w:val="16"/>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983"/>
          </w:cols>
          <w:pgMar w:left="317" w:top="128" w:right="599" w:bottom="1440" w:gutter="0" w:footer="0" w:header="0"/>
        </w:sectPr>
      </w:pPr>
    </w:p>
    <w:bookmarkStart w:id="216" w:name="page217"/>
    <w:bookmarkEnd w:id="216"/>
    <w:p>
      <w:pPr>
        <w:spacing w:after="0"/>
        <w:tabs>
          <w:tab w:leader="none" w:pos="260" w:val="left"/>
        </w:tabs>
        <w:rPr>
          <w:sz w:val="20"/>
          <w:szCs w:val="20"/>
          <w:color w:val="auto"/>
        </w:rPr>
      </w:pPr>
      <w:r>
        <w:rPr>
          <w:rFonts w:ascii="Arial" w:cs="Arial" w:eastAsia="Arial" w:hAnsi="Arial"/>
          <w:sz w:val="16"/>
          <w:szCs w:val="16"/>
          <w:color w:val="auto"/>
        </w:rPr>
        <w:t>b)</w:t>
        <w:tab/>
        <w:t>In subsidiaries:</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tcPr>
          <w:p>
            <w:pPr>
              <w:ind w:left="60"/>
              <w:spacing w:after="0"/>
              <w:rPr>
                <w:sz w:val="20"/>
                <w:szCs w:val="20"/>
                <w:color w:val="auto"/>
              </w:rPr>
            </w:pPr>
            <w:r>
              <w:rPr>
                <w:rFonts w:ascii="Arial" w:cs="Arial" w:eastAsia="Arial" w:hAnsi="Arial"/>
                <w:sz w:val="13"/>
                <w:szCs w:val="13"/>
                <w:b w:val="1"/>
                <w:bCs w:val="1"/>
                <w:color w:val="auto"/>
              </w:rPr>
              <w:t>Net share of the income</w:t>
            </w: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ind w:left="40"/>
              <w:spacing w:after="0" w:line="145" w:lineRule="exact"/>
              <w:rPr>
                <w:sz w:val="20"/>
                <w:szCs w:val="20"/>
                <w:color w:val="auto"/>
              </w:rPr>
            </w:pPr>
            <w:r>
              <w:rPr>
                <w:rFonts w:ascii="Arial" w:cs="Arial" w:eastAsia="Arial" w:hAnsi="Arial"/>
                <w:sz w:val="13"/>
                <w:szCs w:val="13"/>
                <w:b w:val="1"/>
                <w:bCs w:val="1"/>
                <w:color w:val="auto"/>
              </w:rPr>
              <w:t>Direct participation</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5"/>
          </w:tcPr>
          <w:p>
            <w:pPr>
              <w:ind w:left="60"/>
              <w:spacing w:after="0" w:line="145" w:lineRule="exact"/>
              <w:rPr>
                <w:sz w:val="20"/>
                <w:szCs w:val="20"/>
                <w:color w:val="auto"/>
              </w:rPr>
            </w:pPr>
            <w:r>
              <w:rPr>
                <w:rFonts w:ascii="Arial" w:cs="Arial" w:eastAsia="Arial" w:hAnsi="Arial"/>
                <w:sz w:val="13"/>
                <w:szCs w:val="13"/>
                <w:b w:val="1"/>
                <w:bCs w:val="1"/>
                <w:color w:val="auto"/>
              </w:rPr>
              <w:t>from investments in</w:t>
            </w:r>
          </w:p>
        </w:tc>
        <w:tc>
          <w:tcPr>
            <w:tcW w:w="0" w:type="dxa"/>
            <w:vAlign w:val="bottom"/>
          </w:tcPr>
          <w:p>
            <w:pPr>
              <w:spacing w:after="0"/>
              <w:rPr>
                <w:sz w:val="1"/>
                <w:szCs w:val="1"/>
                <w:color w:val="auto"/>
              </w:rPr>
            </w:pPr>
          </w:p>
        </w:tc>
      </w:tr>
      <w:tr>
        <w:trPr>
          <w:trHeight w:val="153"/>
        </w:trPr>
        <w:tc>
          <w:tcPr>
            <w:tcW w:w="2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Entity</w:t>
            </w:r>
          </w:p>
        </w:tc>
        <w:tc>
          <w:tcPr>
            <w:tcW w:w="10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Country</w:t>
            </w: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Operations</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percentage</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Equity Value</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subsidiaries</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20" w:type="dxa"/>
            <w:vAlign w:val="bottom"/>
          </w:tcPr>
          <w:p>
            <w:pPr>
              <w:ind w:left="4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90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2"/>
                <w:szCs w:val="12"/>
                <w:color w:val="auto"/>
              </w:rPr>
            </w:pPr>
          </w:p>
        </w:tc>
        <w:tc>
          <w:tcPr>
            <w:tcW w:w="780" w:type="dxa"/>
            <w:vAlign w:val="bottom"/>
          </w:tcPr>
          <w:p>
            <w:pPr>
              <w:ind w:left="40"/>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jc w:val="right"/>
              <w:ind w:right="656"/>
              <w:spacing w:after="0"/>
              <w:rPr>
                <w:sz w:val="20"/>
                <w:szCs w:val="20"/>
                <w:color w:val="auto"/>
              </w:rPr>
            </w:pPr>
            <w:r>
              <w:rPr>
                <w:rFonts w:ascii="Arial" w:cs="Arial" w:eastAsia="Arial" w:hAnsi="Arial"/>
                <w:sz w:val="12"/>
                <w:szCs w:val="12"/>
                <w:b w:val="1"/>
                <w:bCs w:val="1"/>
                <w:color w:val="auto"/>
                <w:w w:val="74"/>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jc w:val="right"/>
              <w:ind w:right="616"/>
              <w:spacing w:after="0"/>
              <w:rPr>
                <w:sz w:val="20"/>
                <w:szCs w:val="20"/>
                <w:color w:val="auto"/>
              </w:rPr>
            </w:pPr>
            <w:r>
              <w:rPr>
                <w:rFonts w:ascii="Arial" w:cs="Arial" w:eastAsia="Arial" w:hAnsi="Arial"/>
                <w:sz w:val="13"/>
                <w:szCs w:val="13"/>
                <w:b w:val="1"/>
                <w:bCs w:val="1"/>
                <w:color w:val="auto"/>
                <w:w w:val="86"/>
              </w:rPr>
              <w:t>%</w:t>
            </w:r>
          </w:p>
        </w:tc>
        <w:tc>
          <w:tcPr>
            <w:tcW w:w="200" w:type="dxa"/>
            <w:vAlign w:val="bottom"/>
          </w:tcPr>
          <w:p>
            <w:pPr>
              <w:spacing w:after="0"/>
              <w:rPr>
                <w:sz w:val="14"/>
                <w:szCs w:val="14"/>
                <w:color w:val="auto"/>
              </w:rPr>
            </w:pPr>
          </w:p>
        </w:tc>
        <w:tc>
          <w:tcPr>
            <w:tcW w:w="80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80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80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040" w:type="dxa"/>
            <w:vAlign w:val="bottom"/>
            <w:gridSpan w:val="2"/>
          </w:tcPr>
          <w:p>
            <w:pPr>
              <w:ind w:left="60"/>
              <w:spacing w:after="0"/>
              <w:rPr>
                <w:sz w:val="20"/>
                <w:szCs w:val="20"/>
                <w:color w:val="auto"/>
              </w:rPr>
            </w:pPr>
            <w:r>
              <w:rPr>
                <w:rFonts w:ascii="Arial" w:cs="Arial" w:eastAsia="Arial" w:hAnsi="Arial"/>
                <w:sz w:val="13"/>
                <w:szCs w:val="13"/>
                <w:color w:val="auto"/>
              </w:rPr>
              <w:t>Grupo Crédito S.A.</w:t>
            </w: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Perú</w:t>
            </w: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Holding</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1100" w:type="dxa"/>
            <w:vAlign w:val="bottom"/>
            <w:gridSpan w:val="3"/>
          </w:tcPr>
          <w:p>
            <w:pPr>
              <w:jc w:val="right"/>
              <w:ind w:right="200"/>
              <w:spacing w:after="0"/>
              <w:rPr>
                <w:sz w:val="20"/>
                <w:szCs w:val="20"/>
                <w:color w:val="auto"/>
              </w:rPr>
            </w:pPr>
            <w:r>
              <w:rPr>
                <w:rFonts w:ascii="Arial" w:cs="Arial" w:eastAsia="Arial" w:hAnsi="Arial"/>
                <w:sz w:val="13"/>
                <w:szCs w:val="13"/>
                <w:color w:val="auto"/>
              </w:rPr>
              <w:t>100.00</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37,104,771</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33,794,162</w:t>
            </w:r>
          </w:p>
        </w:tc>
        <w:tc>
          <w:tcPr>
            <w:tcW w:w="800" w:type="dxa"/>
            <w:vAlign w:val="bottom"/>
          </w:tcPr>
          <w:p>
            <w:pPr>
              <w:jc w:val="right"/>
              <w:spacing w:after="0"/>
              <w:rPr>
                <w:sz w:val="20"/>
                <w:szCs w:val="20"/>
                <w:color w:val="auto"/>
              </w:rPr>
            </w:pPr>
            <w:r>
              <w:rPr>
                <w:rFonts w:ascii="Arial" w:cs="Arial" w:eastAsia="Arial" w:hAnsi="Arial"/>
                <w:sz w:val="13"/>
                <w:szCs w:val="13"/>
                <w:color w:val="auto"/>
              </w:rPr>
              <w:t>6,319,924</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5,183,824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Pacífico Compañía de Seguros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y Reaseguros S.A.</w:t>
            </w:r>
          </w:p>
        </w:tc>
        <w:tc>
          <w:tcPr>
            <w:tcW w:w="10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Perú</w:t>
            </w: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Insurance</w:t>
            </w: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65.20</w:t>
            </w:r>
          </w:p>
        </w:tc>
        <w:tc>
          <w:tcPr>
            <w:tcW w:w="11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65.20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2,382,501</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2,233,827</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515,460</w:t>
            </w:r>
          </w:p>
        </w:tc>
        <w:tc>
          <w:tcPr>
            <w:tcW w:w="80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499,281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Atlantic Security Holding</w:t>
            </w:r>
          </w:p>
        </w:tc>
        <w:tc>
          <w:tcPr>
            <w:tcW w:w="10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Cayman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Corporation y Subsidiarias</w:t>
            </w:r>
          </w:p>
        </w:tc>
        <w:tc>
          <w:tcPr>
            <w:tcW w:w="10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Islands</w:t>
            </w: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Capital Markets</w:t>
            </w: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11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100.00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1,414,593</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1,052,850|</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737,562</w:t>
            </w:r>
          </w:p>
        </w:tc>
        <w:tc>
          <w:tcPr>
            <w:tcW w:w="80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569,643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Capital Markets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and asset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Credicorp Capital Ltd.</w:t>
            </w:r>
          </w:p>
        </w:tc>
        <w:tc>
          <w:tcPr>
            <w:tcW w:w="10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Bermuda</w:t>
            </w: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management</w:t>
            </w: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11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100.00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1,255,215</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1,125,703</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103,802</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58,194</w:t>
            </w: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Krealo Ltd.</w:t>
            </w:r>
          </w:p>
        </w:tc>
        <w:tc>
          <w:tcPr>
            <w:tcW w:w="10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Bermuda</w:t>
            </w: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Fintech</w:t>
            </w: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110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100.00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55,974</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43,320</w:t>
            </w:r>
          </w:p>
        </w:tc>
        <w:tc>
          <w:tcPr>
            <w:tcW w:w="10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(9,013)</w:t>
            </w:r>
          </w:p>
        </w:tc>
        <w:tc>
          <w:tcPr>
            <w:tcW w:w="84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(1,598)</w:t>
            </w: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Banco de Crédito de Bolivia (*)</w:t>
            </w:r>
          </w:p>
        </w:tc>
        <w:tc>
          <w:tcPr>
            <w:tcW w:w="10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Bolivia</w:t>
            </w: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Banking</w:t>
            </w: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4.01</w:t>
            </w:r>
          </w:p>
        </w:tc>
        <w:tc>
          <w:tcPr>
            <w:tcW w:w="9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4.01</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32,840</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40,344</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3,443</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3,750</w:t>
            </w: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Inversiones Credicorp Bolivia</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S.A. (*)</w:t>
            </w:r>
          </w:p>
        </w:tc>
        <w:tc>
          <w:tcPr>
            <w:tcW w:w="10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Bolivia</w:t>
            </w: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Banking</w:t>
            </w: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0.08</w:t>
            </w:r>
          </w:p>
        </w:tc>
        <w:tc>
          <w:tcPr>
            <w:tcW w:w="9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0.08</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559</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671</w:t>
            </w:r>
          </w:p>
        </w:tc>
        <w:tc>
          <w:tcPr>
            <w:tcW w:w="10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62</w:t>
            </w:r>
          </w:p>
        </w:tc>
        <w:tc>
          <w:tcPr>
            <w:tcW w:w="84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Special purpose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40" w:type="dxa"/>
            <w:vAlign w:val="bottom"/>
            <w:gridSpan w:val="2"/>
          </w:tcPr>
          <w:p>
            <w:pPr>
              <w:ind w:left="60"/>
              <w:spacing w:after="0"/>
              <w:rPr>
                <w:sz w:val="20"/>
                <w:szCs w:val="20"/>
                <w:color w:val="auto"/>
              </w:rPr>
            </w:pPr>
            <w:r>
              <w:rPr>
                <w:rFonts w:ascii="Arial" w:cs="Arial" w:eastAsia="Arial" w:hAnsi="Arial"/>
                <w:sz w:val="13"/>
                <w:szCs w:val="13"/>
                <w:color w:val="auto"/>
              </w:rPr>
              <w:t>CCR Inc.</w:t>
            </w: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Bahamas</w:t>
            </w: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Entity</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1100" w:type="dxa"/>
            <w:vAlign w:val="bottom"/>
            <w:gridSpan w:val="3"/>
          </w:tcPr>
          <w:p>
            <w:pPr>
              <w:jc w:val="right"/>
              <w:ind w:right="200"/>
              <w:spacing w:after="0"/>
              <w:rPr>
                <w:sz w:val="20"/>
                <w:szCs w:val="20"/>
                <w:color w:val="auto"/>
              </w:rPr>
            </w:pPr>
            <w:r>
              <w:rPr>
                <w:rFonts w:ascii="Arial" w:cs="Arial" w:eastAsia="Arial" w:hAnsi="Arial"/>
                <w:sz w:val="13"/>
                <w:szCs w:val="13"/>
                <w:color w:val="auto"/>
              </w:rPr>
              <w:t>100.00</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201</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256</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(55)</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1"/>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42,246,654</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38,291,133</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7,671,185</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37" w:lineRule="exact"/>
              <w:rPr>
                <w:sz w:val="20"/>
                <w:szCs w:val="20"/>
                <w:color w:val="auto"/>
              </w:rPr>
            </w:pPr>
            <w:r>
              <w:rPr>
                <w:rFonts w:ascii="Arial" w:cs="Arial" w:eastAsia="Arial" w:hAnsi="Arial"/>
                <w:sz w:val="13"/>
                <w:szCs w:val="13"/>
                <w:color w:val="auto"/>
              </w:rPr>
              <w:t>6,313,139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40" w:hanging="355"/>
        <w:spacing w:after="0"/>
        <w:tabs>
          <w:tab w:leader="none" w:pos="6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Credicorp has indirect control through Grupo Crédito S.A.</w:t>
      </w:r>
    </w:p>
    <w:p>
      <w:pPr>
        <w:spacing w:after="0" w:line="32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360"/>
          </w:cols>
          <w:pgMar w:left="900" w:top="292" w:right="639" w:bottom="1440" w:gutter="0" w:footer="0" w:header="0"/>
        </w:sectPr>
      </w:pPr>
    </w:p>
    <w:bookmarkStart w:id="217" w:name="page218"/>
    <w:bookmarkEnd w:id="217"/>
    <w:tbl>
      <w:tblPr>
        <w:tblLayout w:type="fixed"/>
        <w:tblInd w:w="284" w:type="dxa"/>
        <w:tblCellMar>
          <w:top w:w="0" w:type="dxa"/>
          <w:left w:w="0" w:type="dxa"/>
          <w:bottom w:w="0" w:type="dxa"/>
          <w:right w:w="0" w:type="dxa"/>
        </w:tblCellMar>
      </w:tblPr>
      <w:tr>
        <w:trPr>
          <w:trHeight w:val="214"/>
        </w:trPr>
        <w:tc>
          <w:tcPr>
            <w:tcW w:w="7500" w:type="dxa"/>
            <w:vAlign w:val="bottom"/>
          </w:tcPr>
          <w:p>
            <w:pPr>
              <w:spacing w:after="0"/>
              <w:rPr>
                <w:sz w:val="20"/>
                <w:szCs w:val="20"/>
                <w:color w:val="auto"/>
              </w:rPr>
            </w:pPr>
            <w:r>
              <w:rPr>
                <w:rFonts w:ascii="Arial" w:cs="Arial" w:eastAsia="Arial" w:hAnsi="Arial"/>
                <w:sz w:val="16"/>
                <w:szCs w:val="16"/>
                <w:color w:val="auto"/>
              </w:rPr>
              <w:t>As of December 31, 2025 and 2024 the movement of the investments in subsidiaries is as follows: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58"/>
        </w:trPr>
        <w:tc>
          <w:tcPr>
            <w:tcW w:w="7500" w:type="dxa"/>
            <w:vAlign w:val="bottom"/>
          </w:tcPr>
          <w:p>
            <w:pPr>
              <w:spacing w:after="0"/>
              <w:rPr>
                <w:sz w:val="24"/>
                <w:szCs w:val="24"/>
                <w:color w:val="auto"/>
              </w:rPr>
            </w:pPr>
          </w:p>
        </w:tc>
        <w:tc>
          <w:tcPr>
            <w:tcW w:w="1440" w:type="dxa"/>
            <w:vAlign w:val="bottom"/>
            <w:gridSpan w:val="2"/>
          </w:tcPr>
          <w:p>
            <w:pPr>
              <w:ind w:left="52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7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8"/>
                <w:szCs w:val="18"/>
                <w:color w:val="auto"/>
              </w:rPr>
            </w:pPr>
          </w:p>
        </w:tc>
      </w:tr>
      <w:tr>
        <w:trPr>
          <w:trHeight w:val="305"/>
        </w:trPr>
        <w:tc>
          <w:tcPr>
            <w:tcW w:w="7500" w:type="dxa"/>
            <w:vAlign w:val="bottom"/>
          </w:tcPr>
          <w:p>
            <w:pPr>
              <w:spacing w:after="0"/>
              <w:rPr>
                <w:sz w:val="20"/>
                <w:szCs w:val="20"/>
                <w:color w:val="auto"/>
              </w:rPr>
            </w:pPr>
            <w:r>
              <w:rPr>
                <w:rFonts w:ascii="Arial" w:cs="Arial" w:eastAsia="Arial" w:hAnsi="Arial"/>
                <w:sz w:val="16"/>
                <w:szCs w:val="16"/>
                <w:b w:val="1"/>
                <w:bCs w:val="1"/>
                <w:color w:val="auto"/>
              </w:rPr>
              <w:t>Balance at January 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38,291,133</w:t>
            </w:r>
          </w:p>
        </w:tc>
        <w:tc>
          <w:tcPr>
            <w:tcW w:w="18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36,150,565</w:t>
            </w:r>
          </w:p>
        </w:tc>
        <w:tc>
          <w:tcPr>
            <w:tcW w:w="40" w:type="dxa"/>
            <w:vAlign w:val="bottom"/>
          </w:tcPr>
          <w:p>
            <w:pPr>
              <w:spacing w:after="0"/>
              <w:rPr>
                <w:sz w:val="24"/>
                <w:szCs w:val="24"/>
                <w:color w:val="auto"/>
              </w:rPr>
            </w:pPr>
          </w:p>
        </w:tc>
      </w:tr>
      <w:tr>
        <w:trPr>
          <w:trHeight w:val="181"/>
        </w:trPr>
        <w:tc>
          <w:tcPr>
            <w:tcW w:w="7500" w:type="dxa"/>
            <w:vAlign w:val="bottom"/>
          </w:tcPr>
          <w:p>
            <w:pPr>
              <w:spacing w:after="0" w:line="181" w:lineRule="exact"/>
              <w:rPr>
                <w:sz w:val="20"/>
                <w:szCs w:val="20"/>
                <w:color w:val="auto"/>
              </w:rPr>
            </w:pPr>
            <w:r>
              <w:rPr>
                <w:rFonts w:ascii="Arial" w:cs="Arial" w:eastAsia="Arial" w:hAnsi="Arial"/>
                <w:sz w:val="16"/>
                <w:szCs w:val="16"/>
                <w:color w:val="auto"/>
              </w:rPr>
              <w:t>Net share of the income from investments in subsidiaries</w:t>
            </w:r>
          </w:p>
        </w:tc>
        <w:tc>
          <w:tcPr>
            <w:tcW w:w="16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7,671,185</w:t>
            </w:r>
          </w:p>
        </w:tc>
        <w:tc>
          <w:tcPr>
            <w:tcW w:w="9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6,313,139</w:t>
            </w:r>
          </w:p>
        </w:tc>
      </w:tr>
      <w:tr>
        <w:trPr>
          <w:trHeight w:val="181"/>
        </w:trPr>
        <w:tc>
          <w:tcPr>
            <w:tcW w:w="7500" w:type="dxa"/>
            <w:vAlign w:val="bottom"/>
          </w:tcPr>
          <w:p>
            <w:pPr>
              <w:spacing w:after="0" w:line="181" w:lineRule="exact"/>
              <w:rPr>
                <w:sz w:val="20"/>
                <w:szCs w:val="20"/>
                <w:color w:val="auto"/>
              </w:rPr>
            </w:pPr>
            <w:r>
              <w:rPr>
                <w:rFonts w:ascii="Arial" w:cs="Arial" w:eastAsia="Arial" w:hAnsi="Arial"/>
                <w:sz w:val="16"/>
                <w:szCs w:val="16"/>
                <w:color w:val="auto"/>
              </w:rPr>
              <w:t>Dividends received from subsidiaries (i)</w:t>
            </w:r>
          </w:p>
        </w:tc>
        <w:tc>
          <w:tcPr>
            <w:tcW w:w="16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(3,907,669)</w:t>
            </w:r>
          </w:p>
        </w:tc>
        <w:tc>
          <w:tcPr>
            <w:tcW w:w="960" w:type="dxa"/>
            <w:vAlign w:val="bottom"/>
            <w:gridSpan w:val="4"/>
          </w:tcPr>
          <w:p>
            <w:pPr>
              <w:jc w:val="right"/>
              <w:spacing w:after="0" w:line="181" w:lineRule="exact"/>
              <w:rPr>
                <w:sz w:val="20"/>
                <w:szCs w:val="20"/>
                <w:color w:val="auto"/>
              </w:rPr>
            </w:pPr>
            <w:r>
              <w:rPr>
                <w:rFonts w:ascii="Arial" w:cs="Arial" w:eastAsia="Arial" w:hAnsi="Arial"/>
                <w:sz w:val="16"/>
                <w:szCs w:val="16"/>
                <w:color w:val="auto"/>
              </w:rPr>
              <w:t>(4,314,986)</w:t>
            </w:r>
          </w:p>
        </w:tc>
      </w:tr>
      <w:tr>
        <w:trPr>
          <w:trHeight w:val="181"/>
        </w:trPr>
        <w:tc>
          <w:tcPr>
            <w:tcW w:w="7500" w:type="dxa"/>
            <w:vAlign w:val="bottom"/>
          </w:tcPr>
          <w:p>
            <w:pPr>
              <w:spacing w:after="0" w:line="181" w:lineRule="exact"/>
              <w:rPr>
                <w:sz w:val="20"/>
                <w:szCs w:val="20"/>
                <w:color w:val="auto"/>
              </w:rPr>
            </w:pPr>
            <w:r>
              <w:rPr>
                <w:rFonts w:ascii="Arial" w:cs="Arial" w:eastAsia="Arial" w:hAnsi="Arial"/>
                <w:sz w:val="16"/>
                <w:szCs w:val="16"/>
                <w:color w:val="auto"/>
              </w:rPr>
              <w:t>Net unrealized gain of subsidiaries’ equity (ii)</w:t>
            </w:r>
          </w:p>
        </w:tc>
        <w:tc>
          <w:tcPr>
            <w:tcW w:w="16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432,227</w:t>
            </w:r>
          </w:p>
        </w:tc>
        <w:tc>
          <w:tcPr>
            <w:tcW w:w="9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58,174</w:t>
            </w:r>
          </w:p>
        </w:tc>
      </w:tr>
      <w:tr>
        <w:trPr>
          <w:trHeight w:val="181"/>
        </w:trPr>
        <w:tc>
          <w:tcPr>
            <w:tcW w:w="7500" w:type="dxa"/>
            <w:vAlign w:val="bottom"/>
          </w:tcPr>
          <w:p>
            <w:pPr>
              <w:spacing w:after="0" w:line="181" w:lineRule="exact"/>
              <w:rPr>
                <w:sz w:val="20"/>
                <w:szCs w:val="20"/>
                <w:color w:val="auto"/>
              </w:rPr>
            </w:pPr>
            <w:r>
              <w:rPr>
                <w:rFonts w:ascii="Arial" w:cs="Arial" w:eastAsia="Arial" w:hAnsi="Arial"/>
                <w:sz w:val="16"/>
                <w:szCs w:val="16"/>
                <w:color w:val="auto"/>
              </w:rPr>
              <w:t>Facultative reserve variation</w:t>
            </w:r>
          </w:p>
        </w:tc>
        <w:tc>
          <w:tcPr>
            <w:tcW w:w="16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(76,441)</w:t>
            </w:r>
          </w:p>
        </w:tc>
        <w:tc>
          <w:tcPr>
            <w:tcW w:w="20" w:type="dxa"/>
            <w:vAlign w:val="bottom"/>
          </w:tcPr>
          <w:p>
            <w:pPr>
              <w:spacing w:after="0"/>
              <w:rPr>
                <w:sz w:val="15"/>
                <w:szCs w:val="15"/>
                <w:color w:val="auto"/>
              </w:rPr>
            </w:pPr>
          </w:p>
        </w:tc>
        <w:tc>
          <w:tcPr>
            <w:tcW w:w="94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w:t>
            </w:r>
          </w:p>
        </w:tc>
      </w:tr>
      <w:tr>
        <w:trPr>
          <w:trHeight w:val="181"/>
        </w:trPr>
        <w:tc>
          <w:tcPr>
            <w:tcW w:w="7500" w:type="dxa"/>
            <w:vAlign w:val="bottom"/>
          </w:tcPr>
          <w:p>
            <w:pPr>
              <w:spacing w:after="0" w:line="181" w:lineRule="exact"/>
              <w:rPr>
                <w:sz w:val="20"/>
                <w:szCs w:val="20"/>
                <w:color w:val="auto"/>
              </w:rPr>
            </w:pPr>
            <w:r>
              <w:rPr>
                <w:rFonts w:ascii="Arial" w:cs="Arial" w:eastAsia="Arial" w:hAnsi="Arial"/>
                <w:sz w:val="16"/>
                <w:szCs w:val="16"/>
                <w:color w:val="auto"/>
              </w:rPr>
              <w:t>Translation of foreign operations</w:t>
            </w:r>
          </w:p>
        </w:tc>
        <w:tc>
          <w:tcPr>
            <w:tcW w:w="162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(166,834)</w:t>
            </w:r>
          </w:p>
        </w:tc>
        <w:tc>
          <w:tcPr>
            <w:tcW w:w="9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19,473</w:t>
            </w:r>
          </w:p>
        </w:tc>
      </w:tr>
      <w:tr>
        <w:trPr>
          <w:trHeight w:val="181"/>
        </w:trPr>
        <w:tc>
          <w:tcPr>
            <w:tcW w:w="7500" w:type="dxa"/>
            <w:vAlign w:val="bottom"/>
          </w:tcPr>
          <w:p>
            <w:pPr>
              <w:spacing w:after="0" w:line="181" w:lineRule="exact"/>
              <w:rPr>
                <w:sz w:val="20"/>
                <w:szCs w:val="20"/>
                <w:color w:val="auto"/>
              </w:rPr>
            </w:pPr>
            <w:r>
              <w:rPr>
                <w:rFonts w:ascii="Arial" w:cs="Arial" w:eastAsia="Arial" w:hAnsi="Arial"/>
                <w:sz w:val="16"/>
                <w:szCs w:val="16"/>
                <w:color w:val="auto"/>
              </w:rPr>
              <w:t>Capital contribution (iii)</w:t>
            </w:r>
          </w:p>
        </w:tc>
        <w:tc>
          <w:tcPr>
            <w:tcW w:w="162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27,439</w:t>
            </w:r>
          </w:p>
        </w:tc>
        <w:tc>
          <w:tcPr>
            <w:tcW w:w="960" w:type="dxa"/>
            <w:vAlign w:val="bottom"/>
            <w:gridSpan w:val="4"/>
          </w:tcPr>
          <w:p>
            <w:pPr>
              <w:jc w:val="right"/>
              <w:ind w:right="60"/>
              <w:spacing w:after="0" w:line="181" w:lineRule="exact"/>
              <w:rPr>
                <w:sz w:val="20"/>
                <w:szCs w:val="20"/>
                <w:color w:val="auto"/>
              </w:rPr>
            </w:pPr>
            <w:r>
              <w:rPr>
                <w:rFonts w:ascii="Arial" w:cs="Arial" w:eastAsia="Arial" w:hAnsi="Arial"/>
                <w:sz w:val="16"/>
                <w:szCs w:val="16"/>
                <w:color w:val="auto"/>
              </w:rPr>
              <w:t>57,393</w:t>
            </w:r>
          </w:p>
        </w:tc>
      </w:tr>
      <w:tr>
        <w:trPr>
          <w:trHeight w:val="210"/>
        </w:trPr>
        <w:tc>
          <w:tcPr>
            <w:tcW w:w="7500" w:type="dxa"/>
            <w:vAlign w:val="bottom"/>
          </w:tcPr>
          <w:p>
            <w:pPr>
              <w:spacing w:after="0"/>
              <w:rPr>
                <w:sz w:val="20"/>
                <w:szCs w:val="20"/>
                <w:color w:val="auto"/>
              </w:rPr>
            </w:pPr>
            <w:r>
              <w:rPr>
                <w:rFonts w:ascii="Arial" w:cs="Arial" w:eastAsia="Arial" w:hAnsi="Arial"/>
                <w:sz w:val="16"/>
                <w:szCs w:val="16"/>
                <w:color w:val="auto"/>
              </w:rPr>
              <w:t>Others</w:t>
            </w:r>
          </w:p>
        </w:tc>
        <w:tc>
          <w:tcPr>
            <w:tcW w:w="1620" w:type="dxa"/>
            <w:vAlign w:val="bottom"/>
            <w:gridSpan w:val="3"/>
          </w:tcPr>
          <w:p>
            <w:pPr>
              <w:jc w:val="right"/>
              <w:ind w:right="140"/>
              <w:spacing w:after="0"/>
              <w:rPr>
                <w:sz w:val="20"/>
                <w:szCs w:val="20"/>
                <w:color w:val="auto"/>
              </w:rPr>
            </w:pPr>
            <w:r>
              <w:rPr>
                <w:rFonts w:ascii="Arial" w:cs="Arial" w:eastAsia="Arial" w:hAnsi="Arial"/>
                <w:sz w:val="16"/>
                <w:szCs w:val="16"/>
                <w:color w:val="auto"/>
              </w:rPr>
              <w:t>(24,386)</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7,375</w:t>
            </w:r>
          </w:p>
        </w:tc>
        <w:tc>
          <w:tcPr>
            <w:tcW w:w="40" w:type="dxa"/>
            <w:vAlign w:val="bottom"/>
          </w:tcPr>
          <w:p>
            <w:pPr>
              <w:spacing w:after="0"/>
              <w:rPr>
                <w:sz w:val="18"/>
                <w:szCs w:val="18"/>
                <w:color w:val="auto"/>
              </w:rPr>
            </w:pPr>
          </w:p>
        </w:tc>
      </w:tr>
      <w:tr>
        <w:trPr>
          <w:trHeight w:val="177"/>
        </w:trPr>
        <w:tc>
          <w:tcPr>
            <w:tcW w:w="7500" w:type="dxa"/>
            <w:vAlign w:val="bottom"/>
          </w:tcPr>
          <w:p>
            <w:pPr>
              <w:spacing w:after="0" w:line="173" w:lineRule="exact"/>
              <w:rPr>
                <w:sz w:val="20"/>
                <w:szCs w:val="20"/>
                <w:color w:val="auto"/>
              </w:rPr>
            </w:pPr>
            <w:r>
              <w:rPr>
                <w:rFonts w:ascii="Arial" w:cs="Arial" w:eastAsia="Arial" w:hAnsi="Arial"/>
                <w:sz w:val="16"/>
                <w:szCs w:val="16"/>
                <w:b w:val="1"/>
                <w:bCs w:val="1"/>
                <w:color w:val="auto"/>
              </w:rPr>
              <w:t>Ending balance</w:t>
            </w:r>
          </w:p>
        </w:tc>
        <w:tc>
          <w:tcPr>
            <w:tcW w:w="5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42,246,654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38,291,133</w:t>
            </w:r>
          </w:p>
        </w:tc>
        <w:tc>
          <w:tcPr>
            <w:tcW w:w="40" w:type="dxa"/>
            <w:vAlign w:val="bottom"/>
          </w:tcPr>
          <w:p>
            <w:pPr>
              <w:spacing w:after="0"/>
              <w:rPr>
                <w:sz w:val="15"/>
                <w:szCs w:val="15"/>
                <w:color w:val="auto"/>
              </w:rPr>
            </w:pPr>
          </w:p>
        </w:tc>
      </w:tr>
    </w:tbl>
    <w:p>
      <w:pPr>
        <w:spacing w:after="0" w:line="152" w:lineRule="exact"/>
        <w:rPr>
          <w:sz w:val="20"/>
          <w:szCs w:val="20"/>
          <w:color w:val="auto"/>
        </w:rPr>
      </w:pPr>
    </w:p>
    <w:p>
      <w:pPr>
        <w:ind w:left="584" w:right="440" w:hanging="295"/>
        <w:spacing w:after="0" w:line="245" w:lineRule="auto"/>
        <w:tabs>
          <w:tab w:leader="none" w:pos="58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As of December 31, 2025, the Company received dividends from Grupo Crédito, Atlantic Security Holding Corporation, Pacífico and Banco de Crédito de Bolivia amounting to S/3,300.0 million, S/283.8 million, S/322.9 million and S/0.9 million, respectively (As of December 31, 2024, the Company received dividends from Grupo Crédito, Atlantic Security Holding Corporation, Pacífico and Banco de Crédito de Bolivia amounting to S/3,250.0 million, S/770.3 million, S/293.9 million and S/0.7 million, respectively). The amounts do not include tax withholdings in the country of origin.</w:t>
      </w:r>
    </w:p>
    <w:p>
      <w:pPr>
        <w:spacing w:after="0" w:line="134" w:lineRule="exact"/>
        <w:rPr>
          <w:rFonts w:ascii="Arial" w:cs="Arial" w:eastAsia="Arial" w:hAnsi="Arial"/>
          <w:sz w:val="16"/>
          <w:szCs w:val="16"/>
          <w:color w:val="auto"/>
        </w:rPr>
      </w:pPr>
    </w:p>
    <w:p>
      <w:pPr>
        <w:ind w:left="584" w:right="560" w:hanging="295"/>
        <w:spacing w:after="0" w:line="245" w:lineRule="auto"/>
        <w:tabs>
          <w:tab w:leader="none" w:pos="58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As of December 31, 2025, the movement mainly corresponds to the unrealized gain from Grupo Crédito, Pacífico, CCL and Atlantic Security Holding Corporation amounting to S/330.6 million, S/8.6 million and S/34.1 million and S/58.9 million, respectively (As of December 31, 2024, the movement mainly corresponds to the unrealized gain from Grupo Crédito, Atlantic Security Holding Corporation and Banco de Crédito de Bolivia amounting to S/170.8 million, S/29.2 million and S/1.2 million, respectively, and the unrealized loss from CCL and Pacífico amounting to S/122.6 million and S/20.4 million, respectively).</w:t>
      </w:r>
    </w:p>
    <w:p>
      <w:pPr>
        <w:spacing w:after="0" w:line="134" w:lineRule="exact"/>
        <w:rPr>
          <w:rFonts w:ascii="Arial" w:cs="Arial" w:eastAsia="Arial" w:hAnsi="Arial"/>
          <w:sz w:val="16"/>
          <w:szCs w:val="16"/>
          <w:color w:val="auto"/>
        </w:rPr>
      </w:pPr>
    </w:p>
    <w:p>
      <w:pPr>
        <w:ind w:left="584" w:right="340" w:hanging="295"/>
        <w:spacing w:after="0" w:line="274" w:lineRule="auto"/>
        <w:tabs>
          <w:tab w:leader="none" w:pos="58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As of December 31, 2025, capital contributions to Krealo amounting to S/27.4 million were recorded (As of December 31, 2024, capital contributions to Krealo and CCL amounting to S/34.0 million and S/23.4 million, respectively, were recorded).</w:t>
      </w:r>
    </w:p>
    <w:p>
      <w:pPr>
        <w:spacing w:after="0" w:line="122" w:lineRule="exact"/>
        <w:rPr>
          <w:rFonts w:ascii="Arial" w:cs="Arial" w:eastAsia="Arial" w:hAnsi="Arial"/>
          <w:sz w:val="16"/>
          <w:szCs w:val="16"/>
          <w:color w:val="auto"/>
        </w:rPr>
      </w:pPr>
    </w:p>
    <w:p>
      <w:pPr>
        <w:ind w:left="284" w:hanging="284"/>
        <w:spacing w:after="0"/>
        <w:tabs>
          <w:tab w:leader="none" w:pos="28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Investments at amortized cost</w:t>
      </w:r>
    </w:p>
    <w:p>
      <w:pPr>
        <w:spacing w:after="0" w:line="189" w:lineRule="exact"/>
        <w:rPr>
          <w:rFonts w:ascii="Arial" w:cs="Arial" w:eastAsia="Arial" w:hAnsi="Arial"/>
          <w:sz w:val="16"/>
          <w:szCs w:val="16"/>
          <w:color w:val="auto"/>
        </w:rPr>
      </w:pPr>
    </w:p>
    <w:p>
      <w:pPr>
        <w:ind w:left="284"/>
        <w:spacing w:after="0" w:line="255" w:lineRule="auto"/>
        <w:rPr>
          <w:rFonts w:ascii="Arial" w:cs="Arial" w:eastAsia="Arial" w:hAnsi="Arial"/>
          <w:sz w:val="16"/>
          <w:szCs w:val="16"/>
          <w:color w:val="auto"/>
        </w:rPr>
      </w:pPr>
      <w:r>
        <w:rPr>
          <w:rFonts w:ascii="Arial" w:cs="Arial" w:eastAsia="Arial" w:hAnsi="Arial"/>
          <w:sz w:val="16"/>
          <w:szCs w:val="16"/>
          <w:color w:val="auto"/>
        </w:rPr>
        <w:t>As of December 31, 2025, Credicorp Ltd. has no investments measured at amortized cost. As of December 31, 2024, Credicorp Ltd. held fixed-term deposits at Banco de Crédito del Perú, with an interest rate ranging from 4.06 to 5.30 percent per annum and maturing in June 2025, amounting to US$176.8 million, equivalent to S/665.8 million. Additionally, accrued interest of S/29.9 million is recorded.</w:t>
      </w:r>
    </w:p>
    <w:p>
      <w:pPr>
        <w:spacing w:after="0" w:line="294" w:lineRule="exact"/>
        <w:rPr>
          <w:rFonts w:ascii="Arial" w:cs="Arial" w:eastAsia="Arial" w:hAnsi="Arial"/>
          <w:sz w:val="16"/>
          <w:szCs w:val="16"/>
          <w:color w:val="auto"/>
        </w:rPr>
      </w:pPr>
    </w:p>
    <w:p>
      <w:pPr>
        <w:ind w:left="4944" w:hanging="104"/>
        <w:spacing w:after="0"/>
        <w:tabs>
          <w:tab w:leader="none" w:pos="4944" w:val="left"/>
        </w:tabs>
        <w:numPr>
          <w:ilvl w:val="2"/>
          <w:numId w:val="227"/>
        </w:numPr>
        <w:rPr>
          <w:rFonts w:ascii="Arial" w:cs="Arial" w:eastAsia="Arial" w:hAnsi="Arial"/>
          <w:sz w:val="16"/>
          <w:szCs w:val="16"/>
          <w:color w:val="auto"/>
        </w:rPr>
      </w:pPr>
      <w:r>
        <w:rPr>
          <w:rFonts w:ascii="Arial" w:cs="Arial" w:eastAsia="Arial" w:hAnsi="Arial"/>
          <w:sz w:val="16"/>
          <w:szCs w:val="16"/>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464"/>
          </w:cols>
          <w:pgMar w:left="896" w:top="316" w:right="539" w:bottom="1440" w:gutter="0" w:footer="0" w:header="0"/>
        </w:sectPr>
      </w:pPr>
    </w:p>
    <w:bookmarkStart w:id="218" w:name="page219"/>
    <w:bookmarkEnd w:id="218"/>
    <w:p>
      <w:pPr>
        <w:ind w:left="583" w:hanging="583"/>
        <w:spacing w:after="0"/>
        <w:tabs>
          <w:tab w:leader="none" w:pos="583"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BONDS AND NOTES ISSUED</w:t>
      </w:r>
    </w:p>
    <w:p>
      <w:pPr>
        <w:spacing w:after="0" w:line="177" w:lineRule="exact"/>
        <w:rPr>
          <w:rFonts w:ascii="Arial" w:cs="Arial" w:eastAsia="Arial" w:hAnsi="Arial"/>
          <w:sz w:val="16"/>
          <w:szCs w:val="16"/>
          <w:b w:val="1"/>
          <w:bCs w:val="1"/>
          <w:color w:val="auto"/>
        </w:rPr>
      </w:pPr>
    </w:p>
    <w:p>
      <w:pPr>
        <w:ind w:left="583" w:right="260"/>
        <w:spacing w:after="0" w:line="274" w:lineRule="auto"/>
        <w:rPr>
          <w:rFonts w:ascii="Arial" w:cs="Arial" w:eastAsia="Arial" w:hAnsi="Arial"/>
          <w:sz w:val="16"/>
          <w:szCs w:val="16"/>
          <w:b w:val="1"/>
          <w:bCs w:val="1"/>
          <w:color w:val="auto"/>
        </w:rPr>
      </w:pPr>
      <w:r>
        <w:rPr>
          <w:rFonts w:ascii="Arial" w:cs="Arial" w:eastAsia="Arial" w:hAnsi="Arial"/>
          <w:sz w:val="16"/>
          <w:szCs w:val="16"/>
          <w:color w:val="auto"/>
        </w:rPr>
        <w:t>As of December 31, 2025, Credicorp Ltd. does not hold any bonds and notes issued. The last bond matured on June 17, 2025, and had a nominal value of US$486.0 million, equivalent to S/1,780.9 million (US$486.0 million, equivalent to S/1,829.7 million as of December 31, 2024).</w:t>
      </w:r>
    </w:p>
    <w:p>
      <w:pPr>
        <w:spacing w:after="0" w:line="122" w:lineRule="exact"/>
        <w:rPr>
          <w:rFonts w:ascii="Arial" w:cs="Arial" w:eastAsia="Arial" w:hAnsi="Arial"/>
          <w:sz w:val="16"/>
          <w:szCs w:val="16"/>
          <w:b w:val="1"/>
          <w:bCs w:val="1"/>
          <w:color w:val="auto"/>
        </w:rPr>
      </w:pPr>
    </w:p>
    <w:p>
      <w:pPr>
        <w:ind w:left="583"/>
        <w:spacing w:after="0" w:line="274" w:lineRule="auto"/>
        <w:rPr>
          <w:rFonts w:ascii="Arial" w:cs="Arial" w:eastAsia="Arial" w:hAnsi="Arial"/>
          <w:sz w:val="16"/>
          <w:szCs w:val="16"/>
          <w:b w:val="1"/>
          <w:bCs w:val="1"/>
          <w:color w:val="auto"/>
        </w:rPr>
      </w:pPr>
      <w:r>
        <w:rPr>
          <w:rFonts w:ascii="Arial" w:cs="Arial" w:eastAsia="Arial" w:hAnsi="Arial"/>
          <w:sz w:val="16"/>
          <w:szCs w:val="16"/>
          <w:color w:val="auto"/>
        </w:rPr>
        <w:t>As of December 31, 2024, the effect on the liability from the accrual of issuance costs plus premium or discount and interest amounted to S/1.9 million and S/1.9 million, respectively.</w:t>
      </w:r>
    </w:p>
    <w:p>
      <w:pPr>
        <w:spacing w:after="0" w:line="123" w:lineRule="exact"/>
        <w:rPr>
          <w:sz w:val="20"/>
          <w:szCs w:val="20"/>
          <w:color w:val="auto"/>
        </w:rPr>
      </w:pPr>
    </w:p>
    <w:p>
      <w:pPr>
        <w:ind w:left="583" w:right="240"/>
        <w:spacing w:after="0" w:line="274" w:lineRule="auto"/>
        <w:rPr>
          <w:sz w:val="20"/>
          <w:szCs w:val="20"/>
          <w:color w:val="auto"/>
        </w:rPr>
      </w:pPr>
      <w:r>
        <w:rPr>
          <w:rFonts w:ascii="Arial" w:cs="Arial" w:eastAsia="Arial" w:hAnsi="Arial"/>
          <w:sz w:val="16"/>
          <w:szCs w:val="16"/>
          <w:color w:val="auto"/>
        </w:rPr>
        <w:t>As of December 31, 2025, interest expense was recognized in the separate statement of income using the effective interest rate method for S/24.5 million (S/54.3 million as of December 31, 2024).</w:t>
      </w:r>
    </w:p>
    <w:p>
      <w:pPr>
        <w:spacing w:after="0" w:line="127" w:lineRule="exact"/>
        <w:rPr>
          <w:sz w:val="20"/>
          <w:szCs w:val="20"/>
          <w:color w:val="auto"/>
        </w:rPr>
      </w:pPr>
    </w:p>
    <w:tbl>
      <w:tblPr>
        <w:tblLayout w:type="fixed"/>
        <w:tblInd w:w="3" w:type="dxa"/>
        <w:tblCellMar>
          <w:top w:w="0" w:type="dxa"/>
          <w:left w:w="0" w:type="dxa"/>
          <w:bottom w:w="0" w:type="dxa"/>
          <w:right w:w="0" w:type="dxa"/>
        </w:tblCellMar>
      </w:tblPr>
      <w:tr>
        <w:trPr>
          <w:trHeight w:val="199"/>
        </w:trPr>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7</w:t>
            </w:r>
          </w:p>
        </w:tc>
        <w:tc>
          <w:tcPr>
            <w:tcW w:w="8260" w:type="dxa"/>
            <w:vAlign w:val="bottom"/>
          </w:tcPr>
          <w:p>
            <w:pPr>
              <w:ind w:left="260"/>
              <w:spacing w:after="0"/>
              <w:rPr>
                <w:sz w:val="20"/>
                <w:szCs w:val="20"/>
                <w:color w:val="auto"/>
              </w:rPr>
            </w:pPr>
            <w:r>
              <w:rPr>
                <w:rFonts w:ascii="Arial" w:cs="Arial" w:eastAsia="Arial" w:hAnsi="Arial"/>
                <w:sz w:val="14"/>
                <w:szCs w:val="14"/>
                <w:b w:val="1"/>
                <w:bCs w:val="1"/>
                <w:color w:val="auto"/>
              </w:rPr>
              <w:t>OTHER LIABILITIES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0"/>
        </w:trPr>
        <w:tc>
          <w:tcPr>
            <w:tcW w:w="320" w:type="dxa"/>
            <w:vAlign w:val="bottom"/>
          </w:tcPr>
          <w:p>
            <w:pPr>
              <w:spacing w:after="0"/>
              <w:rPr>
                <w:sz w:val="24"/>
                <w:szCs w:val="24"/>
                <w:color w:val="auto"/>
              </w:rPr>
            </w:pPr>
          </w:p>
        </w:tc>
        <w:tc>
          <w:tcPr>
            <w:tcW w:w="8260" w:type="dxa"/>
            <w:vAlign w:val="bottom"/>
          </w:tcPr>
          <w:p>
            <w:pPr>
              <w:ind w:left="260"/>
              <w:spacing w:after="0"/>
              <w:rPr>
                <w:sz w:val="20"/>
                <w:szCs w:val="20"/>
                <w:color w:val="auto"/>
              </w:rPr>
            </w:pPr>
            <w:r>
              <w:rPr>
                <w:rFonts w:ascii="Arial" w:cs="Arial" w:eastAsia="Arial" w:hAnsi="Arial"/>
                <w:sz w:val="16"/>
                <w:szCs w:val="16"/>
                <w:color w:val="auto"/>
              </w:rPr>
              <w:t>This item comprises: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r>
      <w:tr>
        <w:trPr>
          <w:trHeight w:val="214"/>
        </w:trPr>
        <w:tc>
          <w:tcPr>
            <w:tcW w:w="3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05"/>
        </w:trPr>
        <w:tc>
          <w:tcPr>
            <w:tcW w:w="320" w:type="dxa"/>
            <w:vAlign w:val="bottom"/>
          </w:tcPr>
          <w:p>
            <w:pPr>
              <w:spacing w:after="0"/>
              <w:rPr>
                <w:sz w:val="24"/>
                <w:szCs w:val="24"/>
                <w:color w:val="auto"/>
              </w:rPr>
            </w:pPr>
          </w:p>
        </w:tc>
        <w:tc>
          <w:tcPr>
            <w:tcW w:w="8260" w:type="dxa"/>
            <w:vAlign w:val="bottom"/>
          </w:tcPr>
          <w:p>
            <w:pPr>
              <w:ind w:left="260"/>
              <w:spacing w:after="0"/>
              <w:rPr>
                <w:sz w:val="20"/>
                <w:szCs w:val="20"/>
                <w:color w:val="auto"/>
              </w:rPr>
            </w:pPr>
            <w:r>
              <w:rPr>
                <w:rFonts w:ascii="Arial" w:cs="Arial" w:eastAsia="Arial" w:hAnsi="Arial"/>
                <w:sz w:val="16"/>
                <w:szCs w:val="16"/>
                <w:color w:val="auto"/>
              </w:rPr>
              <w:t>Provision for income tax on dividends</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222,829</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188,244</w:t>
            </w:r>
          </w:p>
        </w:tc>
      </w:tr>
      <w:tr>
        <w:trPr>
          <w:trHeight w:val="181"/>
        </w:trPr>
        <w:tc>
          <w:tcPr>
            <w:tcW w:w="320" w:type="dxa"/>
            <w:vAlign w:val="bottom"/>
          </w:tcPr>
          <w:p>
            <w:pPr>
              <w:spacing w:after="0"/>
              <w:rPr>
                <w:sz w:val="15"/>
                <w:szCs w:val="15"/>
                <w:color w:val="auto"/>
              </w:rPr>
            </w:pPr>
          </w:p>
        </w:tc>
        <w:tc>
          <w:tcPr>
            <w:tcW w:w="8260" w:type="dxa"/>
            <w:vAlign w:val="bottom"/>
          </w:tcPr>
          <w:p>
            <w:pPr>
              <w:ind w:left="260"/>
              <w:spacing w:after="0" w:line="181" w:lineRule="exact"/>
              <w:rPr>
                <w:sz w:val="20"/>
                <w:szCs w:val="20"/>
                <w:color w:val="auto"/>
              </w:rPr>
            </w:pPr>
            <w:r>
              <w:rPr>
                <w:rFonts w:ascii="Arial" w:cs="Arial" w:eastAsia="Arial" w:hAnsi="Arial"/>
                <w:sz w:val="16"/>
                <w:szCs w:val="16"/>
                <w:color w:val="auto"/>
              </w:rPr>
              <w:t>Dividends pending from previous years (i)</w:t>
            </w:r>
          </w:p>
        </w:tc>
        <w:tc>
          <w:tcPr>
            <w:tcW w:w="11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49,527</w:t>
            </w:r>
          </w:p>
        </w:tc>
        <w:tc>
          <w:tcPr>
            <w:tcW w:w="9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40,725</w:t>
            </w:r>
          </w:p>
        </w:tc>
      </w:tr>
      <w:tr>
        <w:trPr>
          <w:trHeight w:val="181"/>
        </w:trPr>
        <w:tc>
          <w:tcPr>
            <w:tcW w:w="320" w:type="dxa"/>
            <w:vAlign w:val="bottom"/>
          </w:tcPr>
          <w:p>
            <w:pPr>
              <w:spacing w:after="0"/>
              <w:rPr>
                <w:sz w:val="15"/>
                <w:szCs w:val="15"/>
                <w:color w:val="auto"/>
              </w:rPr>
            </w:pPr>
          </w:p>
        </w:tc>
        <w:tc>
          <w:tcPr>
            <w:tcW w:w="8260" w:type="dxa"/>
            <w:vAlign w:val="bottom"/>
          </w:tcPr>
          <w:p>
            <w:pPr>
              <w:ind w:left="260"/>
              <w:spacing w:after="0" w:line="181" w:lineRule="exact"/>
              <w:rPr>
                <w:sz w:val="20"/>
                <w:szCs w:val="20"/>
                <w:color w:val="auto"/>
              </w:rPr>
            </w:pPr>
            <w:r>
              <w:rPr>
                <w:rFonts w:ascii="Arial" w:cs="Arial" w:eastAsia="Arial" w:hAnsi="Arial"/>
                <w:sz w:val="16"/>
                <w:szCs w:val="16"/>
                <w:color w:val="auto"/>
              </w:rPr>
              <w:t>Deferred income tax liability, net</w:t>
            </w:r>
          </w:p>
        </w:tc>
        <w:tc>
          <w:tcPr>
            <w:tcW w:w="11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1,492</w:t>
            </w:r>
          </w:p>
        </w:tc>
      </w:tr>
      <w:tr>
        <w:trPr>
          <w:trHeight w:val="210"/>
        </w:trPr>
        <w:tc>
          <w:tcPr>
            <w:tcW w:w="3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6"/>
                <w:szCs w:val="16"/>
                <w:color w:val="auto"/>
              </w:rPr>
              <w:t>Others</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2,250</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199</w:t>
            </w:r>
          </w:p>
        </w:tc>
      </w:tr>
      <w:tr>
        <w:trPr>
          <w:trHeight w:val="177"/>
        </w:trPr>
        <w:tc>
          <w:tcPr>
            <w:tcW w:w="320" w:type="dxa"/>
            <w:vAlign w:val="bottom"/>
          </w:tcPr>
          <w:p>
            <w:pPr>
              <w:spacing w:after="0"/>
              <w:rPr>
                <w:sz w:val="15"/>
                <w:szCs w:val="15"/>
                <w:color w:val="auto"/>
              </w:rPr>
            </w:pPr>
          </w:p>
        </w:tc>
        <w:tc>
          <w:tcPr>
            <w:tcW w:w="8260" w:type="dxa"/>
            <w:vAlign w:val="bottom"/>
          </w:tcPr>
          <w:p>
            <w:pPr>
              <w:ind w:left="260"/>
              <w:spacing w:after="0" w:line="173" w:lineRule="exact"/>
              <w:rPr>
                <w:sz w:val="20"/>
                <w:szCs w:val="20"/>
                <w:color w:val="auto"/>
              </w:rPr>
            </w:pPr>
            <w:r>
              <w:rPr>
                <w:rFonts w:ascii="Arial" w:cs="Arial" w:eastAsia="Arial" w:hAnsi="Arial"/>
                <w:sz w:val="16"/>
                <w:szCs w:val="16"/>
                <w:b w:val="1"/>
                <w:bCs w:val="1"/>
                <w:color w:val="auto"/>
              </w:rPr>
              <w:t>Total</w:t>
            </w: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274,606</w:t>
            </w:r>
          </w:p>
        </w:tc>
        <w:tc>
          <w:tcPr>
            <w:tcW w:w="20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230,660</w:t>
            </w:r>
          </w:p>
        </w:tc>
      </w:tr>
    </w:tbl>
    <w:p>
      <w:pPr>
        <w:spacing w:after="0" w:line="152" w:lineRule="exact"/>
        <w:rPr>
          <w:sz w:val="20"/>
          <w:szCs w:val="20"/>
          <w:color w:val="auto"/>
        </w:rPr>
      </w:pPr>
    </w:p>
    <w:p>
      <w:pPr>
        <w:ind w:left="863" w:right="600" w:hanging="284"/>
        <w:spacing w:after="0" w:line="274" w:lineRule="auto"/>
        <w:tabs>
          <w:tab w:leader="none" w:pos="863"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As of December 31, 2025, and 2024 the balance corresponds to dividends returned by the Central Securities and Settlements Registry of the Peruvian Market (Cavali S.A. I.C.L.V) for those minority shareholders whose bank account could not be credited.</w:t>
      </w:r>
    </w:p>
    <w:p>
      <w:pPr>
        <w:spacing w:after="0" w:line="279" w:lineRule="exact"/>
        <w:rPr>
          <w:rFonts w:ascii="Arial" w:cs="Arial" w:eastAsia="Arial" w:hAnsi="Arial"/>
          <w:sz w:val="16"/>
          <w:szCs w:val="16"/>
          <w:color w:val="auto"/>
        </w:rPr>
      </w:pPr>
    </w:p>
    <w:p>
      <w:pPr>
        <w:ind w:left="5523" w:hanging="104"/>
        <w:spacing w:after="0"/>
        <w:tabs>
          <w:tab w:leader="none" w:pos="5523" w:val="left"/>
        </w:tabs>
        <w:numPr>
          <w:ilvl w:val="1"/>
          <w:numId w:val="229"/>
        </w:numPr>
        <w:rPr>
          <w:rFonts w:ascii="Arial" w:cs="Arial" w:eastAsia="Arial" w:hAnsi="Arial"/>
          <w:sz w:val="16"/>
          <w:szCs w:val="16"/>
          <w:color w:val="auto"/>
        </w:rPr>
      </w:pPr>
      <w:r>
        <w:rPr>
          <w:rFonts w:ascii="Arial" w:cs="Arial" w:eastAsia="Arial" w:hAnsi="Arial"/>
          <w:sz w:val="16"/>
          <w:szCs w:val="16"/>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3"/>
          </w:cols>
          <w:pgMar w:left="317" w:top="316" w:right="359" w:bottom="1440" w:gutter="0" w:footer="0" w:header="0"/>
        </w:sectPr>
      </w:pPr>
    </w:p>
    <w:bookmarkStart w:id="219" w:name="page220"/>
    <w:bookmarkEnd w:id="219"/>
    <w:p>
      <w:pPr>
        <w:ind w:left="583" w:hanging="583"/>
        <w:spacing w:after="0"/>
        <w:tabs>
          <w:tab w:leader="none" w:pos="583"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230"/>
        </w:numPr>
        <w:rPr>
          <w:rFonts w:ascii="Arial" w:cs="Arial" w:eastAsia="Arial" w:hAnsi="Arial"/>
          <w:sz w:val="16"/>
          <w:szCs w:val="16"/>
          <w:color w:val="auto"/>
        </w:rPr>
      </w:pPr>
      <w:r>
        <w:rPr>
          <w:rFonts w:ascii="Arial" w:cs="Arial" w:eastAsia="Arial" w:hAnsi="Arial"/>
          <w:sz w:val="16"/>
          <w:szCs w:val="16"/>
          <w:color w:val="auto"/>
        </w:rPr>
        <w:t>Capital stock -</w:t>
      </w:r>
    </w:p>
    <w:p>
      <w:pPr>
        <w:spacing w:after="0" w:line="189"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As of December 31, 2025 and 2024 a total of 94,382,317 shares have been issued at US$5.0 per share.</w:t>
      </w:r>
    </w:p>
    <w:p>
      <w:pPr>
        <w:spacing w:after="0" w:line="177" w:lineRule="exact"/>
        <w:rPr>
          <w:rFonts w:ascii="Arial" w:cs="Arial" w:eastAsia="Arial" w:hAnsi="Arial"/>
          <w:sz w:val="16"/>
          <w:szCs w:val="16"/>
          <w:color w:val="auto"/>
        </w:rPr>
      </w:pPr>
    </w:p>
    <w:p>
      <w:pPr>
        <w:ind w:left="863" w:hanging="284"/>
        <w:spacing w:after="0"/>
        <w:tabs>
          <w:tab w:leader="none" w:pos="863" w:val="left"/>
        </w:tabs>
        <w:numPr>
          <w:ilvl w:val="1"/>
          <w:numId w:val="230"/>
        </w:numPr>
        <w:rPr>
          <w:rFonts w:ascii="Arial" w:cs="Arial" w:eastAsia="Arial" w:hAnsi="Arial"/>
          <w:sz w:val="16"/>
          <w:szCs w:val="16"/>
          <w:color w:val="auto"/>
        </w:rPr>
      </w:pPr>
      <w:r>
        <w:rPr>
          <w:rFonts w:ascii="Arial" w:cs="Arial" w:eastAsia="Arial" w:hAnsi="Arial"/>
          <w:sz w:val="16"/>
          <w:szCs w:val="16"/>
          <w:color w:val="auto"/>
        </w:rPr>
        <w:t>Reserves -</w:t>
      </w:r>
    </w:p>
    <w:p>
      <w:pPr>
        <w:spacing w:after="0" w:line="189" w:lineRule="exact"/>
        <w:rPr>
          <w:rFonts w:ascii="Arial" w:cs="Arial" w:eastAsia="Arial" w:hAnsi="Arial"/>
          <w:sz w:val="16"/>
          <w:szCs w:val="16"/>
          <w:color w:val="auto"/>
        </w:rPr>
      </w:pPr>
    </w:p>
    <w:p>
      <w:pPr>
        <w:ind w:left="863" w:right="180"/>
        <w:spacing w:after="0" w:line="255" w:lineRule="auto"/>
        <w:rPr>
          <w:rFonts w:ascii="Arial" w:cs="Arial" w:eastAsia="Arial" w:hAnsi="Arial"/>
          <w:sz w:val="16"/>
          <w:szCs w:val="16"/>
          <w:color w:val="auto"/>
        </w:rPr>
      </w:pPr>
      <w:r>
        <w:rPr>
          <w:rFonts w:ascii="Arial" w:cs="Arial" w:eastAsia="Arial" w:hAnsi="Arial"/>
          <w:sz w:val="16"/>
          <w:szCs w:val="16"/>
          <w:color w:val="auto"/>
        </w:rPr>
        <w:t>As of December 31, 2025 and 2024, the reserve balances amount to S/28,438.8 million and S/26,651.4 million, respectively. At Board meetings held on February 27, 2025 and April 25, 2024, the decision was made to transfer S/5,637.7 million and S/1,778.8 million, respectively, from “Retained Earnings” to “Reserves.”.</w:t>
      </w:r>
    </w:p>
    <w:p>
      <w:pPr>
        <w:spacing w:after="0" w:line="137" w:lineRule="exact"/>
        <w:rPr>
          <w:rFonts w:ascii="Arial" w:cs="Arial" w:eastAsia="Arial" w:hAnsi="Arial"/>
          <w:sz w:val="16"/>
          <w:szCs w:val="16"/>
          <w:color w:val="auto"/>
        </w:rPr>
      </w:pPr>
    </w:p>
    <w:p>
      <w:pPr>
        <w:ind w:left="863" w:hanging="284"/>
        <w:spacing w:after="0"/>
        <w:tabs>
          <w:tab w:leader="none" w:pos="863" w:val="left"/>
        </w:tabs>
        <w:numPr>
          <w:ilvl w:val="1"/>
          <w:numId w:val="230"/>
        </w:numPr>
        <w:rPr>
          <w:rFonts w:ascii="Arial" w:cs="Arial" w:eastAsia="Arial" w:hAnsi="Arial"/>
          <w:sz w:val="16"/>
          <w:szCs w:val="16"/>
          <w:color w:val="auto"/>
        </w:rPr>
      </w:pPr>
      <w:r>
        <w:rPr>
          <w:rFonts w:ascii="Arial" w:cs="Arial" w:eastAsia="Arial" w:hAnsi="Arial"/>
          <w:sz w:val="16"/>
          <w:szCs w:val="16"/>
          <w:color w:val="auto"/>
        </w:rPr>
        <w:t>Dividend distribution -</w:t>
      </w:r>
    </w:p>
    <w:p>
      <w:pPr>
        <w:spacing w:after="0" w:line="189"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The chart below shows the distribution of dividends agreed by the Board of Directors:</w:t>
      </w:r>
    </w:p>
    <w:p>
      <w:pPr>
        <w:spacing w:after="0" w:line="190" w:lineRule="exact"/>
        <w:rPr>
          <w:sz w:val="20"/>
          <w:szCs w:val="20"/>
          <w:color w:val="auto"/>
        </w:rPr>
      </w:pPr>
    </w:p>
    <w:tbl>
      <w:tblPr>
        <w:tblLayout w:type="fixed"/>
        <w:tblInd w:w="863"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3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2024</w:t>
            </w:r>
          </w:p>
        </w:tc>
      </w:tr>
      <w:tr>
        <w:trPr>
          <w:trHeight w:val="337"/>
        </w:trPr>
        <w:tc>
          <w:tcPr>
            <w:tcW w:w="5820" w:type="dxa"/>
            <w:vAlign w:val="bottom"/>
          </w:tcPr>
          <w:p>
            <w:pPr>
              <w:spacing w:after="0"/>
              <w:rPr>
                <w:sz w:val="20"/>
                <w:szCs w:val="20"/>
                <w:color w:val="auto"/>
              </w:rPr>
            </w:pPr>
            <w:r>
              <w:rPr>
                <w:rFonts w:ascii="Arial" w:cs="Arial" w:eastAsia="Arial" w:hAnsi="Arial"/>
                <w:sz w:val="16"/>
                <w:szCs w:val="16"/>
                <w:color w:val="auto"/>
              </w:rPr>
              <w:t>Date of Meeting - Board of Directors</w:t>
            </w:r>
          </w:p>
        </w:tc>
        <w:tc>
          <w:tcPr>
            <w:tcW w:w="220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24.04.2025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25.04.2024</w:t>
            </w:r>
          </w:p>
        </w:tc>
      </w:tr>
      <w:tr>
        <w:trPr>
          <w:trHeight w:val="181"/>
        </w:trPr>
        <w:tc>
          <w:tcPr>
            <w:tcW w:w="5820" w:type="dxa"/>
            <w:vAlign w:val="bottom"/>
          </w:tcPr>
          <w:p>
            <w:pPr>
              <w:spacing w:after="0" w:line="181" w:lineRule="exact"/>
              <w:rPr>
                <w:sz w:val="20"/>
                <w:szCs w:val="20"/>
                <w:color w:val="auto"/>
              </w:rPr>
            </w:pPr>
            <w:r>
              <w:rPr>
                <w:rFonts w:ascii="Arial" w:cs="Arial" w:eastAsia="Arial" w:hAnsi="Arial"/>
                <w:sz w:val="16"/>
                <w:szCs w:val="16"/>
                <w:color w:val="auto"/>
              </w:rPr>
              <w:t>Dividends distribution (thousands of Soles)</w:t>
            </w:r>
          </w:p>
        </w:tc>
        <w:tc>
          <w:tcPr>
            <w:tcW w:w="32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3,775,293</w:t>
            </w: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3,303,381</w:t>
            </w:r>
          </w:p>
        </w:tc>
      </w:tr>
      <w:tr>
        <w:trPr>
          <w:trHeight w:val="181"/>
        </w:trPr>
        <w:tc>
          <w:tcPr>
            <w:tcW w:w="5820" w:type="dxa"/>
            <w:vAlign w:val="bottom"/>
          </w:tcPr>
          <w:p>
            <w:pPr>
              <w:spacing w:after="0" w:line="181" w:lineRule="exact"/>
              <w:rPr>
                <w:sz w:val="20"/>
                <w:szCs w:val="20"/>
                <w:color w:val="auto"/>
              </w:rPr>
            </w:pPr>
            <w:r>
              <w:rPr>
                <w:rFonts w:ascii="Arial" w:cs="Arial" w:eastAsia="Arial" w:hAnsi="Arial"/>
                <w:sz w:val="16"/>
                <w:szCs w:val="16"/>
                <w:color w:val="auto"/>
              </w:rPr>
              <w:t>Payment of dividends per share (in Soles)</w:t>
            </w:r>
          </w:p>
        </w:tc>
        <w:tc>
          <w:tcPr>
            <w:tcW w:w="31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40.0</w:t>
            </w:r>
          </w:p>
        </w:tc>
        <w:tc>
          <w:tcPr>
            <w:tcW w:w="80" w:type="dxa"/>
            <w:vAlign w:val="bottom"/>
          </w:tcPr>
          <w:p>
            <w:pPr>
              <w:spacing w:after="0"/>
              <w:rPr>
                <w:sz w:val="15"/>
                <w:szCs w:val="15"/>
                <w:color w:val="auto"/>
              </w:rPr>
            </w:pP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35.0</w:t>
            </w:r>
          </w:p>
        </w:tc>
      </w:tr>
      <w:tr>
        <w:trPr>
          <w:trHeight w:val="181"/>
        </w:trPr>
        <w:tc>
          <w:tcPr>
            <w:tcW w:w="5820" w:type="dxa"/>
            <w:vAlign w:val="bottom"/>
          </w:tcPr>
          <w:p>
            <w:pPr>
              <w:spacing w:after="0" w:line="181" w:lineRule="exact"/>
              <w:rPr>
                <w:sz w:val="20"/>
                <w:szCs w:val="20"/>
                <w:color w:val="auto"/>
              </w:rPr>
            </w:pPr>
            <w:r>
              <w:rPr>
                <w:rFonts w:ascii="Arial" w:cs="Arial" w:eastAsia="Arial" w:hAnsi="Arial"/>
                <w:sz w:val="16"/>
                <w:szCs w:val="16"/>
                <w:color w:val="auto"/>
              </w:rPr>
              <w:t>Date of dividends payout</w:t>
            </w:r>
          </w:p>
        </w:tc>
        <w:tc>
          <w:tcPr>
            <w:tcW w:w="31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13.06.2025</w:t>
            </w:r>
          </w:p>
        </w:tc>
        <w:tc>
          <w:tcPr>
            <w:tcW w:w="80" w:type="dxa"/>
            <w:vAlign w:val="bottom"/>
          </w:tcPr>
          <w:p>
            <w:pPr>
              <w:spacing w:after="0"/>
              <w:rPr>
                <w:sz w:val="15"/>
                <w:szCs w:val="15"/>
                <w:color w:val="auto"/>
              </w:rPr>
            </w:pP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14.06.2024</w:t>
            </w:r>
          </w:p>
        </w:tc>
      </w:tr>
      <w:tr>
        <w:trPr>
          <w:trHeight w:val="181"/>
        </w:trPr>
        <w:tc>
          <w:tcPr>
            <w:tcW w:w="5820" w:type="dxa"/>
            <w:vAlign w:val="bottom"/>
          </w:tcPr>
          <w:p>
            <w:pPr>
              <w:spacing w:after="0" w:line="181" w:lineRule="exact"/>
              <w:rPr>
                <w:sz w:val="20"/>
                <w:szCs w:val="20"/>
                <w:color w:val="auto"/>
              </w:rPr>
            </w:pPr>
            <w:r>
              <w:rPr>
                <w:rFonts w:ascii="Arial" w:cs="Arial" w:eastAsia="Arial" w:hAnsi="Arial"/>
                <w:sz w:val="16"/>
                <w:szCs w:val="16"/>
                <w:color w:val="auto"/>
              </w:rPr>
              <w:t>Exchange fixing rate published by the SBS</w:t>
            </w:r>
          </w:p>
        </w:tc>
        <w:tc>
          <w:tcPr>
            <w:tcW w:w="32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3.6327</w:t>
            </w:r>
          </w:p>
        </w:tc>
        <w:tc>
          <w:tcPr>
            <w:tcW w:w="10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3.7685</w:t>
            </w:r>
          </w:p>
        </w:tc>
      </w:tr>
      <w:tr>
        <w:trPr>
          <w:trHeight w:val="214"/>
        </w:trPr>
        <w:tc>
          <w:tcPr>
            <w:tcW w:w="5820" w:type="dxa"/>
            <w:vAlign w:val="bottom"/>
          </w:tcPr>
          <w:p>
            <w:pPr>
              <w:spacing w:after="0"/>
              <w:rPr>
                <w:sz w:val="20"/>
                <w:szCs w:val="20"/>
                <w:color w:val="auto"/>
              </w:rPr>
            </w:pPr>
            <w:r>
              <w:rPr>
                <w:rFonts w:ascii="Arial" w:cs="Arial" w:eastAsia="Arial" w:hAnsi="Arial"/>
                <w:sz w:val="16"/>
                <w:szCs w:val="16"/>
                <w:color w:val="auto"/>
              </w:rPr>
              <w:t>Dividends payout (equivalent in thousands of US$)</w:t>
            </w:r>
          </w:p>
        </w:tc>
        <w:tc>
          <w:tcPr>
            <w:tcW w:w="3200" w:type="dxa"/>
            <w:vAlign w:val="bottom"/>
            <w:gridSpan w:val="3"/>
          </w:tcPr>
          <w:p>
            <w:pPr>
              <w:jc w:val="right"/>
              <w:ind w:right="80"/>
              <w:spacing w:after="0"/>
              <w:rPr>
                <w:sz w:val="20"/>
                <w:szCs w:val="20"/>
                <w:color w:val="auto"/>
              </w:rPr>
            </w:pPr>
            <w:r>
              <w:rPr>
                <w:rFonts w:ascii="Arial" w:cs="Arial" w:eastAsia="Arial" w:hAnsi="Arial"/>
                <w:sz w:val="16"/>
                <w:szCs w:val="16"/>
                <w:color w:val="auto"/>
              </w:rPr>
              <w:t>1,039,253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876,576</w:t>
            </w:r>
          </w:p>
        </w:tc>
      </w:tr>
    </w:tbl>
    <w:p>
      <w:pPr>
        <w:spacing w:after="0" w:line="160" w:lineRule="exact"/>
        <w:rPr>
          <w:sz w:val="20"/>
          <w:szCs w:val="20"/>
          <w:color w:val="auto"/>
        </w:rPr>
      </w:pPr>
    </w:p>
    <w:p>
      <w:pPr>
        <w:ind w:left="863" w:right="60"/>
        <w:spacing w:after="0" w:line="274" w:lineRule="auto"/>
        <w:rPr>
          <w:sz w:val="20"/>
          <w:szCs w:val="20"/>
          <w:color w:val="auto"/>
        </w:rPr>
      </w:pPr>
      <w:r>
        <w:rPr>
          <w:rFonts w:ascii="Arial" w:cs="Arial" w:eastAsia="Arial" w:hAnsi="Arial"/>
          <w:sz w:val="16"/>
          <w:szCs w:val="16"/>
          <w:color w:val="auto"/>
        </w:rPr>
        <w:t>In the Board of Directors meeting held on August 29, 2024, an additional dividend payment was approved, net of the effect of treasury shares, for approximately S/1,038.2 million charged to reserves. These dividends were paid on October 18, 2024.</w:t>
      </w:r>
    </w:p>
    <w:p>
      <w:pPr>
        <w:spacing w:after="0" w:line="123" w:lineRule="exact"/>
        <w:rPr>
          <w:sz w:val="20"/>
          <w:szCs w:val="20"/>
          <w:color w:val="auto"/>
        </w:rPr>
      </w:pPr>
    </w:p>
    <w:p>
      <w:pPr>
        <w:ind w:left="583" w:hanging="583"/>
        <w:spacing w:after="0"/>
        <w:tabs>
          <w:tab w:leader="none" w:pos="583"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TAX SITUATION</w:t>
      </w:r>
    </w:p>
    <w:p>
      <w:pPr>
        <w:spacing w:after="0" w:line="177" w:lineRule="exact"/>
        <w:rPr>
          <w:rFonts w:ascii="Arial" w:cs="Arial" w:eastAsia="Arial" w:hAnsi="Arial"/>
          <w:sz w:val="16"/>
          <w:szCs w:val="16"/>
          <w:b w:val="1"/>
          <w:bCs w:val="1"/>
          <w:color w:val="auto"/>
        </w:rPr>
      </w:pPr>
    </w:p>
    <w:p>
      <w:pPr>
        <w:ind w:left="583" w:right="4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As of January 1, 2025, the Government of Bermuda enacted the “Corporate Income Tax Act 2023,” which introduces a 15.0 percent corporate tax applicable to entities that are part of multinational groups with consolidated revenues equal to or greater than EUR 750 million. Credicorp Ltd. and its subsidiaries domiciled in Bermuda fall within the scope of this regime. As of December 31, 2025, Management has assessed the effect of this tax and concluded that it is not material to the separate financial statements.</w:t>
      </w:r>
    </w:p>
    <w:p>
      <w:pPr>
        <w:spacing w:after="0" w:line="144" w:lineRule="exact"/>
        <w:rPr>
          <w:rFonts w:ascii="Arial" w:cs="Arial" w:eastAsia="Arial" w:hAnsi="Arial"/>
          <w:sz w:val="16"/>
          <w:szCs w:val="16"/>
          <w:b w:val="1"/>
          <w:bCs w:val="1"/>
          <w:color w:val="auto"/>
        </w:rPr>
      </w:pPr>
    </w:p>
    <w:p>
      <w:pPr>
        <w:ind w:left="583"/>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In accordance with current Peruvian legislation, there is no restriction for overseas remittance of dividends or the repatriation of foreign investment. As of December 31, 2025 and 2024, dividends paid by the Peruvian subsidiaries to Credicorp are subject to a 5.00 percent withholding tax. As of December 31, 2025, the expense for provision income tax for withholding dividends of the company amounts to S/215.9 million (S/146.7 million as of December 31, 2024).</w:t>
      </w:r>
    </w:p>
    <w:p>
      <w:pPr>
        <w:spacing w:after="0" w:line="301" w:lineRule="exact"/>
        <w:rPr>
          <w:rFonts w:ascii="Arial" w:cs="Arial" w:eastAsia="Arial" w:hAnsi="Arial"/>
          <w:sz w:val="16"/>
          <w:szCs w:val="16"/>
          <w:b w:val="1"/>
          <w:bCs w:val="1"/>
          <w:color w:val="auto"/>
        </w:rPr>
      </w:pPr>
    </w:p>
    <w:p>
      <w:pPr>
        <w:ind w:left="5523" w:hanging="104"/>
        <w:spacing w:after="0"/>
        <w:tabs>
          <w:tab w:leader="none" w:pos="5523" w:val="left"/>
        </w:tabs>
        <w:numPr>
          <w:ilvl w:val="1"/>
          <w:numId w:val="231"/>
        </w:numPr>
        <w:rPr>
          <w:rFonts w:ascii="Arial" w:cs="Arial" w:eastAsia="Arial" w:hAnsi="Arial"/>
          <w:sz w:val="16"/>
          <w:szCs w:val="16"/>
          <w:color w:val="auto"/>
        </w:rPr>
      </w:pPr>
      <w:r>
        <w:rPr>
          <w:rFonts w:ascii="Arial" w:cs="Arial" w:eastAsia="Arial" w:hAnsi="Arial"/>
          <w:sz w:val="16"/>
          <w:szCs w:val="16"/>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3"/>
          </w:cols>
          <w:pgMar w:left="317" w:top="292" w:right="359" w:bottom="1440" w:gutter="0" w:footer="0" w:header="0"/>
        </w:sectPr>
      </w:pPr>
    </w:p>
    <w:bookmarkStart w:id="220" w:name="page221"/>
    <w:bookmarkEnd w:id="220"/>
    <w:p>
      <w:pPr>
        <w:ind w:left="583" w:hanging="583"/>
        <w:spacing w:after="0"/>
        <w:tabs>
          <w:tab w:leader="none" w:pos="583" w:val="left"/>
        </w:tabs>
        <w:numPr>
          <w:ilvl w:val="0"/>
          <w:numId w:val="232"/>
        </w:numPr>
        <w:rPr>
          <w:rFonts w:ascii="Arial" w:cs="Arial" w:eastAsia="Arial" w:hAnsi="Arial"/>
          <w:sz w:val="14"/>
          <w:szCs w:val="14"/>
          <w:b w:val="1"/>
          <w:bCs w:val="1"/>
          <w:color w:val="auto"/>
        </w:rPr>
      </w:pPr>
      <w:r>
        <w:rPr>
          <w:rFonts w:ascii="Arial" w:cs="Arial" w:eastAsia="Arial" w:hAnsi="Arial"/>
          <w:sz w:val="14"/>
          <w:szCs w:val="14"/>
          <w:b w:val="1"/>
          <w:bCs w:val="1"/>
          <w:color w:val="auto"/>
        </w:rPr>
        <w:t>TRANSACTIONS WITH RELATED PARTIES</w:t>
      </w:r>
    </w:p>
    <w:p>
      <w:pPr>
        <w:spacing w:after="0" w:line="184" w:lineRule="exact"/>
        <w:rPr>
          <w:rFonts w:ascii="Arial" w:cs="Arial" w:eastAsia="Arial" w:hAnsi="Arial"/>
          <w:sz w:val="14"/>
          <w:szCs w:val="14"/>
          <w:b w:val="1"/>
          <w:bCs w:val="1"/>
          <w:color w:val="auto"/>
        </w:rPr>
      </w:pPr>
    </w:p>
    <w:p>
      <w:pPr>
        <w:ind w:left="863" w:hanging="284"/>
        <w:spacing w:after="0"/>
        <w:tabs>
          <w:tab w:leader="none" w:pos="863"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The following table shows the main transactions with related parties as of December 31, 2025 and 2024:</w:t>
      </w:r>
    </w:p>
    <w:p>
      <w:pPr>
        <w:spacing w:after="0" w:line="202" w:lineRule="exact"/>
        <w:rPr>
          <w:sz w:val="20"/>
          <w:szCs w:val="20"/>
          <w:color w:val="auto"/>
        </w:rPr>
      </w:pPr>
    </w:p>
    <w:tbl>
      <w:tblPr>
        <w:tblLayout w:type="fixed"/>
        <w:tblInd w:w="863" w:type="dxa"/>
        <w:tblCellMar>
          <w:top w:w="0" w:type="dxa"/>
          <w:left w:w="0" w:type="dxa"/>
          <w:bottom w:w="0" w:type="dxa"/>
          <w:right w:w="0" w:type="dxa"/>
        </w:tblCellMar>
      </w:tblPr>
      <w:tr>
        <w:trPr>
          <w:trHeight w:val="198"/>
        </w:trPr>
        <w:tc>
          <w:tcPr>
            <w:tcW w:w="7000" w:type="dxa"/>
            <w:vAlign w:val="bottom"/>
          </w:tcPr>
          <w:p>
            <w:pPr>
              <w:spacing w:after="0"/>
              <w:rPr>
                <w:sz w:val="17"/>
                <w:szCs w:val="17"/>
                <w:color w:val="auto"/>
              </w:rPr>
            </w:pPr>
          </w:p>
        </w:tc>
        <w:tc>
          <w:tcPr>
            <w:tcW w:w="1020" w:type="dxa"/>
            <w:vAlign w:val="bottom"/>
            <w:gridSpan w:val="2"/>
          </w:tcPr>
          <w:p>
            <w:pPr>
              <w:ind w:left="240"/>
              <w:spacing w:after="0"/>
              <w:rPr>
                <w:sz w:val="20"/>
                <w:szCs w:val="20"/>
                <w:color w:val="auto"/>
              </w:rPr>
            </w:pPr>
            <w:r>
              <w:rPr>
                <w:rFonts w:ascii="Arial" w:cs="Arial" w:eastAsia="Arial" w:hAnsi="Arial"/>
                <w:sz w:val="16"/>
                <w:szCs w:val="16"/>
                <w:b w:val="1"/>
                <w:bCs w:val="1"/>
                <w:color w:val="auto"/>
              </w:rPr>
              <w:t>Note</w:t>
            </w:r>
          </w:p>
        </w:tc>
        <w:tc>
          <w:tcPr>
            <w:tcW w:w="920" w:type="dxa"/>
            <w:vAlign w:val="bottom"/>
          </w:tcPr>
          <w:p>
            <w:pPr>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00" w:type="dxa"/>
            <w:vAlign w:val="bottom"/>
            <w:vMerge w:val="restart"/>
          </w:tcPr>
          <w:p>
            <w:pPr>
              <w:spacing w:after="0"/>
              <w:rPr>
                <w:sz w:val="20"/>
                <w:szCs w:val="20"/>
                <w:color w:val="auto"/>
              </w:rPr>
            </w:pPr>
            <w:r>
              <w:rPr>
                <w:rFonts w:ascii="Arial" w:cs="Arial" w:eastAsia="Arial" w:hAnsi="Arial"/>
                <w:sz w:val="16"/>
                <w:szCs w:val="16"/>
                <w:b w:val="1"/>
                <w:bCs w:val="1"/>
                <w:color w:val="auto"/>
              </w:rPr>
              <w:t>Statement of financial position -</w:t>
            </w: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70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line="181" w:lineRule="exact"/>
              <w:rPr>
                <w:sz w:val="20"/>
                <w:szCs w:val="20"/>
                <w:color w:val="auto"/>
              </w:rPr>
            </w:pPr>
            <w:r>
              <w:rPr>
                <w:rFonts w:ascii="Arial" w:cs="Arial" w:eastAsia="Arial" w:hAnsi="Arial"/>
                <w:sz w:val="16"/>
                <w:szCs w:val="16"/>
                <w:color w:val="auto"/>
              </w:rPr>
              <w:t>Cash and cash equivalents (i)</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line="181" w:lineRule="exact"/>
              <w:rPr>
                <w:sz w:val="20"/>
                <w:szCs w:val="20"/>
                <w:color w:val="auto"/>
              </w:rPr>
            </w:pPr>
            <w:r>
              <w:rPr>
                <w:rFonts w:ascii="Arial" w:cs="Arial" w:eastAsia="Arial" w:hAnsi="Arial"/>
                <w:sz w:val="16"/>
                <w:szCs w:val="16"/>
                <w:color w:val="auto"/>
              </w:rPr>
              <w:t>Banco de Crédito del Perú</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318,515</w:t>
            </w:r>
          </w:p>
        </w:tc>
        <w:tc>
          <w:tcPr>
            <w:tcW w:w="9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395,870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6"/>
                <w:szCs w:val="16"/>
                <w:color w:val="auto"/>
              </w:rPr>
              <w:t>ASB Bank Corp.</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2,394</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4,073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820" w:type="dxa"/>
            <w:vAlign w:val="bottom"/>
          </w:tcPr>
          <w:p>
            <w:pPr>
              <w:jc w:val="right"/>
              <w:ind w:right="220"/>
              <w:spacing w:after="0" w:line="173"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9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320,909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399,943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000" w:type="dxa"/>
            <w:vAlign w:val="bottom"/>
          </w:tcPr>
          <w:p>
            <w:pPr>
              <w:spacing w:after="0"/>
              <w:rPr>
                <w:sz w:val="20"/>
                <w:szCs w:val="20"/>
                <w:color w:val="auto"/>
              </w:rPr>
            </w:pPr>
            <w:r>
              <w:rPr>
                <w:rFonts w:ascii="Arial" w:cs="Arial" w:eastAsia="Arial" w:hAnsi="Arial"/>
                <w:sz w:val="16"/>
                <w:szCs w:val="16"/>
                <w:b w:val="1"/>
                <w:bCs w:val="1"/>
                <w:color w:val="auto"/>
              </w:rPr>
              <w:t>Investments at fair value through other comprehensive income -</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line="181" w:lineRule="exact"/>
              <w:rPr>
                <w:sz w:val="20"/>
                <w:szCs w:val="20"/>
                <w:color w:val="auto"/>
              </w:rPr>
            </w:pPr>
            <w:r>
              <w:rPr>
                <w:rFonts w:ascii="Arial" w:cs="Arial" w:eastAsia="Arial" w:hAnsi="Arial"/>
                <w:sz w:val="16"/>
                <w:szCs w:val="16"/>
                <w:b w:val="1"/>
                <w:bCs w:val="1"/>
                <w:color w:val="auto"/>
              </w:rPr>
              <w:t>Debt instruments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line="181" w:lineRule="exact"/>
              <w:rPr>
                <w:sz w:val="20"/>
                <w:szCs w:val="20"/>
                <w:color w:val="auto"/>
              </w:rPr>
            </w:pPr>
            <w:r>
              <w:rPr>
                <w:rFonts w:ascii="Arial" w:cs="Arial" w:eastAsia="Arial" w:hAnsi="Arial"/>
                <w:sz w:val="16"/>
                <w:szCs w:val="16"/>
                <w:color w:val="auto"/>
              </w:rPr>
              <w:t>Pacífico Compañía de Seguros y Reaseguros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14,959</w:t>
            </w:r>
          </w:p>
        </w:tc>
        <w:tc>
          <w:tcPr>
            <w:tcW w:w="94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auto"/>
              </w:rPr>
              <w:t>15,012</w:t>
            </w:r>
          </w:p>
        </w:tc>
        <w:tc>
          <w:tcPr>
            <w:tcW w:w="0" w:type="dxa"/>
            <w:vAlign w:val="bottom"/>
          </w:tcPr>
          <w:p>
            <w:pPr>
              <w:spacing w:after="0"/>
              <w:rPr>
                <w:sz w:val="1"/>
                <w:szCs w:val="1"/>
                <w:color w:val="auto"/>
              </w:rPr>
            </w:pPr>
          </w:p>
        </w:tc>
      </w:tr>
      <w:tr>
        <w:trPr>
          <w:trHeight w:val="214"/>
        </w:trPr>
        <w:tc>
          <w:tcPr>
            <w:tcW w:w="7000" w:type="dxa"/>
            <w:vAlign w:val="bottom"/>
          </w:tcPr>
          <w:p>
            <w:pPr>
              <w:spacing w:after="0"/>
              <w:rPr>
                <w:sz w:val="20"/>
                <w:szCs w:val="20"/>
                <w:color w:val="auto"/>
              </w:rPr>
            </w:pPr>
            <w:r>
              <w:rPr>
                <w:rFonts w:ascii="Arial" w:cs="Arial" w:eastAsia="Arial" w:hAnsi="Arial"/>
                <w:sz w:val="16"/>
                <w:szCs w:val="16"/>
                <w:color w:val="auto"/>
              </w:rPr>
              <w:t>Mibanco- Banco de la Microempresa S.A.</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8,831</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8,554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000" w:type="dxa"/>
            <w:vAlign w:val="bottom"/>
          </w:tcPr>
          <w:p>
            <w:pPr>
              <w:spacing w:after="0"/>
              <w:rPr>
                <w:sz w:val="20"/>
                <w:szCs w:val="20"/>
                <w:color w:val="auto"/>
              </w:rPr>
            </w:pPr>
            <w:r>
              <w:rPr>
                <w:rFonts w:ascii="Arial" w:cs="Arial" w:eastAsia="Arial" w:hAnsi="Arial"/>
                <w:sz w:val="16"/>
                <w:szCs w:val="16"/>
                <w:b w:val="1"/>
                <w:bCs w:val="1"/>
                <w:color w:val="auto"/>
              </w:rPr>
              <w:t>Equity instruments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6"/>
                <w:szCs w:val="16"/>
                <w:color w:val="auto"/>
              </w:rPr>
              <w:t>Inversiones Centenario S.A.A. (*)</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77,894</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104,160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101,684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127,726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7000" w:type="dxa"/>
            <w:vAlign w:val="bottom"/>
          </w:tcPr>
          <w:p>
            <w:pPr>
              <w:spacing w:after="0"/>
              <w:rPr>
                <w:sz w:val="20"/>
                <w:szCs w:val="20"/>
                <w:color w:val="auto"/>
              </w:rPr>
            </w:pPr>
            <w:r>
              <w:rPr>
                <w:rFonts w:ascii="Arial" w:cs="Arial" w:eastAsia="Arial" w:hAnsi="Arial"/>
                <w:sz w:val="16"/>
                <w:szCs w:val="16"/>
                <w:b w:val="1"/>
                <w:bCs w:val="1"/>
                <w:color w:val="auto"/>
              </w:rPr>
              <w:t>Investments measured at amortized cost-</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695,652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000" w:type="dxa"/>
            <w:vAlign w:val="bottom"/>
          </w:tcPr>
          <w:p>
            <w:pPr>
              <w:spacing w:after="0"/>
              <w:rPr>
                <w:sz w:val="20"/>
                <w:szCs w:val="20"/>
                <w:color w:val="auto"/>
              </w:rPr>
            </w:pPr>
            <w:r>
              <w:rPr>
                <w:rFonts w:ascii="Arial" w:cs="Arial" w:eastAsia="Arial" w:hAnsi="Arial"/>
                <w:sz w:val="16"/>
                <w:szCs w:val="16"/>
                <w:b w:val="1"/>
                <w:bCs w:val="1"/>
                <w:color w:val="auto"/>
              </w:rPr>
              <w:t>Bonds and notes issued -</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line="181" w:lineRule="exact"/>
              <w:rPr>
                <w:sz w:val="20"/>
                <w:szCs w:val="20"/>
                <w:color w:val="auto"/>
              </w:rPr>
            </w:pPr>
            <w:r>
              <w:rPr>
                <w:rFonts w:ascii="Arial" w:cs="Arial" w:eastAsia="Arial" w:hAnsi="Arial"/>
                <w:sz w:val="16"/>
                <w:szCs w:val="16"/>
                <w:color w:val="auto"/>
              </w:rPr>
              <w:t>Banco de Crédito del Perú</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auto"/>
              </w:rPr>
              <w:t>66,284</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6"/>
                <w:szCs w:val="16"/>
                <w:color w:val="auto"/>
              </w:rPr>
              <w:t>ASB Bank Corp.</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40"/>
              <w:spacing w:after="0"/>
              <w:rPr>
                <w:sz w:val="20"/>
                <w:szCs w:val="20"/>
                <w:color w:val="auto"/>
              </w:rPr>
            </w:pPr>
            <w:r>
              <w:rPr>
                <w:rFonts w:ascii="Arial" w:cs="Arial" w:eastAsia="Arial" w:hAnsi="Arial"/>
                <w:sz w:val="16"/>
                <w:szCs w:val="16"/>
                <w:color w:val="auto"/>
              </w:rPr>
              <w:t>29,969</w:t>
            </w:r>
          </w:p>
        </w:tc>
        <w:tc>
          <w:tcPr>
            <w:tcW w:w="0" w:type="dxa"/>
            <w:vAlign w:val="bottom"/>
          </w:tcPr>
          <w:p>
            <w:pPr>
              <w:spacing w:after="0"/>
              <w:rPr>
                <w:sz w:val="1"/>
                <w:szCs w:val="1"/>
                <w:color w:val="auto"/>
              </w:rPr>
            </w:pPr>
          </w:p>
        </w:tc>
      </w:tr>
      <w:tr>
        <w:trPr>
          <w:trHeight w:val="177"/>
        </w:trPr>
        <w:tc>
          <w:tcPr>
            <w:tcW w:w="700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gridSpan w:val="3"/>
          </w:tcPr>
          <w:p>
            <w:pPr>
              <w:jc w:val="right"/>
              <w:ind w:right="40"/>
              <w:spacing w:after="0" w:line="173" w:lineRule="exact"/>
              <w:rPr>
                <w:sz w:val="20"/>
                <w:szCs w:val="20"/>
                <w:color w:val="auto"/>
              </w:rPr>
            </w:pPr>
            <w:r>
              <w:rPr>
                <w:rFonts w:ascii="Arial" w:cs="Arial" w:eastAsia="Arial" w:hAnsi="Arial"/>
                <w:sz w:val="16"/>
                <w:szCs w:val="16"/>
                <w:color w:val="auto"/>
              </w:rPr>
              <w:t>96,253</w:t>
            </w:r>
          </w:p>
        </w:tc>
        <w:tc>
          <w:tcPr>
            <w:tcW w:w="0" w:type="dxa"/>
            <w:vAlign w:val="bottom"/>
          </w:tcPr>
          <w:p>
            <w:pPr>
              <w:spacing w:after="0"/>
              <w:rPr>
                <w:sz w:val="1"/>
                <w:szCs w:val="1"/>
                <w:color w:val="auto"/>
              </w:rPr>
            </w:pPr>
          </w:p>
        </w:tc>
      </w:tr>
      <w:tr>
        <w:trPr>
          <w:trHeight w:val="345"/>
        </w:trPr>
        <w:tc>
          <w:tcPr>
            <w:tcW w:w="7000" w:type="dxa"/>
            <w:vAlign w:val="bottom"/>
          </w:tcPr>
          <w:p>
            <w:pPr>
              <w:spacing w:after="0"/>
              <w:rPr>
                <w:sz w:val="20"/>
                <w:szCs w:val="20"/>
                <w:color w:val="auto"/>
              </w:rPr>
            </w:pPr>
            <w:r>
              <w:rPr>
                <w:rFonts w:ascii="Arial" w:cs="Arial" w:eastAsia="Arial" w:hAnsi="Arial"/>
                <w:sz w:val="16"/>
                <w:szCs w:val="16"/>
                <w:b w:val="1"/>
                <w:bCs w:val="1"/>
                <w:color w:val="auto"/>
              </w:rPr>
              <w:t>Payables to related parties -</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line="181" w:lineRule="exact"/>
              <w:rPr>
                <w:sz w:val="20"/>
                <w:szCs w:val="20"/>
                <w:color w:val="auto"/>
              </w:rPr>
            </w:pPr>
            <w:r>
              <w:rPr>
                <w:rFonts w:ascii="Arial" w:cs="Arial" w:eastAsia="Arial" w:hAnsi="Arial"/>
                <w:sz w:val="16"/>
                <w:szCs w:val="16"/>
                <w:color w:val="auto"/>
              </w:rPr>
              <w:t>Banco de Crédito del Perú</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40"/>
              <w:spacing w:after="0" w:line="181"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6"/>
                <w:szCs w:val="16"/>
                <w:color w:val="auto"/>
              </w:rPr>
              <w:t>Credicorp Capital Sociedad Agente de Bolsa S.A.</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0" w:type="dxa"/>
            <w:vAlign w:val="bottom"/>
          </w:tcPr>
          <w:p>
            <w:pPr>
              <w:spacing w:after="0" w:line="173" w:lineRule="exact"/>
              <w:rPr>
                <w:sz w:val="20"/>
                <w:szCs w:val="20"/>
                <w:color w:val="auto"/>
              </w:rPr>
            </w:pPr>
            <w:r>
              <w:rPr>
                <w:rFonts w:ascii="Arial" w:cs="Arial" w:eastAsia="Arial" w:hAnsi="Arial"/>
                <w:sz w:val="16"/>
                <w:szCs w:val="16"/>
                <w:b w:val="1"/>
                <w:bCs w:val="1"/>
                <w:color w:val="auto"/>
              </w:rPr>
              <w:t>Total</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26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863"/>
        <w:spacing w:after="0"/>
        <w:rPr>
          <w:sz w:val="20"/>
          <w:szCs w:val="20"/>
          <w:color w:val="auto"/>
        </w:rPr>
      </w:pPr>
      <w:r>
        <w:rPr>
          <w:rFonts w:ascii="Arial" w:cs="Arial" w:eastAsia="Arial" w:hAnsi="Arial"/>
          <w:sz w:val="16"/>
          <w:szCs w:val="16"/>
          <w:color w:val="auto"/>
        </w:rPr>
        <w:t>(*)  Related companies</w:t>
      </w:r>
    </w:p>
    <w:p>
      <w:pPr>
        <w:spacing w:after="0" w:line="190" w:lineRule="exact"/>
        <w:rPr>
          <w:sz w:val="20"/>
          <w:szCs w:val="20"/>
          <w:color w:val="auto"/>
        </w:rPr>
      </w:pPr>
    </w:p>
    <w:p>
      <w:pPr>
        <w:ind w:left="1163" w:right="200" w:hanging="295"/>
        <w:spacing w:after="0" w:line="274" w:lineRule="auto"/>
        <w:tabs>
          <w:tab w:leader="none" w:pos="116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As of December 31, 2025 and 2024, the Company maintains current accounts in soles and U.S. dollars, which are cash in hand and accrue interest, see Note 4.</w:t>
      </w:r>
    </w:p>
    <w:p>
      <w:pPr>
        <w:spacing w:after="0" w:line="135" w:lineRule="exact"/>
        <w:rPr>
          <w:sz w:val="20"/>
          <w:szCs w:val="20"/>
          <w:color w:val="auto"/>
        </w:rPr>
      </w:pPr>
    </w:p>
    <w:tbl>
      <w:tblPr>
        <w:tblLayout w:type="fixed"/>
        <w:tblInd w:w="3" w:type="dxa"/>
        <w:tblCellMar>
          <w:top w:w="0" w:type="dxa"/>
          <w:left w:w="0" w:type="dxa"/>
          <w:bottom w:w="0" w:type="dxa"/>
          <w:right w:w="0" w:type="dxa"/>
        </w:tblCellMar>
      </w:tblPr>
      <w:tr>
        <w:trPr>
          <w:trHeight w:val="198"/>
        </w:trPr>
        <w:tc>
          <w:tcPr>
            <w:tcW w:w="4720" w:type="dxa"/>
            <w:vAlign w:val="bottom"/>
          </w:tcPr>
          <w:p>
            <w:pPr>
              <w:spacing w:after="0"/>
              <w:rPr>
                <w:sz w:val="17"/>
                <w:szCs w:val="17"/>
                <w:color w:val="auto"/>
              </w:rPr>
            </w:pPr>
          </w:p>
        </w:tc>
        <w:tc>
          <w:tcPr>
            <w:tcW w:w="4860" w:type="dxa"/>
            <w:vAlign w:val="bottom"/>
            <w:gridSpan w:val="2"/>
          </w:tcPr>
          <w:p>
            <w:pPr>
              <w:ind w:left="400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17"/>
                <w:szCs w:val="17"/>
                <w:color w:val="auto"/>
              </w:rPr>
            </w:pPr>
          </w:p>
        </w:tc>
      </w:tr>
      <w:tr>
        <w:trPr>
          <w:trHeight w:val="214"/>
        </w:trPr>
        <w:tc>
          <w:tcPr>
            <w:tcW w:w="47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20" w:type="dxa"/>
            <w:vAlign w:val="bottom"/>
          </w:tcPr>
          <w:p>
            <w:pPr>
              <w:spacing w:after="0"/>
              <w:rPr>
                <w:sz w:val="18"/>
                <w:szCs w:val="18"/>
                <w:color w:val="auto"/>
              </w:rPr>
            </w:pPr>
          </w:p>
        </w:tc>
      </w:tr>
      <w:tr>
        <w:trPr>
          <w:trHeight w:val="305"/>
        </w:trPr>
        <w:tc>
          <w:tcPr>
            <w:tcW w:w="4720" w:type="dxa"/>
            <w:vAlign w:val="bottom"/>
          </w:tcPr>
          <w:p>
            <w:pPr>
              <w:ind w:left="1220"/>
              <w:spacing w:after="0"/>
              <w:rPr>
                <w:sz w:val="20"/>
                <w:szCs w:val="20"/>
                <w:color w:val="auto"/>
              </w:rPr>
            </w:pPr>
            <w:r>
              <w:rPr>
                <w:rFonts w:ascii="Arial" w:cs="Arial" w:eastAsia="Arial" w:hAnsi="Arial"/>
                <w:sz w:val="16"/>
                <w:szCs w:val="16"/>
                <w:b w:val="1"/>
                <w:bCs w:val="1"/>
                <w:color w:val="auto"/>
              </w:rPr>
              <w:t>Statement of comprehensive income</w:t>
            </w:r>
          </w:p>
        </w:tc>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1"/>
        </w:trPr>
        <w:tc>
          <w:tcPr>
            <w:tcW w:w="4720" w:type="dxa"/>
            <w:vAlign w:val="bottom"/>
          </w:tcPr>
          <w:p>
            <w:pPr>
              <w:ind w:left="1220"/>
              <w:spacing w:after="0" w:line="181" w:lineRule="exact"/>
              <w:rPr>
                <w:sz w:val="20"/>
                <w:szCs w:val="20"/>
                <w:color w:val="auto"/>
              </w:rPr>
            </w:pPr>
            <w:r>
              <w:rPr>
                <w:rFonts w:ascii="Arial" w:cs="Arial" w:eastAsia="Arial" w:hAnsi="Arial"/>
                <w:sz w:val="16"/>
                <w:szCs w:val="16"/>
                <w:color w:val="auto"/>
              </w:rPr>
              <w:t>Other comprehensive income</w:t>
            </w:r>
          </w:p>
        </w:tc>
        <w:tc>
          <w:tcPr>
            <w:tcW w:w="506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259,650</w:t>
            </w:r>
          </w:p>
        </w:tc>
        <w:tc>
          <w:tcPr>
            <w:tcW w:w="1480" w:type="dxa"/>
            <w:vAlign w:val="bottom"/>
            <w:gridSpan w:val="2"/>
          </w:tcPr>
          <w:p>
            <w:pPr>
              <w:jc w:val="right"/>
              <w:ind w:right="580"/>
              <w:spacing w:after="0" w:line="181" w:lineRule="exact"/>
              <w:rPr>
                <w:sz w:val="20"/>
                <w:szCs w:val="20"/>
                <w:color w:val="auto"/>
              </w:rPr>
            </w:pPr>
            <w:r>
              <w:rPr>
                <w:rFonts w:ascii="Arial" w:cs="Arial" w:eastAsia="Arial" w:hAnsi="Arial"/>
                <w:sz w:val="16"/>
                <w:szCs w:val="16"/>
                <w:color w:val="auto"/>
              </w:rPr>
              <w:t>(34,297)</w:t>
            </w:r>
          </w:p>
        </w:tc>
      </w:tr>
      <w:tr>
        <w:trPr>
          <w:trHeight w:val="181"/>
        </w:trPr>
        <w:tc>
          <w:tcPr>
            <w:tcW w:w="4720" w:type="dxa"/>
            <w:vAlign w:val="bottom"/>
          </w:tcPr>
          <w:p>
            <w:pPr>
              <w:ind w:left="1220"/>
              <w:spacing w:after="0" w:line="181" w:lineRule="exact"/>
              <w:rPr>
                <w:sz w:val="20"/>
                <w:szCs w:val="20"/>
                <w:color w:val="auto"/>
              </w:rPr>
            </w:pPr>
            <w:r>
              <w:rPr>
                <w:rFonts w:ascii="Arial" w:cs="Arial" w:eastAsia="Arial" w:hAnsi="Arial"/>
                <w:sz w:val="16"/>
                <w:szCs w:val="16"/>
                <w:color w:val="auto"/>
              </w:rPr>
              <w:t>Administrative and general expenses</w:t>
            </w:r>
          </w:p>
        </w:tc>
        <w:tc>
          <w:tcPr>
            <w:tcW w:w="5060" w:type="dxa"/>
            <w:vAlign w:val="bottom"/>
            <w:gridSpan w:val="3"/>
          </w:tcPr>
          <w:p>
            <w:pPr>
              <w:jc w:val="right"/>
              <w:ind w:right="140"/>
              <w:spacing w:after="0" w:line="181" w:lineRule="exact"/>
              <w:rPr>
                <w:sz w:val="20"/>
                <w:szCs w:val="20"/>
                <w:color w:val="auto"/>
              </w:rPr>
            </w:pPr>
            <w:r>
              <w:rPr>
                <w:rFonts w:ascii="Arial" w:cs="Arial" w:eastAsia="Arial" w:hAnsi="Arial"/>
                <w:sz w:val="16"/>
                <w:szCs w:val="16"/>
                <w:color w:val="auto"/>
              </w:rPr>
              <w:t>(1,344)</w:t>
            </w:r>
          </w:p>
        </w:tc>
        <w:tc>
          <w:tcPr>
            <w:tcW w:w="1480" w:type="dxa"/>
            <w:vAlign w:val="bottom"/>
            <w:gridSpan w:val="2"/>
          </w:tcPr>
          <w:p>
            <w:pPr>
              <w:jc w:val="right"/>
              <w:ind w:right="580"/>
              <w:spacing w:after="0" w:line="181" w:lineRule="exact"/>
              <w:rPr>
                <w:sz w:val="20"/>
                <w:szCs w:val="20"/>
                <w:color w:val="auto"/>
              </w:rPr>
            </w:pPr>
            <w:r>
              <w:rPr>
                <w:rFonts w:ascii="Arial" w:cs="Arial" w:eastAsia="Arial" w:hAnsi="Arial"/>
                <w:sz w:val="16"/>
                <w:szCs w:val="16"/>
                <w:color w:val="auto"/>
              </w:rPr>
              <w:t>(1,234)</w:t>
            </w:r>
          </w:p>
        </w:tc>
      </w:tr>
      <w:tr>
        <w:trPr>
          <w:trHeight w:val="214"/>
        </w:trPr>
        <w:tc>
          <w:tcPr>
            <w:tcW w:w="4720" w:type="dxa"/>
            <w:vAlign w:val="bottom"/>
          </w:tcPr>
          <w:p>
            <w:pPr>
              <w:ind w:left="1220"/>
              <w:spacing w:after="0"/>
              <w:rPr>
                <w:sz w:val="20"/>
                <w:szCs w:val="20"/>
                <w:color w:val="auto"/>
              </w:rPr>
            </w:pPr>
            <w:r>
              <w:rPr>
                <w:rFonts w:ascii="Arial" w:cs="Arial" w:eastAsia="Arial" w:hAnsi="Arial"/>
                <w:sz w:val="16"/>
                <w:szCs w:val="16"/>
                <w:color w:val="auto"/>
              </w:rPr>
              <w:t>Similar income and expenses</w:t>
            </w:r>
          </w:p>
        </w:tc>
        <w:tc>
          <w:tcPr>
            <w:tcW w:w="5060" w:type="dxa"/>
            <w:vAlign w:val="bottom"/>
            <w:gridSpan w:val="3"/>
          </w:tcPr>
          <w:p>
            <w:pPr>
              <w:jc w:val="right"/>
              <w:ind w:right="200"/>
              <w:spacing w:after="0"/>
              <w:rPr>
                <w:sz w:val="20"/>
                <w:szCs w:val="20"/>
                <w:color w:val="auto"/>
              </w:rPr>
            </w:pPr>
            <w:r>
              <w:rPr>
                <w:rFonts w:ascii="Arial" w:cs="Arial" w:eastAsia="Arial" w:hAnsi="Arial"/>
                <w:sz w:val="16"/>
                <w:szCs w:val="16"/>
                <w:color w:val="auto"/>
              </w:rPr>
              <w:t>41,170</w:t>
            </w:r>
          </w:p>
        </w:tc>
        <w:tc>
          <w:tcPr>
            <w:tcW w:w="1480" w:type="dxa"/>
            <w:vAlign w:val="bottom"/>
            <w:gridSpan w:val="2"/>
          </w:tcPr>
          <w:p>
            <w:pPr>
              <w:jc w:val="right"/>
              <w:ind w:right="620"/>
              <w:spacing w:after="0"/>
              <w:rPr>
                <w:sz w:val="20"/>
                <w:szCs w:val="20"/>
                <w:color w:val="auto"/>
              </w:rPr>
            </w:pPr>
            <w:r>
              <w:rPr>
                <w:rFonts w:ascii="Arial" w:cs="Arial" w:eastAsia="Arial" w:hAnsi="Arial"/>
                <w:sz w:val="16"/>
                <w:szCs w:val="16"/>
                <w:color w:val="auto"/>
              </w:rPr>
              <w:t>93,310</w:t>
            </w:r>
          </w:p>
        </w:tc>
      </w:tr>
      <w:tr>
        <w:trPr>
          <w:trHeight w:val="507"/>
        </w:trPr>
        <w:tc>
          <w:tcPr>
            <w:tcW w:w="4720" w:type="dxa"/>
            <w:vAlign w:val="bottom"/>
          </w:tcPr>
          <w:p>
            <w:pPr>
              <w:spacing w:after="0"/>
              <w:rPr>
                <w:sz w:val="24"/>
                <w:szCs w:val="24"/>
                <w:color w:val="auto"/>
              </w:rPr>
            </w:pPr>
          </w:p>
        </w:tc>
        <w:tc>
          <w:tcPr>
            <w:tcW w:w="4000" w:type="dxa"/>
            <w:vAlign w:val="bottom"/>
          </w:tcPr>
          <w:p>
            <w:pPr>
              <w:jc w:val="right"/>
              <w:ind w:right="2840"/>
              <w:spacing w:after="0"/>
              <w:rPr>
                <w:sz w:val="20"/>
                <w:szCs w:val="20"/>
                <w:color w:val="auto"/>
              </w:rPr>
            </w:pPr>
            <w:r>
              <w:rPr>
                <w:rFonts w:ascii="Arial" w:cs="Arial" w:eastAsia="Arial" w:hAnsi="Arial"/>
                <w:sz w:val="16"/>
                <w:szCs w:val="16"/>
                <w:color w:val="auto"/>
              </w:rPr>
              <w:t>- 34 -</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
        </w:trPr>
        <w:tc>
          <w:tcPr>
            <w:tcW w:w="472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296" w:right="319" w:bottom="1440" w:gutter="0" w:footer="0" w:header="0"/>
        </w:sectPr>
      </w:pPr>
    </w:p>
    <w:bookmarkStart w:id="221" w:name="page222"/>
    <w:bookmarkEnd w:id="221"/>
    <w:p>
      <w:pPr>
        <w:ind w:left="863" w:hanging="284"/>
        <w:spacing w:after="0" w:line="255" w:lineRule="auto"/>
        <w:tabs>
          <w:tab w:leader="none" w:pos="86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Management considers that the transactions between the Company and its related parties have been carried out in the normal course of business and on terms not less favorable than if they had been carried out with unrelated third parties. The taxes resulting from these transactions, as well as the basis for their calculation, are settled according to current tax regulations.</w:t>
      </w:r>
    </w:p>
    <w:p>
      <w:pPr>
        <w:spacing w:after="0" w:line="137" w:lineRule="exact"/>
        <w:rPr>
          <w:rFonts w:ascii="Arial" w:cs="Arial" w:eastAsia="Arial" w:hAnsi="Arial"/>
          <w:sz w:val="16"/>
          <w:szCs w:val="16"/>
          <w:color w:val="auto"/>
        </w:rPr>
      </w:pPr>
    </w:p>
    <w:p>
      <w:pPr>
        <w:ind w:left="863" w:right="100" w:hanging="284"/>
        <w:spacing w:after="0" w:line="274" w:lineRule="auto"/>
        <w:tabs>
          <w:tab w:leader="none" w:pos="86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Credicorp Ltd., following IAS 24 “Related Party Disclosures” has not reported expenses for Management payroll. In addition, as of December 31, 2025 and 2024 the Company’s policy is not to pay any remuneration to the members of the Board of Directors.</w:t>
      </w:r>
    </w:p>
    <w:p>
      <w:pPr>
        <w:spacing w:after="0" w:line="111" w:lineRule="exact"/>
        <w:rPr>
          <w:sz w:val="20"/>
          <w:szCs w:val="20"/>
          <w:color w:val="auto"/>
        </w:rPr>
      </w:pPr>
    </w:p>
    <w:p>
      <w:pPr>
        <w:ind w:left="583" w:hanging="583"/>
        <w:spacing w:after="0"/>
        <w:tabs>
          <w:tab w:leader="none" w:pos="583"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RISK MANAGEMENT</w:t>
      </w:r>
    </w:p>
    <w:p>
      <w:pPr>
        <w:spacing w:after="0" w:line="177" w:lineRule="exact"/>
        <w:rPr>
          <w:rFonts w:ascii="Arial" w:cs="Arial" w:eastAsia="Arial" w:hAnsi="Arial"/>
          <w:sz w:val="16"/>
          <w:szCs w:val="16"/>
          <w:b w:val="1"/>
          <w:bCs w:val="1"/>
          <w:color w:val="auto"/>
        </w:rPr>
      </w:pPr>
    </w:p>
    <w:p>
      <w:pPr>
        <w:ind w:left="583" w:right="12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Due to the nature of its activities, the Company has a risk appetite framework, which is a fundamental pillar of management. The risk management processes involve the identification, measurement, treatment, and continuous monitoring. The Company is mainly exposed to operational risk, credit risk, liquidity risk, market risk, cybersecurity risk, strategic risk, and insurance technical risk.</w:t>
      </w:r>
    </w:p>
    <w:p>
      <w:pPr>
        <w:spacing w:after="0" w:line="137" w:lineRule="exact"/>
        <w:rPr>
          <w:rFonts w:ascii="Arial" w:cs="Arial" w:eastAsia="Arial" w:hAnsi="Arial"/>
          <w:sz w:val="16"/>
          <w:szCs w:val="16"/>
          <w:b w:val="1"/>
          <w:bCs w:val="1"/>
          <w:color w:val="auto"/>
        </w:rPr>
      </w:pPr>
    </w:p>
    <w:p>
      <w:pPr>
        <w:ind w:left="863" w:hanging="284"/>
        <w:spacing w:after="0"/>
        <w:tabs>
          <w:tab w:leader="none" w:pos="863" w:val="left"/>
        </w:tabs>
        <w:numPr>
          <w:ilvl w:val="1"/>
          <w:numId w:val="235"/>
        </w:numPr>
        <w:rPr>
          <w:rFonts w:ascii="Arial" w:cs="Arial" w:eastAsia="Arial" w:hAnsi="Arial"/>
          <w:sz w:val="16"/>
          <w:szCs w:val="16"/>
          <w:color w:val="auto"/>
        </w:rPr>
      </w:pPr>
      <w:r>
        <w:rPr>
          <w:rFonts w:ascii="Arial" w:cs="Arial" w:eastAsia="Arial" w:hAnsi="Arial"/>
          <w:sz w:val="16"/>
          <w:szCs w:val="16"/>
          <w:color w:val="auto"/>
        </w:rPr>
        <w:t>Risk management structure –</w:t>
      </w:r>
    </w:p>
    <w:p>
      <w:pPr>
        <w:spacing w:after="0" w:line="189" w:lineRule="exact"/>
        <w:rPr>
          <w:rFonts w:ascii="Arial" w:cs="Arial" w:eastAsia="Arial" w:hAnsi="Arial"/>
          <w:sz w:val="16"/>
          <w:szCs w:val="16"/>
          <w:color w:val="auto"/>
        </w:rPr>
      </w:pPr>
    </w:p>
    <w:p>
      <w:pPr>
        <w:ind w:left="863" w:right="600"/>
        <w:spacing w:after="0" w:line="274" w:lineRule="auto"/>
        <w:rPr>
          <w:rFonts w:ascii="Arial" w:cs="Arial" w:eastAsia="Arial" w:hAnsi="Arial"/>
          <w:sz w:val="16"/>
          <w:szCs w:val="16"/>
          <w:color w:val="auto"/>
        </w:rPr>
      </w:pPr>
      <w:r>
        <w:rPr>
          <w:rFonts w:ascii="Arial" w:cs="Arial" w:eastAsia="Arial" w:hAnsi="Arial"/>
          <w:sz w:val="16"/>
          <w:szCs w:val="16"/>
          <w:color w:val="auto"/>
        </w:rPr>
        <w:t>The risk management structure is supported by the Board of Directors and Management of BCP, which are responsible for identifying and controlling risks together with other supporting areas, as explained below:</w:t>
      </w:r>
    </w:p>
    <w:p>
      <w:pPr>
        <w:spacing w:after="0" w:line="122" w:lineRule="exact"/>
        <w:rPr>
          <w:rFonts w:ascii="Arial" w:cs="Arial" w:eastAsia="Arial" w:hAnsi="Arial"/>
          <w:sz w:val="16"/>
          <w:szCs w:val="16"/>
          <w:color w:val="auto"/>
        </w:rPr>
      </w:pPr>
    </w:p>
    <w:p>
      <w:pPr>
        <w:ind w:left="1163" w:hanging="295"/>
        <w:spacing w:after="0"/>
        <w:tabs>
          <w:tab w:leader="none" w:pos="1163" w:val="left"/>
        </w:tabs>
        <w:numPr>
          <w:ilvl w:val="2"/>
          <w:numId w:val="235"/>
        </w:numPr>
        <w:rPr>
          <w:rFonts w:ascii="Arial" w:cs="Arial" w:eastAsia="Arial" w:hAnsi="Arial"/>
          <w:sz w:val="16"/>
          <w:szCs w:val="16"/>
          <w:color w:val="auto"/>
        </w:rPr>
      </w:pPr>
      <w:r>
        <w:rPr>
          <w:rFonts w:ascii="Arial" w:cs="Arial" w:eastAsia="Arial" w:hAnsi="Arial"/>
          <w:sz w:val="16"/>
          <w:szCs w:val="16"/>
          <w:color w:val="auto"/>
        </w:rPr>
        <w:t>Board of Directors -</w:t>
      </w:r>
    </w:p>
    <w:p>
      <w:pPr>
        <w:spacing w:after="0" w:line="189" w:lineRule="exact"/>
        <w:rPr>
          <w:rFonts w:ascii="Arial" w:cs="Arial" w:eastAsia="Arial" w:hAnsi="Arial"/>
          <w:sz w:val="16"/>
          <w:szCs w:val="16"/>
          <w:color w:val="auto"/>
        </w:rPr>
      </w:pPr>
    </w:p>
    <w:p>
      <w:pPr>
        <w:ind w:left="1163" w:right="540"/>
        <w:spacing w:after="0" w:line="274" w:lineRule="auto"/>
        <w:rPr>
          <w:rFonts w:ascii="Arial" w:cs="Arial" w:eastAsia="Arial" w:hAnsi="Arial"/>
          <w:sz w:val="16"/>
          <w:szCs w:val="16"/>
          <w:color w:val="auto"/>
        </w:rPr>
      </w:pPr>
      <w:r>
        <w:rPr>
          <w:rFonts w:ascii="Arial" w:cs="Arial" w:eastAsia="Arial" w:hAnsi="Arial"/>
          <w:sz w:val="16"/>
          <w:szCs w:val="16"/>
          <w:color w:val="auto"/>
        </w:rPr>
        <w:t>The Board of Directors is responsible for the overall approach to risk management, providing the principles for management as well as policies covering specific areas, such as the foreign exchange risk, interest rate risk, credit risk and liquidity risk.</w:t>
      </w:r>
    </w:p>
    <w:p>
      <w:pPr>
        <w:spacing w:after="0" w:line="122" w:lineRule="exact"/>
        <w:rPr>
          <w:rFonts w:ascii="Arial" w:cs="Arial" w:eastAsia="Arial" w:hAnsi="Arial"/>
          <w:sz w:val="16"/>
          <w:szCs w:val="16"/>
          <w:color w:val="auto"/>
        </w:rPr>
      </w:pPr>
    </w:p>
    <w:p>
      <w:pPr>
        <w:ind w:left="1163" w:hanging="295"/>
        <w:spacing w:after="0"/>
        <w:tabs>
          <w:tab w:leader="none" w:pos="1163" w:val="left"/>
        </w:tabs>
        <w:numPr>
          <w:ilvl w:val="2"/>
          <w:numId w:val="235"/>
        </w:numPr>
        <w:rPr>
          <w:rFonts w:ascii="Arial" w:cs="Arial" w:eastAsia="Arial" w:hAnsi="Arial"/>
          <w:sz w:val="16"/>
          <w:szCs w:val="16"/>
          <w:color w:val="auto"/>
        </w:rPr>
      </w:pPr>
      <w:r>
        <w:rPr>
          <w:rFonts w:ascii="Arial" w:cs="Arial" w:eastAsia="Arial" w:hAnsi="Arial"/>
          <w:sz w:val="16"/>
          <w:szCs w:val="16"/>
          <w:color w:val="auto"/>
        </w:rPr>
        <w:t>Risk Committee of Credicorp -</w:t>
      </w:r>
    </w:p>
    <w:p>
      <w:pPr>
        <w:spacing w:after="0" w:line="189" w:lineRule="exact"/>
        <w:rPr>
          <w:rFonts w:ascii="Arial" w:cs="Arial" w:eastAsia="Arial" w:hAnsi="Arial"/>
          <w:sz w:val="16"/>
          <w:szCs w:val="16"/>
          <w:color w:val="auto"/>
        </w:rPr>
      </w:pPr>
    </w:p>
    <w:p>
      <w:pPr>
        <w:ind w:left="1163" w:right="320"/>
        <w:spacing w:after="0" w:line="255" w:lineRule="auto"/>
        <w:rPr>
          <w:rFonts w:ascii="Arial" w:cs="Arial" w:eastAsia="Arial" w:hAnsi="Arial"/>
          <w:sz w:val="16"/>
          <w:szCs w:val="16"/>
          <w:color w:val="auto"/>
        </w:rPr>
      </w:pPr>
      <w:r>
        <w:rPr>
          <w:rFonts w:ascii="Arial" w:cs="Arial" w:eastAsia="Arial" w:hAnsi="Arial"/>
          <w:sz w:val="16"/>
          <w:szCs w:val="16"/>
          <w:color w:val="auto"/>
        </w:rPr>
        <w:t>Represents the Board of Directors of Credicorp, proposes the risk appetite levels for Credicorp Ltd. Likewise, it acknowledges the level of compliance with the risk appetite and the level of exposure assumed by Grupo Crédito and Credicorp subsidiaries, as well as relevant improvements in the comprehensive risk management of these entities.</w:t>
      </w:r>
    </w:p>
    <w:p>
      <w:pPr>
        <w:spacing w:after="0" w:line="137" w:lineRule="exact"/>
        <w:rPr>
          <w:rFonts w:ascii="Arial" w:cs="Arial" w:eastAsia="Arial" w:hAnsi="Arial"/>
          <w:sz w:val="16"/>
          <w:szCs w:val="16"/>
          <w:color w:val="auto"/>
        </w:rPr>
      </w:pPr>
    </w:p>
    <w:p>
      <w:pPr>
        <w:ind w:left="1163" w:right="40"/>
        <w:spacing w:after="0" w:line="243" w:lineRule="auto"/>
        <w:rPr>
          <w:rFonts w:ascii="Arial" w:cs="Arial" w:eastAsia="Arial" w:hAnsi="Arial"/>
          <w:sz w:val="16"/>
          <w:szCs w:val="16"/>
          <w:color w:val="auto"/>
        </w:rPr>
      </w:pPr>
      <w:r>
        <w:rPr>
          <w:rFonts w:ascii="Arial" w:cs="Arial" w:eastAsia="Arial" w:hAnsi="Arial"/>
          <w:sz w:val="16"/>
          <w:szCs w:val="16"/>
          <w:color w:val="auto"/>
        </w:rPr>
        <w:t>The Committee will be composed of no fewer than three directors of Credicorp, at least one of whom must be independent. Additionally, the Board may incorporate one or more directors of Credicorp subsidiaries as members. Furthermore, the coordinator of the Committee will be the Chief Risk Officer of Credicorp, with the Internal Audit Manager serving as an observer (without voice or vote). Finally, the following officials will attend the sessions as guests, according to the agenda of topics to be discussed and at the invitation of the Coordinator: General Manager, Finance Manager, Head of the Risk Management Division of BCP, and all those persons who, in their opinion, contribute to the development of the session.</w:t>
      </w:r>
    </w:p>
    <w:p>
      <w:pPr>
        <w:spacing w:after="0" w:line="148" w:lineRule="exact"/>
        <w:rPr>
          <w:rFonts w:ascii="Arial" w:cs="Arial" w:eastAsia="Arial" w:hAnsi="Arial"/>
          <w:sz w:val="16"/>
          <w:szCs w:val="16"/>
          <w:color w:val="auto"/>
        </w:rPr>
      </w:pPr>
    </w:p>
    <w:p>
      <w:pPr>
        <w:ind w:left="1163" w:hanging="295"/>
        <w:spacing w:after="0"/>
        <w:tabs>
          <w:tab w:leader="none" w:pos="1163" w:val="left"/>
        </w:tabs>
        <w:numPr>
          <w:ilvl w:val="2"/>
          <w:numId w:val="235"/>
        </w:numPr>
        <w:rPr>
          <w:rFonts w:ascii="Arial" w:cs="Arial" w:eastAsia="Arial" w:hAnsi="Arial"/>
          <w:sz w:val="16"/>
          <w:szCs w:val="16"/>
          <w:color w:val="auto"/>
        </w:rPr>
      </w:pPr>
      <w:r>
        <w:rPr>
          <w:rFonts w:ascii="Arial" w:cs="Arial" w:eastAsia="Arial" w:hAnsi="Arial"/>
          <w:sz w:val="16"/>
          <w:szCs w:val="16"/>
          <w:color w:val="auto"/>
        </w:rPr>
        <w:t>Central Risk Management of Credicorp -</w:t>
      </w:r>
    </w:p>
    <w:p>
      <w:pPr>
        <w:spacing w:after="0" w:line="189" w:lineRule="exact"/>
        <w:rPr>
          <w:rFonts w:ascii="Arial" w:cs="Arial" w:eastAsia="Arial" w:hAnsi="Arial"/>
          <w:sz w:val="16"/>
          <w:szCs w:val="16"/>
          <w:color w:val="auto"/>
        </w:rPr>
      </w:pPr>
    </w:p>
    <w:p>
      <w:pPr>
        <w:ind w:left="1163" w:right="20"/>
        <w:spacing w:after="0" w:line="274" w:lineRule="auto"/>
        <w:rPr>
          <w:rFonts w:ascii="Arial" w:cs="Arial" w:eastAsia="Arial" w:hAnsi="Arial"/>
          <w:sz w:val="16"/>
          <w:szCs w:val="16"/>
          <w:color w:val="auto"/>
        </w:rPr>
      </w:pPr>
      <w:r>
        <w:rPr>
          <w:rFonts w:ascii="Arial" w:cs="Arial" w:eastAsia="Arial" w:hAnsi="Arial"/>
          <w:sz w:val="16"/>
          <w:szCs w:val="16"/>
          <w:color w:val="auto"/>
        </w:rPr>
        <w:t>The Central Risk Management of Credicorp informs the Credicorp Risk Committee of the level of compliance of the risk appetite and the level of exposure assumed by the company. In addition, it proposes to the Credicorp Risk Committee the risk appetite levels for Credicorp Ltd.</w:t>
      </w:r>
    </w:p>
    <w:p>
      <w:pPr>
        <w:spacing w:after="0" w:line="279" w:lineRule="exact"/>
        <w:rPr>
          <w:rFonts w:ascii="Arial" w:cs="Arial" w:eastAsia="Arial" w:hAnsi="Arial"/>
          <w:sz w:val="16"/>
          <w:szCs w:val="16"/>
          <w:color w:val="auto"/>
        </w:rPr>
      </w:pPr>
    </w:p>
    <w:p>
      <w:pPr>
        <w:ind w:left="5523" w:hanging="104"/>
        <w:spacing w:after="0"/>
        <w:tabs>
          <w:tab w:leader="none" w:pos="5523" w:val="left"/>
        </w:tabs>
        <w:numPr>
          <w:ilvl w:val="3"/>
          <w:numId w:val="235"/>
        </w:numPr>
        <w:rPr>
          <w:rFonts w:ascii="Arial" w:cs="Arial" w:eastAsia="Arial" w:hAnsi="Arial"/>
          <w:sz w:val="16"/>
          <w:szCs w:val="16"/>
          <w:color w:val="auto"/>
        </w:rPr>
      </w:pPr>
      <w:r>
        <w:rPr>
          <w:rFonts w:ascii="Arial" w:cs="Arial" w:eastAsia="Arial" w:hAnsi="Arial"/>
          <w:sz w:val="16"/>
          <w:szCs w:val="16"/>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3"/>
          </w:cols>
          <w:pgMar w:left="317" w:top="292" w:right="359" w:bottom="1440" w:gutter="0" w:footer="0" w:header="0"/>
        </w:sectPr>
      </w:pPr>
    </w:p>
    <w:bookmarkStart w:id="222" w:name="page223"/>
    <w:bookmarkEnd w:id="222"/>
    <w:p>
      <w:pPr>
        <w:ind w:left="584" w:hanging="295"/>
        <w:spacing w:after="0"/>
        <w:tabs>
          <w:tab w:leader="none" w:pos="58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Internal Audit Division and Corporate Compliance and Ethics Division -</w:t>
      </w:r>
    </w:p>
    <w:p>
      <w:pPr>
        <w:spacing w:after="0" w:line="189" w:lineRule="exact"/>
        <w:rPr>
          <w:rFonts w:ascii="Arial" w:cs="Arial" w:eastAsia="Arial" w:hAnsi="Arial"/>
          <w:sz w:val="16"/>
          <w:szCs w:val="16"/>
          <w:color w:val="auto"/>
        </w:rPr>
      </w:pPr>
    </w:p>
    <w:p>
      <w:pPr>
        <w:ind w:left="584" w:right="40"/>
        <w:spacing w:after="0" w:line="245" w:lineRule="auto"/>
        <w:rPr>
          <w:rFonts w:ascii="Arial" w:cs="Arial" w:eastAsia="Arial" w:hAnsi="Arial"/>
          <w:sz w:val="16"/>
          <w:szCs w:val="16"/>
          <w:color w:val="auto"/>
        </w:rPr>
      </w:pPr>
      <w:r>
        <w:rPr>
          <w:rFonts w:ascii="Arial" w:cs="Arial" w:eastAsia="Arial" w:hAnsi="Arial"/>
          <w:sz w:val="16"/>
          <w:szCs w:val="16"/>
          <w:color w:val="auto"/>
        </w:rPr>
        <w:t>The Internal Audit Division is responsible for continuously evaluating the effectiveness and efficiency of the Company’s risk management, control, and governance processes, verifying compliance with regulations, policies, objectives, and guidelines approved by the Board of Directors. It provides agile and timely assurance, advice, and analysis based on risks and data. Additionally, it evaluates the sufficiency and degree of integration of the Company’s databases and information systems. Finally, it ensures the independence between the functions of the risk and business units for each company within the Company.</w:t>
      </w:r>
    </w:p>
    <w:p>
      <w:pPr>
        <w:spacing w:after="0" w:line="146" w:lineRule="exact"/>
        <w:rPr>
          <w:rFonts w:ascii="Arial" w:cs="Arial" w:eastAsia="Arial" w:hAnsi="Arial"/>
          <w:sz w:val="16"/>
          <w:szCs w:val="16"/>
          <w:color w:val="auto"/>
        </w:rPr>
      </w:pPr>
    </w:p>
    <w:p>
      <w:pPr>
        <w:ind w:left="584"/>
        <w:spacing w:after="0" w:line="274" w:lineRule="auto"/>
        <w:rPr>
          <w:rFonts w:ascii="Arial" w:cs="Arial" w:eastAsia="Arial" w:hAnsi="Arial"/>
          <w:sz w:val="16"/>
          <w:szCs w:val="16"/>
          <w:color w:val="auto"/>
        </w:rPr>
      </w:pPr>
      <w:r>
        <w:rPr>
          <w:rFonts w:ascii="Arial" w:cs="Arial" w:eastAsia="Arial" w:hAnsi="Arial"/>
          <w:sz w:val="16"/>
          <w:szCs w:val="16"/>
          <w:color w:val="auto"/>
        </w:rPr>
        <w:t>The Corporate Compliance and Ethics Division reports to the Board of Directors and is responsible for providing corporate policies to ensure that the Company´s subsidiaries adequately comply with applicable regulations and the guidelines established in the Credicorp Code of Ethics</w:t>
      </w:r>
    </w:p>
    <w:p>
      <w:pPr>
        <w:spacing w:after="0" w:line="122" w:lineRule="exact"/>
        <w:rPr>
          <w:rFonts w:ascii="Arial" w:cs="Arial" w:eastAsia="Arial" w:hAnsi="Arial"/>
          <w:sz w:val="16"/>
          <w:szCs w:val="16"/>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Risk measurement and reporting systems -</w:t>
      </w:r>
    </w:p>
    <w:p>
      <w:pPr>
        <w:spacing w:after="0" w:line="189" w:lineRule="exact"/>
        <w:rPr>
          <w:rFonts w:ascii="Arial" w:cs="Arial" w:eastAsia="Arial" w:hAnsi="Arial"/>
          <w:sz w:val="16"/>
          <w:szCs w:val="16"/>
          <w:color w:val="auto"/>
        </w:rPr>
      </w:pPr>
    </w:p>
    <w:p>
      <w:pPr>
        <w:ind w:left="284" w:right="100"/>
        <w:spacing w:after="0" w:line="255" w:lineRule="auto"/>
        <w:rPr>
          <w:rFonts w:ascii="Arial" w:cs="Arial" w:eastAsia="Arial" w:hAnsi="Arial"/>
          <w:sz w:val="16"/>
          <w:szCs w:val="16"/>
          <w:color w:val="auto"/>
        </w:rPr>
      </w:pPr>
      <w:r>
        <w:rPr>
          <w:rFonts w:ascii="Arial" w:cs="Arial" w:eastAsia="Arial" w:hAnsi="Arial"/>
          <w:sz w:val="16"/>
          <w:szCs w:val="16"/>
          <w:color w:val="auto"/>
        </w:rPr>
        <w:t>The risk is measured according to models and methodologies developed for the management of each type of risk. Risk reports that allow to monitor at the level added and detailed the different types of risks of the Company which is exposed. The system provides the facility to meet the appetite review needs by risk requested by the committees and areas described above; as well as comply with regulatory requirements.</w:t>
      </w:r>
    </w:p>
    <w:p>
      <w:pPr>
        <w:spacing w:after="0" w:line="137" w:lineRule="exact"/>
        <w:rPr>
          <w:rFonts w:ascii="Arial" w:cs="Arial" w:eastAsia="Arial" w:hAnsi="Arial"/>
          <w:sz w:val="16"/>
          <w:szCs w:val="16"/>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Risk mitigation -</w:t>
      </w:r>
    </w:p>
    <w:p>
      <w:pPr>
        <w:spacing w:after="0" w:line="189" w:lineRule="exact"/>
        <w:rPr>
          <w:rFonts w:ascii="Arial" w:cs="Arial" w:eastAsia="Arial" w:hAnsi="Arial"/>
          <w:sz w:val="16"/>
          <w:szCs w:val="16"/>
          <w:color w:val="auto"/>
        </w:rPr>
      </w:pPr>
    </w:p>
    <w:p>
      <w:pPr>
        <w:ind w:left="284" w:right="240"/>
        <w:spacing w:after="0" w:line="274" w:lineRule="auto"/>
        <w:rPr>
          <w:rFonts w:ascii="Arial" w:cs="Arial" w:eastAsia="Arial" w:hAnsi="Arial"/>
          <w:sz w:val="16"/>
          <w:szCs w:val="16"/>
          <w:color w:val="auto"/>
        </w:rPr>
      </w:pPr>
      <w:r>
        <w:rPr>
          <w:rFonts w:ascii="Arial" w:cs="Arial" w:eastAsia="Arial" w:hAnsi="Arial"/>
          <w:sz w:val="16"/>
          <w:szCs w:val="16"/>
          <w:color w:val="auto"/>
        </w:rPr>
        <w:t>Depending on the type of risk, mitigating instruments are used to reduce its exposure, such as guarantees, derivatives, controls and insurance, among others. Furthermore, it has policies linked to risk appetite and established procedures for each type of risk.</w:t>
      </w:r>
    </w:p>
    <w:p>
      <w:pPr>
        <w:spacing w:after="0" w:line="12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The Company actively uses guarantees to reduce its credit risks.</w:t>
      </w:r>
    </w:p>
    <w:p>
      <w:pPr>
        <w:spacing w:after="0" w:line="177" w:lineRule="exact"/>
        <w:rPr>
          <w:rFonts w:ascii="Arial" w:cs="Arial" w:eastAsia="Arial" w:hAnsi="Arial"/>
          <w:sz w:val="16"/>
          <w:szCs w:val="16"/>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Risk appetite -</w:t>
      </w:r>
    </w:p>
    <w:p>
      <w:pPr>
        <w:spacing w:after="0" w:line="189" w:lineRule="exact"/>
        <w:rPr>
          <w:rFonts w:ascii="Arial" w:cs="Arial" w:eastAsia="Arial" w:hAnsi="Arial"/>
          <w:sz w:val="16"/>
          <w:szCs w:val="16"/>
          <w:color w:val="auto"/>
        </w:rPr>
      </w:pPr>
    </w:p>
    <w:p>
      <w:pPr>
        <w:jc w:val="both"/>
        <w:ind w:left="284" w:right="200"/>
        <w:spacing w:after="0" w:line="255" w:lineRule="auto"/>
        <w:rPr>
          <w:rFonts w:ascii="Arial" w:cs="Arial" w:eastAsia="Arial" w:hAnsi="Arial"/>
          <w:sz w:val="16"/>
          <w:szCs w:val="16"/>
          <w:color w:val="auto"/>
        </w:rPr>
      </w:pPr>
      <w:r>
        <w:rPr>
          <w:rFonts w:ascii="Arial" w:cs="Arial" w:eastAsia="Arial" w:hAnsi="Arial"/>
          <w:sz w:val="16"/>
          <w:szCs w:val="16"/>
          <w:color w:val="auto"/>
        </w:rPr>
        <w:t>Based on corporate risk management, Grupo Crédito’s Board of Directors approves the risk appetite framework to define the maximum level of risk that the organization is willing to take as seeks its strategic and financial objectives, maintaining a corporate vision in individual decisions of each entity. This Risk Appetite framework is based on “core” and specific metrics:</w:t>
      </w:r>
    </w:p>
    <w:p>
      <w:pPr>
        <w:spacing w:after="0" w:line="137" w:lineRule="exact"/>
        <w:rPr>
          <w:rFonts w:ascii="Arial" w:cs="Arial" w:eastAsia="Arial" w:hAnsi="Arial"/>
          <w:sz w:val="16"/>
          <w:szCs w:val="16"/>
          <w:color w:val="auto"/>
        </w:rPr>
      </w:pPr>
    </w:p>
    <w:p>
      <w:pPr>
        <w:ind w:left="284" w:right="360"/>
        <w:spacing w:after="0" w:line="274" w:lineRule="auto"/>
        <w:rPr>
          <w:rFonts w:ascii="Arial" w:cs="Arial" w:eastAsia="Arial" w:hAnsi="Arial"/>
          <w:sz w:val="16"/>
          <w:szCs w:val="16"/>
          <w:color w:val="auto"/>
        </w:rPr>
      </w:pPr>
      <w:r>
        <w:rPr>
          <w:rFonts w:ascii="Arial" w:cs="Arial" w:eastAsia="Arial" w:hAnsi="Arial"/>
          <w:sz w:val="16"/>
          <w:szCs w:val="16"/>
          <w:color w:val="auto"/>
        </w:rPr>
        <w:t>Core metrics are intended to preserve the organization’s strategic pillars, defined as solvency, liquidity, profit and growth, income stability and balance sheet structure and cybersecurity risks.</w:t>
      </w:r>
    </w:p>
    <w:p>
      <w:pPr>
        <w:spacing w:after="0" w:line="122" w:lineRule="exact"/>
        <w:rPr>
          <w:rFonts w:ascii="Arial" w:cs="Arial" w:eastAsia="Arial" w:hAnsi="Arial"/>
          <w:sz w:val="16"/>
          <w:szCs w:val="16"/>
          <w:color w:val="auto"/>
        </w:rPr>
      </w:pPr>
    </w:p>
    <w:p>
      <w:pPr>
        <w:ind w:left="284" w:right="40"/>
        <w:spacing w:after="0" w:line="255" w:lineRule="auto"/>
        <w:rPr>
          <w:rFonts w:ascii="Arial" w:cs="Arial" w:eastAsia="Arial" w:hAnsi="Arial"/>
          <w:sz w:val="16"/>
          <w:szCs w:val="16"/>
          <w:color w:val="auto"/>
        </w:rPr>
      </w:pPr>
      <w:r>
        <w:rPr>
          <w:rFonts w:ascii="Arial" w:cs="Arial" w:eastAsia="Arial" w:hAnsi="Arial"/>
          <w:sz w:val="16"/>
          <w:szCs w:val="16"/>
          <w:color w:val="auto"/>
        </w:rPr>
        <w:t>Specific metrics objectives are intended to monitor on a qualitative and quantitative basis the various risks, to which the Company is exposed, as well as defining a tolerance threshold of each of those risks, so the risk profile set by the Board is preserved and any risk focus is anticipated on a more granular basis.</w:t>
      </w:r>
    </w:p>
    <w:p>
      <w:pPr>
        <w:spacing w:after="0" w:line="294" w:lineRule="exact"/>
        <w:rPr>
          <w:rFonts w:ascii="Arial" w:cs="Arial" w:eastAsia="Arial" w:hAnsi="Arial"/>
          <w:sz w:val="16"/>
          <w:szCs w:val="16"/>
          <w:color w:val="auto"/>
        </w:rPr>
      </w:pPr>
    </w:p>
    <w:p>
      <w:pPr>
        <w:ind w:left="4944" w:hanging="104"/>
        <w:spacing w:after="0"/>
        <w:tabs>
          <w:tab w:leader="none" w:pos="4944" w:val="left"/>
        </w:tabs>
        <w:numPr>
          <w:ilvl w:val="2"/>
          <w:numId w:val="237"/>
        </w:numPr>
        <w:rPr>
          <w:rFonts w:ascii="Arial" w:cs="Arial" w:eastAsia="Arial" w:hAnsi="Arial"/>
          <w:sz w:val="16"/>
          <w:szCs w:val="16"/>
          <w:color w:val="auto"/>
        </w:rPr>
      </w:pPr>
      <w:r>
        <w:rPr>
          <w:rFonts w:ascii="Arial" w:cs="Arial" w:eastAsia="Arial" w:hAnsi="Arial"/>
          <w:sz w:val="16"/>
          <w:szCs w:val="16"/>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04" w:right="339" w:bottom="1440" w:gutter="0" w:footer="0" w:header="0"/>
        </w:sectPr>
      </w:pPr>
    </w:p>
    <w:bookmarkStart w:id="223" w:name="page224"/>
    <w:bookmarkEnd w:id="223"/>
    <w:p>
      <w:pPr>
        <w:ind w:left="284"/>
        <w:spacing w:after="0"/>
        <w:rPr>
          <w:sz w:val="20"/>
          <w:szCs w:val="20"/>
          <w:color w:val="auto"/>
        </w:rPr>
      </w:pPr>
      <w:r>
        <w:rPr>
          <w:rFonts w:ascii="Arial" w:cs="Arial" w:eastAsia="Arial" w:hAnsi="Arial"/>
          <w:sz w:val="16"/>
          <w:szCs w:val="16"/>
          <w:color w:val="auto"/>
        </w:rPr>
        <w:t>Risk appetite is instrumented through the following elements:</w:t>
      </w:r>
    </w:p>
    <w:p>
      <w:pPr>
        <w:spacing w:after="0" w:line="178" w:lineRule="exact"/>
        <w:rPr>
          <w:sz w:val="20"/>
          <w:szCs w:val="20"/>
          <w:color w:val="auto"/>
        </w:rPr>
      </w:pPr>
    </w:p>
    <w:p>
      <w:pPr>
        <w:ind w:left="284"/>
        <w:spacing w:after="0"/>
        <w:rPr>
          <w:sz w:val="20"/>
          <w:szCs w:val="20"/>
          <w:color w:val="auto"/>
        </w:rPr>
      </w:pPr>
      <w:r>
        <w:rPr>
          <w:rFonts w:ascii="Arial" w:cs="Arial" w:eastAsia="Arial" w:hAnsi="Arial"/>
          <w:sz w:val="16"/>
          <w:szCs w:val="16"/>
          <w:color w:val="auto"/>
        </w:rPr>
        <w:t>–   Risk appetite statement: Establishes explicit general principles and the qualitative declarations which complement the risk strategy.</w:t>
      </w:r>
    </w:p>
    <w:p>
      <w:pPr>
        <w:spacing w:after="0" w:line="18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   Metrics scorecards: These are used to define the levels of risk exposure in the different strategic pillars.</w:t>
      </w:r>
    </w:p>
    <w:p>
      <w:pPr>
        <w:spacing w:after="0" w:line="189" w:lineRule="exact"/>
        <w:rPr>
          <w:sz w:val="20"/>
          <w:szCs w:val="20"/>
          <w:color w:val="auto"/>
        </w:rPr>
      </w:pPr>
    </w:p>
    <w:p>
      <w:pPr>
        <w:ind w:left="584" w:right="20" w:hanging="290"/>
        <w:spacing w:after="0" w:line="274" w:lineRule="auto"/>
        <w:rPr>
          <w:sz w:val="20"/>
          <w:szCs w:val="20"/>
          <w:color w:val="auto"/>
        </w:rPr>
      </w:pPr>
      <w:r>
        <w:rPr>
          <w:rFonts w:ascii="Arial" w:cs="Arial" w:eastAsia="Arial" w:hAnsi="Arial"/>
          <w:sz w:val="16"/>
          <w:szCs w:val="16"/>
          <w:color w:val="auto"/>
        </w:rPr>
        <w:t>– Limits: Allows control over the risk-taking process within the tolerance threshold established by the Board. They also provide accountability for the risk-taking process and define guidelines regarding the target risk profile.</w:t>
      </w:r>
    </w:p>
    <w:p>
      <w:pPr>
        <w:spacing w:after="0" w:line="122" w:lineRule="exact"/>
        <w:rPr>
          <w:sz w:val="20"/>
          <w:szCs w:val="20"/>
          <w:color w:val="auto"/>
        </w:rPr>
      </w:pPr>
    </w:p>
    <w:p>
      <w:pPr>
        <w:ind w:left="584" w:right="480" w:hanging="290"/>
        <w:spacing w:after="0" w:line="274" w:lineRule="auto"/>
        <w:rPr>
          <w:sz w:val="20"/>
          <w:szCs w:val="20"/>
          <w:color w:val="auto"/>
        </w:rPr>
      </w:pPr>
      <w:r>
        <w:rPr>
          <w:rFonts w:ascii="Arial" w:cs="Arial" w:eastAsia="Arial" w:hAnsi="Arial"/>
          <w:sz w:val="16"/>
          <w:szCs w:val="16"/>
          <w:color w:val="auto"/>
        </w:rPr>
        <w:t>– Government scheme: Seeks to guarantee compliance of the framework through different roles and responsibilities assigned to the units involved.</w:t>
      </w:r>
    </w:p>
    <w:p>
      <w:pPr>
        <w:spacing w:after="0" w:line="123" w:lineRule="exact"/>
        <w:rPr>
          <w:sz w:val="20"/>
          <w:szCs w:val="20"/>
          <w:color w:val="auto"/>
        </w:rPr>
      </w:pPr>
    </w:p>
    <w:p>
      <w:pPr>
        <w:ind w:left="284" w:right="280"/>
        <w:spacing w:after="0" w:line="274" w:lineRule="auto"/>
        <w:rPr>
          <w:sz w:val="20"/>
          <w:szCs w:val="20"/>
          <w:color w:val="auto"/>
        </w:rPr>
      </w:pPr>
      <w:r>
        <w:rPr>
          <w:rFonts w:ascii="Arial" w:cs="Arial" w:eastAsia="Arial" w:hAnsi="Arial"/>
          <w:sz w:val="16"/>
          <w:szCs w:val="16"/>
          <w:color w:val="auto"/>
        </w:rPr>
        <w:t>The appetite is integrated into the processes of strategic and capital guidelines, as well as in the definition of the annual budget, facilitating the strategic decision making of the organization.</w:t>
      </w:r>
    </w:p>
    <w:p>
      <w:pPr>
        <w:spacing w:after="0" w:line="123" w:lineRule="exact"/>
        <w:rPr>
          <w:sz w:val="20"/>
          <w:szCs w:val="20"/>
          <w:color w:val="auto"/>
        </w:rPr>
      </w:pPr>
    </w:p>
    <w:p>
      <w:pPr>
        <w:ind w:left="284" w:hanging="284"/>
        <w:spacing w:after="0"/>
        <w:tabs>
          <w:tab w:leader="none" w:pos="28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Risk concentration -</w:t>
      </w:r>
    </w:p>
    <w:p>
      <w:pPr>
        <w:spacing w:after="0" w:line="189" w:lineRule="exact"/>
        <w:rPr>
          <w:rFonts w:ascii="Arial" w:cs="Arial" w:eastAsia="Arial" w:hAnsi="Arial"/>
          <w:sz w:val="16"/>
          <w:szCs w:val="16"/>
          <w:color w:val="auto"/>
        </w:rPr>
      </w:pPr>
    </w:p>
    <w:p>
      <w:pPr>
        <w:ind w:left="284" w:right="360"/>
        <w:spacing w:after="0" w:line="274" w:lineRule="auto"/>
        <w:rPr>
          <w:rFonts w:ascii="Arial" w:cs="Arial" w:eastAsia="Arial" w:hAnsi="Arial"/>
          <w:sz w:val="16"/>
          <w:szCs w:val="16"/>
          <w:color w:val="auto"/>
        </w:rPr>
      </w:pPr>
      <w:r>
        <w:rPr>
          <w:rFonts w:ascii="Arial" w:cs="Arial" w:eastAsia="Arial" w:hAnsi="Arial"/>
          <w:sz w:val="16"/>
          <w:szCs w:val="16"/>
          <w:color w:val="auto"/>
        </w:rPr>
        <w:t>Concentrations arise when a reduced and representative number of all of the counterparties of the Company are engaged in similar business activities, or activities in the same geographic region, or have similar economic and political conditions among others.</w:t>
      </w:r>
    </w:p>
    <w:p>
      <w:pPr>
        <w:spacing w:after="0" w:line="123" w:lineRule="exact"/>
        <w:rPr>
          <w:sz w:val="20"/>
          <w:szCs w:val="20"/>
          <w:color w:val="auto"/>
        </w:rPr>
      </w:pPr>
    </w:p>
    <w:p>
      <w:pPr>
        <w:ind w:left="284" w:right="360"/>
        <w:spacing w:after="0" w:line="274" w:lineRule="auto"/>
        <w:rPr>
          <w:sz w:val="20"/>
          <w:szCs w:val="20"/>
          <w:color w:val="auto"/>
        </w:rPr>
      </w:pPr>
      <w:r>
        <w:rPr>
          <w:rFonts w:ascii="Arial" w:cs="Arial" w:eastAsia="Arial" w:hAnsi="Arial"/>
          <w:sz w:val="16"/>
          <w:szCs w:val="16"/>
          <w:color w:val="auto"/>
        </w:rPr>
        <w:t>In order to avoid excessive concentrations of risk, the policies and procedures include specific guidelines and limits to guarantee a diversified portfolio.</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Credit risk -</w:t>
      </w:r>
    </w:p>
    <w:p>
      <w:pPr>
        <w:spacing w:after="0" w:line="178" w:lineRule="exact"/>
        <w:rPr>
          <w:sz w:val="20"/>
          <w:szCs w:val="20"/>
          <w:color w:val="auto"/>
        </w:rPr>
      </w:pPr>
    </w:p>
    <w:p>
      <w:pPr>
        <w:jc w:val="both"/>
        <w:ind w:left="4" w:right="360"/>
        <w:spacing w:after="0" w:line="255" w:lineRule="auto"/>
        <w:rPr>
          <w:sz w:val="20"/>
          <w:szCs w:val="20"/>
          <w:color w:val="auto"/>
        </w:rPr>
      </w:pPr>
      <w:r>
        <w:rPr>
          <w:rFonts w:ascii="Arial" w:cs="Arial" w:eastAsia="Arial" w:hAnsi="Arial"/>
          <w:sz w:val="16"/>
          <w:szCs w:val="16"/>
          <w:color w:val="auto"/>
        </w:rPr>
        <w:t>The assets of the Company that are potentially exposed to significant concentrations of credit risk include cash and cash equivalents, receivables from related parties and investments at fair value through profit or loss. The magnitude of the maximum exposure to credit risk of the Company is represented by the balance of the aforementioned items at the date of the statement of financial position.</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December 31, 2025 and 2024, 100.00 percent of cash was in entities which are part of Credicorp and subsidiaries.</w:t>
      </w:r>
    </w:p>
    <w:p>
      <w:pPr>
        <w:spacing w:after="0" w:line="178" w:lineRule="exact"/>
        <w:rPr>
          <w:sz w:val="20"/>
          <w:szCs w:val="20"/>
          <w:color w:val="auto"/>
        </w:rPr>
      </w:pPr>
    </w:p>
    <w:p>
      <w:pPr>
        <w:ind w:left="4" w:right="980"/>
        <w:spacing w:after="0" w:line="274" w:lineRule="auto"/>
        <w:rPr>
          <w:sz w:val="20"/>
          <w:szCs w:val="20"/>
          <w:color w:val="auto"/>
        </w:rPr>
      </w:pPr>
      <w:r>
        <w:rPr>
          <w:rFonts w:ascii="Arial" w:cs="Arial" w:eastAsia="Arial" w:hAnsi="Arial"/>
          <w:sz w:val="16"/>
          <w:szCs w:val="16"/>
          <w:color w:val="auto"/>
        </w:rPr>
        <w:t>Accordingly, in the opinion of Management, the Company does not have any concentration that represents a significant credit risk on the aforementioned dates.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Liquidity risk -</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Liquidity risk is the risk that the Company is unable to meet its short-term payment obligations associated with its financial liabilities when they fall due.</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this regard, the Company that is facing a liquidity crisis would be failing to comply with the obligations to pay to bond holders.</w:t>
      </w:r>
    </w:p>
    <w:p>
      <w:pPr>
        <w:spacing w:after="0" w:line="162" w:lineRule="exact"/>
        <w:rPr>
          <w:sz w:val="20"/>
          <w:szCs w:val="20"/>
          <w:color w:val="auto"/>
        </w:rPr>
      </w:pPr>
    </w:p>
    <w:p>
      <w:pPr>
        <w:ind w:left="4" w:right="480"/>
        <w:spacing w:after="0" w:line="274" w:lineRule="auto"/>
        <w:rPr>
          <w:sz w:val="20"/>
          <w:szCs w:val="20"/>
          <w:color w:val="auto"/>
        </w:rPr>
      </w:pPr>
      <w:r>
        <w:rPr>
          <w:rFonts w:ascii="Arial" w:cs="Arial" w:eastAsia="Arial" w:hAnsi="Arial"/>
          <w:sz w:val="16"/>
          <w:szCs w:val="16"/>
          <w:color w:val="auto"/>
        </w:rPr>
        <w:t>Corporate policies have been implemented for liquidity risk management by the Company. Risk Management heads set up limits and autonomy models to determine the adequate liquidity indicators to be managed.</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Market risk -</w:t>
      </w:r>
    </w:p>
    <w:p>
      <w:pPr>
        <w:spacing w:after="0" w:line="178" w:lineRule="exact"/>
        <w:rPr>
          <w:sz w:val="20"/>
          <w:szCs w:val="20"/>
          <w:color w:val="auto"/>
        </w:rPr>
      </w:pPr>
    </w:p>
    <w:p>
      <w:pPr>
        <w:ind w:left="4" w:right="60"/>
        <w:spacing w:after="0" w:line="274" w:lineRule="auto"/>
        <w:rPr>
          <w:sz w:val="20"/>
          <w:szCs w:val="20"/>
          <w:color w:val="auto"/>
        </w:rPr>
      </w:pPr>
      <w:r>
        <w:rPr>
          <w:rFonts w:ascii="Arial" w:cs="Arial" w:eastAsia="Arial" w:hAnsi="Arial"/>
          <w:sz w:val="16"/>
          <w:szCs w:val="16"/>
          <w:color w:val="auto"/>
        </w:rPr>
        <w:t>Market risk is the risk that the fair value or future cash flows of a financial instrument will fluctuate because of changes in market prices. Market prices encompass the following types of risk:</w:t>
      </w:r>
    </w:p>
    <w:p>
      <w:pPr>
        <w:spacing w:after="0" w:line="280" w:lineRule="exact"/>
        <w:rPr>
          <w:sz w:val="20"/>
          <w:szCs w:val="20"/>
          <w:color w:val="auto"/>
        </w:rPr>
      </w:pPr>
    </w:p>
    <w:p>
      <w:pPr>
        <w:ind w:left="4844"/>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04" w:right="339" w:bottom="1440" w:gutter="0" w:footer="0" w:header="0"/>
        </w:sectPr>
      </w:pPr>
    </w:p>
    <w:bookmarkStart w:id="224" w:name="page225"/>
    <w:bookmarkEnd w:id="224"/>
    <w:p>
      <w:pPr>
        <w:ind w:left="284" w:hanging="284"/>
        <w:spacing w:after="0"/>
        <w:tabs>
          <w:tab w:leader="none" w:pos="28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Exchange rate risk -</w:t>
      </w:r>
    </w:p>
    <w:p>
      <w:pPr>
        <w:spacing w:after="0" w:line="189" w:lineRule="exact"/>
        <w:rPr>
          <w:rFonts w:ascii="Arial" w:cs="Arial" w:eastAsia="Arial" w:hAnsi="Arial"/>
          <w:sz w:val="16"/>
          <w:szCs w:val="16"/>
          <w:color w:val="auto"/>
        </w:rPr>
      </w:pPr>
    </w:p>
    <w:p>
      <w:pPr>
        <w:jc w:val="both"/>
        <w:ind w:left="284"/>
        <w:spacing w:after="0" w:line="255" w:lineRule="auto"/>
        <w:rPr>
          <w:rFonts w:ascii="Arial" w:cs="Arial" w:eastAsia="Arial" w:hAnsi="Arial"/>
          <w:sz w:val="16"/>
          <w:szCs w:val="16"/>
          <w:color w:val="auto"/>
        </w:rPr>
      </w:pPr>
      <w:r>
        <w:rPr>
          <w:rFonts w:ascii="Arial" w:cs="Arial" w:eastAsia="Arial" w:hAnsi="Arial"/>
          <w:sz w:val="16"/>
          <w:szCs w:val="16"/>
          <w:color w:val="auto"/>
        </w:rPr>
        <w:t>Exchange rate risk is produced by changes in fair value of future cash flows arising from a financial instrument due to fluctuations in the exchange rate. The Administration and Finance Management has the responsibility to identify, measure, control and communicate the Company’s exposure to global exchange rate risk.</w:t>
      </w:r>
    </w:p>
    <w:p>
      <w:pPr>
        <w:spacing w:after="0" w:line="137" w:lineRule="exact"/>
        <w:rPr>
          <w:rFonts w:ascii="Arial" w:cs="Arial" w:eastAsia="Arial" w:hAnsi="Arial"/>
          <w:sz w:val="16"/>
          <w:szCs w:val="16"/>
          <w:color w:val="auto"/>
        </w:rPr>
      </w:pPr>
    </w:p>
    <w:p>
      <w:pPr>
        <w:ind w:left="284" w:right="60"/>
        <w:spacing w:after="0" w:line="274" w:lineRule="auto"/>
        <w:rPr>
          <w:rFonts w:ascii="Arial" w:cs="Arial" w:eastAsia="Arial" w:hAnsi="Arial"/>
          <w:sz w:val="16"/>
          <w:szCs w:val="16"/>
          <w:color w:val="auto"/>
        </w:rPr>
      </w:pPr>
      <w:r>
        <w:rPr>
          <w:rFonts w:ascii="Arial" w:cs="Arial" w:eastAsia="Arial" w:hAnsi="Arial"/>
          <w:sz w:val="16"/>
          <w:szCs w:val="16"/>
          <w:color w:val="auto"/>
        </w:rPr>
        <w:t>As of December 31, 2025, the free market exchange rate for buying and selling transactions for each U.S. dollars, the main foreign currency held by the Company, was S/3.363 (S/3.764 as of December 31, 2024).</w:t>
      </w:r>
    </w:p>
    <w:p>
      <w:pPr>
        <w:spacing w:after="0" w:line="122"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As of December 31, 2025 and 2024 the Company had the following assets and liabilities denominated in U.S. dollars:</w:t>
      </w:r>
    </w:p>
    <w:p>
      <w:pPr>
        <w:spacing w:after="0" w:line="190" w:lineRule="exact"/>
        <w:rPr>
          <w:sz w:val="20"/>
          <w:szCs w:val="20"/>
          <w:color w:val="auto"/>
        </w:rPr>
      </w:pPr>
    </w:p>
    <w:tbl>
      <w:tblPr>
        <w:tblLayout w:type="fixed"/>
        <w:tblInd w:w="344" w:type="dxa"/>
        <w:tblCellMar>
          <w:top w:w="0" w:type="dxa"/>
          <w:left w:w="0" w:type="dxa"/>
          <w:bottom w:w="0" w:type="dxa"/>
          <w:right w:w="0" w:type="dxa"/>
        </w:tblCellMar>
      </w:tblPr>
      <w:tr>
        <w:trPr>
          <w:trHeight w:val="198"/>
        </w:trPr>
        <w:tc>
          <w:tcPr>
            <w:tcW w:w="5760" w:type="dxa"/>
            <w:vAlign w:val="bottom"/>
          </w:tcPr>
          <w:p>
            <w:pPr>
              <w:spacing w:after="0"/>
              <w:rPr>
                <w:sz w:val="17"/>
                <w:szCs w:val="17"/>
                <w:color w:val="auto"/>
              </w:rPr>
            </w:pPr>
          </w:p>
        </w:tc>
        <w:tc>
          <w:tcPr>
            <w:tcW w:w="3120" w:type="dxa"/>
            <w:vAlign w:val="bottom"/>
            <w:gridSpan w:val="2"/>
          </w:tcPr>
          <w:p>
            <w:pPr>
              <w:ind w:left="220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US$(000)</w:t>
            </w:r>
          </w:p>
        </w:tc>
        <w:tc>
          <w:tcPr>
            <w:tcW w:w="18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US$(000)</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5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760" w:type="dxa"/>
            <w:vAlign w:val="bottom"/>
          </w:tcPr>
          <w:p>
            <w:pPr>
              <w:spacing w:after="0" w:line="181" w:lineRule="exact"/>
              <w:rPr>
                <w:sz w:val="20"/>
                <w:szCs w:val="20"/>
                <w:color w:val="auto"/>
              </w:rPr>
            </w:pPr>
            <w:r>
              <w:rPr>
                <w:rFonts w:ascii="Arial" w:cs="Arial" w:eastAsia="Arial" w:hAnsi="Arial"/>
                <w:sz w:val="16"/>
                <w:szCs w:val="16"/>
                <w:color w:val="auto"/>
              </w:rPr>
              <w:t>Cash and cash equivalents</w:t>
            </w:r>
          </w:p>
        </w:tc>
        <w:tc>
          <w:tcPr>
            <w:tcW w:w="330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7,953</w:t>
            </w:r>
          </w:p>
        </w:tc>
        <w:tc>
          <w:tcPr>
            <w:tcW w:w="9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6,647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60" w:type="dxa"/>
            <w:vAlign w:val="bottom"/>
          </w:tcPr>
          <w:p>
            <w:pPr>
              <w:spacing w:after="0" w:line="181" w:lineRule="exact"/>
              <w:rPr>
                <w:sz w:val="20"/>
                <w:szCs w:val="20"/>
                <w:color w:val="auto"/>
              </w:rPr>
            </w:pPr>
            <w:r>
              <w:rPr>
                <w:rFonts w:ascii="Arial" w:cs="Arial" w:eastAsia="Arial" w:hAnsi="Arial"/>
                <w:sz w:val="16"/>
                <w:szCs w:val="16"/>
                <w:color w:val="auto"/>
              </w:rPr>
              <w:t>At fair value through other comprehensive income</w:t>
            </w:r>
          </w:p>
        </w:tc>
        <w:tc>
          <w:tcPr>
            <w:tcW w:w="330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4,448</w:t>
            </w:r>
          </w:p>
        </w:tc>
        <w:tc>
          <w:tcPr>
            <w:tcW w:w="9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305,423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color w:val="auto"/>
              </w:rPr>
              <w:t>At maturity</w:t>
            </w:r>
          </w:p>
        </w:tc>
        <w:tc>
          <w:tcPr>
            <w:tcW w:w="2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184,817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496,887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76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760" w:type="dxa"/>
            <w:vAlign w:val="bottom"/>
          </w:tcPr>
          <w:p>
            <w:pPr>
              <w:spacing w:after="0" w:line="181" w:lineRule="exact"/>
              <w:rPr>
                <w:sz w:val="20"/>
                <w:szCs w:val="20"/>
                <w:color w:val="auto"/>
              </w:rPr>
            </w:pPr>
            <w:r>
              <w:rPr>
                <w:rFonts w:ascii="Arial" w:cs="Arial" w:eastAsia="Arial" w:hAnsi="Arial"/>
                <w:sz w:val="16"/>
                <w:szCs w:val="16"/>
                <w:color w:val="auto"/>
              </w:rPr>
              <w:t>Bonds and notes issued</w:t>
            </w:r>
          </w:p>
        </w:tc>
        <w:tc>
          <w:tcPr>
            <w:tcW w:w="2200" w:type="dxa"/>
            <w:vAlign w:val="bottom"/>
          </w:tcPr>
          <w:p>
            <w:pPr>
              <w:spacing w:after="0"/>
              <w:rPr>
                <w:sz w:val="15"/>
                <w:szCs w:val="15"/>
                <w:color w:val="auto"/>
              </w:rPr>
            </w:pPr>
          </w:p>
        </w:tc>
        <w:tc>
          <w:tcPr>
            <w:tcW w:w="110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960" w:type="dxa"/>
            <w:vAlign w:val="bottom"/>
            <w:gridSpan w:val="4"/>
          </w:tcPr>
          <w:p>
            <w:pPr>
              <w:jc w:val="right"/>
              <w:spacing w:after="0" w:line="181" w:lineRule="exact"/>
              <w:rPr>
                <w:sz w:val="20"/>
                <w:szCs w:val="20"/>
                <w:color w:val="auto"/>
              </w:rPr>
            </w:pPr>
            <w:r>
              <w:rPr>
                <w:rFonts w:ascii="Arial" w:cs="Arial" w:eastAsia="Arial" w:hAnsi="Arial"/>
                <w:sz w:val="16"/>
                <w:szCs w:val="16"/>
                <w:color w:val="auto"/>
              </w:rPr>
              <w:t>(486,094)</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color w:val="auto"/>
              </w:rPr>
              <w:t>Other liabilities</w:t>
            </w:r>
          </w:p>
        </w:tc>
        <w:tc>
          <w:tcPr>
            <w:tcW w:w="3300" w:type="dxa"/>
            <w:vAlign w:val="bottom"/>
            <w:gridSpan w:val="3"/>
          </w:tcPr>
          <w:p>
            <w:pPr>
              <w:jc w:val="right"/>
              <w:ind w:right="140"/>
              <w:spacing w:after="0"/>
              <w:rPr>
                <w:sz w:val="20"/>
                <w:szCs w:val="20"/>
                <w:color w:val="auto"/>
              </w:rPr>
            </w:pPr>
            <w:r>
              <w:rPr>
                <w:rFonts w:ascii="Arial" w:cs="Arial" w:eastAsia="Arial" w:hAnsi="Arial"/>
                <w:sz w:val="16"/>
                <w:szCs w:val="16"/>
                <w:color w:val="auto"/>
              </w:rPr>
              <w:t>(15,396)</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(10,872)</w:t>
            </w:r>
          </w:p>
        </w:tc>
        <w:tc>
          <w:tcPr>
            <w:tcW w:w="0" w:type="dxa"/>
            <w:vAlign w:val="bottom"/>
          </w:tcPr>
          <w:p>
            <w:pPr>
              <w:spacing w:after="0"/>
              <w:rPr>
                <w:sz w:val="1"/>
                <w:szCs w:val="1"/>
                <w:color w:val="auto"/>
              </w:rPr>
            </w:pPr>
          </w:p>
        </w:tc>
      </w:tr>
      <w:tr>
        <w:trPr>
          <w:trHeight w:val="206"/>
        </w:trPr>
        <w:tc>
          <w:tcPr>
            <w:tcW w:w="5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(496,966)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Net monetary position</w:t>
            </w:r>
          </w:p>
        </w:tc>
        <w:tc>
          <w:tcPr>
            <w:tcW w:w="2200" w:type="dxa"/>
            <w:vAlign w:val="bottom"/>
            <w:vMerge w:val="restart"/>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76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9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(2,995)</w:t>
            </w: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(79)</w:t>
            </w: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
        <w:spacing w:after="0"/>
        <w:tabs>
          <w:tab w:leader="none" w:pos="264" w:val="left"/>
        </w:tabs>
        <w:rPr>
          <w:sz w:val="20"/>
          <w:szCs w:val="20"/>
          <w:color w:val="auto"/>
        </w:rPr>
      </w:pPr>
      <w:r>
        <w:rPr>
          <w:rFonts w:ascii="Arial" w:cs="Arial" w:eastAsia="Arial" w:hAnsi="Arial"/>
          <w:sz w:val="16"/>
          <w:szCs w:val="16"/>
          <w:color w:val="auto"/>
        </w:rPr>
        <w:t>ii)</w:t>
        <w:tab/>
        <w:t>Interest rate risk -</w:t>
      </w:r>
    </w:p>
    <w:p>
      <w:pPr>
        <w:spacing w:after="0" w:line="190" w:lineRule="exact"/>
        <w:rPr>
          <w:sz w:val="20"/>
          <w:szCs w:val="20"/>
          <w:color w:val="auto"/>
        </w:rPr>
      </w:pPr>
    </w:p>
    <w:p>
      <w:pPr>
        <w:ind w:left="284" w:right="80"/>
        <w:spacing w:after="0" w:line="255" w:lineRule="auto"/>
        <w:rPr>
          <w:sz w:val="20"/>
          <w:szCs w:val="20"/>
          <w:color w:val="auto"/>
        </w:rPr>
      </w:pPr>
      <w:r>
        <w:rPr>
          <w:rFonts w:ascii="Arial" w:cs="Arial" w:eastAsia="Arial" w:hAnsi="Arial"/>
          <w:sz w:val="16"/>
          <w:szCs w:val="16"/>
          <w:color w:val="auto"/>
        </w:rPr>
        <w:t>The Company does not have financial instruments which generate or pay significant interest rates; therefore, Management considers that fluctuations in the interest rate will not affect significantly the Company’s operations. Furthermore, as part of Credicorp, the Company has access to financial instruments at market rates, when necessary.</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Non-financial risk -</w:t>
      </w:r>
    </w:p>
    <w:p>
      <w:pPr>
        <w:spacing w:after="0" w:line="178"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A non-financial risk (NFR) is broadly defined by exclusion, encompassing any risk other than financial market, credit and liquidity risks. NFR may have substantial negative strategic, commercial, economic and/or reputational implications. They include operational risks as defined by Basel’s seven types of operational risk events, as well as other significant risks such as technology, cyber, conduct, model, compliance, strategic and third-party risks.</w:t>
      </w:r>
    </w:p>
    <w:p>
      <w:pPr>
        <w:spacing w:after="0" w:line="144" w:lineRule="exact"/>
        <w:rPr>
          <w:sz w:val="20"/>
          <w:szCs w:val="20"/>
          <w:color w:val="auto"/>
        </w:rPr>
      </w:pPr>
    </w:p>
    <w:p>
      <w:pPr>
        <w:ind w:left="4" w:right="180"/>
        <w:spacing w:after="0" w:line="255" w:lineRule="auto"/>
        <w:rPr>
          <w:sz w:val="20"/>
          <w:szCs w:val="20"/>
          <w:color w:val="auto"/>
        </w:rPr>
      </w:pPr>
      <w:r>
        <w:rPr>
          <w:rFonts w:ascii="Arial" w:cs="Arial" w:eastAsia="Arial" w:hAnsi="Arial"/>
          <w:sz w:val="16"/>
          <w:szCs w:val="16"/>
          <w:color w:val="auto"/>
        </w:rPr>
        <w:t>The management of non-financial risks has become increasingly challenging due to the added complexity of rapid technological advancements, extensive process automation, greater reliance on systems rather than people, and transformational processes. These changes in the way financial institutions operate have led to new risk exposures, including attacks affecting the Company’s services, data theft and online fraud.</w:t>
      </w:r>
    </w:p>
    <w:p>
      <w:pPr>
        <w:spacing w:after="0" w:line="294" w:lineRule="exact"/>
        <w:rPr>
          <w:sz w:val="20"/>
          <w:szCs w:val="20"/>
          <w:color w:val="auto"/>
        </w:rPr>
      </w:pPr>
    </w:p>
    <w:p>
      <w:pPr>
        <w:ind w:left="4844"/>
        <w:spacing w:after="0"/>
        <w:rPr>
          <w:sz w:val="20"/>
          <w:szCs w:val="20"/>
          <w:color w:val="auto"/>
        </w:rPr>
      </w:pPr>
      <w:r>
        <w:rPr>
          <w:rFonts w:ascii="Arial" w:cs="Arial" w:eastAsia="Arial" w:hAnsi="Arial"/>
          <w:sz w:val="16"/>
          <w:szCs w:val="16"/>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44"/>
          </w:cols>
          <w:pgMar w:left="896" w:top="292" w:right="35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b w:val="1"/>
          <w:bCs w:val="1"/>
          <w:color w:val="auto"/>
        </w:rPr>
        <w:t>Operational risk –</w:t>
      </w:r>
    </w:p>
    <w:p>
      <w:pPr>
        <w:spacing w:after="0" w:line="178"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Operational risk is the possibility of incurring losses due to inadequate processes, human error, information technology failures, third party relationships or external events. These risks can result in financial losses and have legal or regulatory compliance consequences, but they exclude strategic or reputational risk (except for companies under Colombian regulations, where reputational risk is included in operational risk).</w:t>
      </w:r>
    </w:p>
    <w:p>
      <w:pPr>
        <w:spacing w:after="0" w:line="137" w:lineRule="exact"/>
        <w:rPr>
          <w:sz w:val="20"/>
          <w:szCs w:val="20"/>
          <w:color w:val="auto"/>
        </w:rPr>
      </w:pPr>
    </w:p>
    <w:p>
      <w:pPr>
        <w:ind w:right="580"/>
        <w:spacing w:after="0" w:line="274" w:lineRule="auto"/>
        <w:rPr>
          <w:sz w:val="20"/>
          <w:szCs w:val="20"/>
          <w:color w:val="auto"/>
        </w:rPr>
      </w:pPr>
      <w:r>
        <w:rPr>
          <w:rFonts w:ascii="Arial" w:cs="Arial" w:eastAsia="Arial" w:hAnsi="Arial"/>
          <w:sz w:val="16"/>
          <w:szCs w:val="16"/>
          <w:color w:val="auto"/>
        </w:rPr>
        <w:t>Operational risks are categorized into internal fraud, external fraud, labor relations and job security, customer relations, business products and practices, damage to material assets, business and systems interruption, and failures in process, execution, delivery and management.</w:t>
      </w:r>
    </w:p>
    <w:p>
      <w:pPr>
        <w:spacing w:after="0" w:line="123"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One of the Company’s pillars is to cultivate an efficient risk culture. To achieve this, it records operational risks and their respective process controls. The risk map allows for the monitoring, prioritization and proposed treatment of these risks according to established governance. Additionally, the Company actively manages cybersecurity and fraud prevention, aligning with best international practices.</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business continuity management system enables the establishment, implementation, operation, monitoring, review, maintenance, and improvement of business continuity based on best practices and regulatory requirements. The Company implements recovery strategies for resources that support critical products and services, which are periodically tested to measure the effectiveness of these strategies.</w:t>
      </w:r>
    </w:p>
    <w:p>
      <w:pPr>
        <w:spacing w:after="0" w:line="137" w:lineRule="exact"/>
        <w:rPr>
          <w:sz w:val="20"/>
          <w:szCs w:val="20"/>
          <w:color w:val="auto"/>
        </w:rPr>
      </w:pPr>
    </w:p>
    <w:p>
      <w:pPr>
        <w:ind w:right="500"/>
        <w:spacing w:after="0" w:line="274" w:lineRule="auto"/>
        <w:rPr>
          <w:sz w:val="20"/>
          <w:szCs w:val="20"/>
          <w:color w:val="auto"/>
        </w:rPr>
      </w:pPr>
      <w:r>
        <w:rPr>
          <w:rFonts w:ascii="Arial" w:cs="Arial" w:eastAsia="Arial" w:hAnsi="Arial"/>
          <w:sz w:val="16"/>
          <w:szCs w:val="16"/>
          <w:color w:val="auto"/>
        </w:rPr>
        <w:t>In managing operational risk, cybersecurity, fraud prevention and business continuity, corporate guidelines are utilized, methodologies and best practices are shared among the Company’s subsidiaries.</w:t>
      </w:r>
    </w:p>
    <w:p>
      <w:pPr>
        <w:spacing w:after="0" w:line="12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also have recovery mechanisms for the materialization of operational risks, primarily through insurance policies contracted for all Credicorp companies in the international market. These policies cover losses due to fraud events, professional liability, cyber risks, and directors’ liability. Additionally, we have insurance policies individually contracted by Credicorp companies in the local market that cover losses due to material damage to physical assets and civil liability.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Credicorp directs its efforts towards cost-efficient strategies to minimize the exposure to cybersecurity risk. To this end, it implements different levels of controls adapted to the different areas and potentially vulnerable companies. In addition, it maintains a significant investment program that ensures the availability of technologies and processes necessary to protect the Company’s operations and assets.</w:t>
      </w:r>
    </w:p>
    <w:p>
      <w:pPr>
        <w:spacing w:after="0" w:line="137"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Within the framework of cybersecurity governance, the Company has a Credicorp CISO and a corporate team dedicated to implementing and ensuring compliance with the cybersecurity strategy across all companies. A corporate strategy and plan has been established that includes implementation priorities and improvements, adapted to each company’s specific context. These lines of work comprise the Cybersecurity Strategy, which is constantly reviewed considering the global scenario, risk profile, standards, frameworks and regulations, with the aim of ensuring business continuity, resilience and data privacy. In addition, a robust cybersecurity framework is adopted that allows adjusting cybersecurity controls for each Company’s subsidiaries, managing and remediating vulnerabilities in an early and timely manner.</w:t>
      </w:r>
    </w:p>
    <w:p>
      <w:pPr>
        <w:spacing w:after="0" w:line="149" w:lineRule="exact"/>
        <w:rPr>
          <w:sz w:val="20"/>
          <w:szCs w:val="20"/>
          <w:color w:val="auto"/>
        </w:rPr>
      </w:pPr>
    </w:p>
    <w:p>
      <w:pPr>
        <w:ind w:right="620"/>
        <w:spacing w:after="0" w:line="274" w:lineRule="auto"/>
        <w:rPr>
          <w:sz w:val="20"/>
          <w:szCs w:val="20"/>
          <w:color w:val="auto"/>
        </w:rPr>
      </w:pPr>
      <w:r>
        <w:rPr>
          <w:rFonts w:ascii="Arial" w:cs="Arial" w:eastAsia="Arial" w:hAnsi="Arial"/>
          <w:sz w:val="16"/>
          <w:szCs w:val="16"/>
          <w:color w:val="auto"/>
        </w:rPr>
        <w:t>The Company also has an awareness and continuous training program for its employees, fostering a culture of cybersecurity awareness in all companies. In addition, cybersecurity indicators are used to ensure alignment between operations and the Company’s business strategy.</w:t>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wp:posOffset>
            </wp:positionV>
            <wp:extent cx="714692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0"/>
          </w:cols>
          <w:pgMar w:left="900" w:top="304" w:right="339" w:bottom="1440" w:gutter="0" w:footer="0" w:header="0"/>
        </w:sectPr>
      </w:pPr>
    </w:p>
    <w:bookmarkStart w:id="226" w:name="page227"/>
    <w:bookmarkEnd w:id="226"/>
    <w:p>
      <w:pPr>
        <w:ind w:left="583" w:right="120"/>
        <w:spacing w:after="0" w:line="274" w:lineRule="auto"/>
        <w:rPr>
          <w:sz w:val="20"/>
          <w:szCs w:val="20"/>
          <w:color w:val="auto"/>
        </w:rPr>
      </w:pPr>
      <w:r>
        <w:rPr>
          <w:rFonts w:ascii="Arial" w:cs="Arial" w:eastAsia="Arial" w:hAnsi="Arial"/>
          <w:sz w:val="16"/>
          <w:szCs w:val="16"/>
          <w:color w:val="auto"/>
        </w:rPr>
        <w:t>The Company’s siubsidiaries have third-party governance policies in place, which establish the security requirements to be met by service providers, compliance with which is mandatory.</w:t>
      </w:r>
    </w:p>
    <w:p>
      <w:pPr>
        <w:spacing w:after="0" w:line="123" w:lineRule="exact"/>
        <w:rPr>
          <w:sz w:val="20"/>
          <w:szCs w:val="20"/>
          <w:color w:val="auto"/>
        </w:rPr>
      </w:pPr>
    </w:p>
    <w:p>
      <w:pPr>
        <w:jc w:val="both"/>
        <w:ind w:left="583" w:right="360"/>
        <w:spacing w:after="0" w:line="255" w:lineRule="auto"/>
        <w:rPr>
          <w:sz w:val="20"/>
          <w:szCs w:val="20"/>
          <w:color w:val="auto"/>
        </w:rPr>
      </w:pPr>
      <w:r>
        <w:rPr>
          <w:rFonts w:ascii="Arial" w:cs="Arial" w:eastAsia="Arial" w:hAnsi="Arial"/>
          <w:sz w:val="16"/>
          <w:szCs w:val="16"/>
          <w:color w:val="auto"/>
        </w:rPr>
        <w:t>Finally, asset information security management is carried out through a systematic process, documented and known throughout the organization, following best practices and regulatory requirements. Guidelines based on policies and procedures are designed and developed to guarantee the availability, confidentiality and integrity of the information.</w:t>
      </w:r>
    </w:p>
    <w:p>
      <w:pPr>
        <w:spacing w:after="0" w:line="137" w:lineRule="exact"/>
        <w:rPr>
          <w:sz w:val="20"/>
          <w:szCs w:val="20"/>
          <w:color w:val="auto"/>
        </w:rPr>
      </w:pPr>
    </w:p>
    <w:p>
      <w:pPr>
        <w:ind w:left="583"/>
        <w:spacing w:after="0"/>
        <w:rPr>
          <w:sz w:val="20"/>
          <w:szCs w:val="20"/>
          <w:color w:val="auto"/>
        </w:rPr>
      </w:pPr>
      <w:r>
        <w:rPr>
          <w:rFonts w:ascii="Arial" w:cs="Arial" w:eastAsia="Arial" w:hAnsi="Arial"/>
          <w:sz w:val="16"/>
          <w:szCs w:val="16"/>
          <w:b w:val="1"/>
          <w:bCs w:val="1"/>
          <w:color w:val="auto"/>
        </w:rPr>
        <w:t>Corporate Security and Cybercrime –</w:t>
      </w:r>
    </w:p>
    <w:p>
      <w:pPr>
        <w:spacing w:after="0" w:line="178" w:lineRule="exact"/>
        <w:rPr>
          <w:sz w:val="20"/>
          <w:szCs w:val="20"/>
          <w:color w:val="auto"/>
        </w:rPr>
      </w:pPr>
    </w:p>
    <w:p>
      <w:pPr>
        <w:ind w:left="583" w:right="620"/>
        <w:spacing w:after="0" w:line="274" w:lineRule="auto"/>
        <w:rPr>
          <w:sz w:val="20"/>
          <w:szCs w:val="20"/>
          <w:color w:val="auto"/>
        </w:rPr>
      </w:pPr>
      <w:r>
        <w:rPr>
          <w:rFonts w:ascii="Arial" w:cs="Arial" w:eastAsia="Arial" w:hAnsi="Arial"/>
          <w:sz w:val="16"/>
          <w:szCs w:val="16"/>
          <w:color w:val="auto"/>
        </w:rPr>
        <w:t>As part of the management of non-financial risks, the Corporate Security, Investigations and Cybercrime Area is responsible for detecting and responding to incidents involving fraud, cybercrime and physical security.</w:t>
      </w:r>
    </w:p>
    <w:p>
      <w:pPr>
        <w:spacing w:after="0" w:line="123" w:lineRule="exact"/>
        <w:rPr>
          <w:sz w:val="20"/>
          <w:szCs w:val="20"/>
          <w:color w:val="auto"/>
        </w:rPr>
      </w:pPr>
    </w:p>
    <w:p>
      <w:pPr>
        <w:ind w:left="583"/>
        <w:spacing w:after="0" w:line="245" w:lineRule="auto"/>
        <w:rPr>
          <w:sz w:val="20"/>
          <w:szCs w:val="20"/>
          <w:color w:val="auto"/>
        </w:rPr>
      </w:pPr>
      <w:r>
        <w:rPr>
          <w:rFonts w:ascii="Arial" w:cs="Arial" w:eastAsia="Arial" w:hAnsi="Arial"/>
          <w:sz w:val="16"/>
          <w:szCs w:val="16"/>
          <w:color w:val="auto"/>
        </w:rPr>
        <w:t>These efforts led out by specialized teams in investigations, cybercrime, electronic security, disaster management, and strategic intelligence activities, including social conflicts. Likewise, new capabilities have been incorporated into our infrastructure’s video surveillance system, which not only ensures compliance with new standards and regulations but also facilitates the integration of next-generation video intelligence functions. These include intelligent cameras supported by algorithms, analytics, and artificial intelligence, thus optimizing risk management with the expanded reach provided by current technology.</w:t>
      </w:r>
    </w:p>
    <w:p>
      <w:pPr>
        <w:spacing w:after="0" w:line="147" w:lineRule="exact"/>
        <w:rPr>
          <w:sz w:val="20"/>
          <w:szCs w:val="20"/>
          <w:color w:val="auto"/>
        </w:rPr>
      </w:pPr>
    </w:p>
    <w:p>
      <w:pPr>
        <w:ind w:left="583" w:right="40"/>
        <w:spacing w:after="0" w:line="248" w:lineRule="auto"/>
        <w:rPr>
          <w:sz w:val="20"/>
          <w:szCs w:val="20"/>
          <w:color w:val="auto"/>
        </w:rPr>
      </w:pPr>
      <w:r>
        <w:rPr>
          <w:rFonts w:ascii="Arial" w:cs="Arial" w:eastAsia="Arial" w:hAnsi="Arial"/>
          <w:sz w:val="16"/>
          <w:szCs w:val="16"/>
          <w:color w:val="auto"/>
        </w:rPr>
        <w:t>Finally, we contribute to the security of the Financial System are made through collaborative efforts carried out at both the local and regional levels. At the local level, these efforts are channeled through participation in the Association of Banks of Peru (ASBANC, by its acronym in Spanish), while at the Latin American level, they are conducted through the Committee of Security Experts of the Latin American Federation of Banks (FELABAN, by its acronym in Spanish).</w:t>
      </w:r>
    </w:p>
    <w:p>
      <w:pPr>
        <w:spacing w:after="0" w:line="144" w:lineRule="exact"/>
        <w:rPr>
          <w:sz w:val="20"/>
          <w:szCs w:val="20"/>
          <w:color w:val="auto"/>
        </w:rPr>
      </w:pPr>
    </w:p>
    <w:p>
      <w:pPr>
        <w:ind w:left="583" w:hanging="583"/>
        <w:spacing w:after="0"/>
        <w:tabs>
          <w:tab w:leader="none" w:pos="583"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77" w:lineRule="exact"/>
        <w:rPr>
          <w:rFonts w:ascii="Arial" w:cs="Arial" w:eastAsia="Arial" w:hAnsi="Arial"/>
          <w:sz w:val="16"/>
          <w:szCs w:val="16"/>
          <w:b w:val="1"/>
          <w:bCs w:val="1"/>
          <w:color w:val="auto"/>
        </w:rPr>
      </w:pPr>
    </w:p>
    <w:p>
      <w:pPr>
        <w:ind w:left="863" w:hanging="284"/>
        <w:spacing w:after="0"/>
        <w:tabs>
          <w:tab w:leader="none" w:pos="863" w:val="left"/>
        </w:tabs>
        <w:numPr>
          <w:ilvl w:val="1"/>
          <w:numId w:val="241"/>
        </w:numPr>
        <w:rPr>
          <w:rFonts w:ascii="Arial" w:cs="Arial" w:eastAsia="Arial" w:hAnsi="Arial"/>
          <w:sz w:val="16"/>
          <w:szCs w:val="16"/>
          <w:color w:val="auto"/>
        </w:rPr>
      </w:pPr>
      <w:r>
        <w:rPr>
          <w:rFonts w:ascii="Arial" w:cs="Arial" w:eastAsia="Arial" w:hAnsi="Arial"/>
          <w:sz w:val="16"/>
          <w:szCs w:val="16"/>
          <w:color w:val="auto"/>
        </w:rPr>
        <w:t>Government Investigations –</w:t>
      </w:r>
    </w:p>
    <w:p>
      <w:pPr>
        <w:spacing w:after="0" w:line="189" w:lineRule="exact"/>
        <w:rPr>
          <w:rFonts w:ascii="Arial" w:cs="Arial" w:eastAsia="Arial" w:hAnsi="Arial"/>
          <w:sz w:val="16"/>
          <w:szCs w:val="16"/>
          <w:color w:val="auto"/>
        </w:rPr>
      </w:pPr>
    </w:p>
    <w:p>
      <w:pPr>
        <w:ind w:left="863" w:right="20"/>
        <w:spacing w:after="0" w:line="241" w:lineRule="auto"/>
        <w:rPr>
          <w:rFonts w:ascii="Arial" w:cs="Arial" w:eastAsia="Arial" w:hAnsi="Arial"/>
          <w:sz w:val="16"/>
          <w:szCs w:val="16"/>
          <w:color w:val="auto"/>
        </w:rPr>
      </w:pPr>
      <w:r>
        <w:rPr>
          <w:rFonts w:ascii="Arial" w:cs="Arial" w:eastAsia="Arial" w:hAnsi="Arial"/>
          <w:sz w:val="16"/>
          <w:szCs w:val="16"/>
          <w:color w:val="auto"/>
        </w:rPr>
        <w:t>In 2019, the former chairman and the current vice chairman of the Board of Directors of Credicorp, in their respective capacities as Chairman of the Board and as a Director of BCP, were summoned as witnesses by Peruvian prosecutors, along with 26 other Peruvian business executives, to testify in connection with a judicial investigation that was being carried out regarding contributions made to the electoral campaign of a political party in the 2011 Peruvian presidential elections. The former chairman informed prosecutors that in 2010 and 2011 Credicorp made donations totaling US$3.65 million to the Fuerza 2011 campaign (in total amounts of US$1.7 million in 2010 and US$1.95 million in 2011). These contributions were made in coordination with the General Manager of Credicorp at that time. While the amount of these contributions exceeded the limits then permitted under Peruvian electoral law, the law in place at that time provided no sanction for contributors, and instead only for the recipient of the campaign contribution.</w:t>
      </w:r>
    </w:p>
    <w:p>
      <w:pPr>
        <w:spacing w:after="0" w:line="150" w:lineRule="exact"/>
        <w:rPr>
          <w:rFonts w:ascii="Arial" w:cs="Arial" w:eastAsia="Arial" w:hAnsi="Arial"/>
          <w:sz w:val="16"/>
          <w:szCs w:val="16"/>
          <w:color w:val="auto"/>
        </w:rPr>
      </w:pPr>
    </w:p>
    <w:p>
      <w:pPr>
        <w:ind w:left="863" w:right="60"/>
        <w:spacing w:after="0" w:line="255" w:lineRule="auto"/>
        <w:rPr>
          <w:rFonts w:ascii="Arial" w:cs="Arial" w:eastAsia="Arial" w:hAnsi="Arial"/>
          <w:sz w:val="16"/>
          <w:szCs w:val="16"/>
          <w:color w:val="auto"/>
        </w:rPr>
      </w:pPr>
      <w:r>
        <w:rPr>
          <w:rFonts w:ascii="Arial" w:cs="Arial" w:eastAsia="Arial" w:hAnsi="Arial"/>
          <w:sz w:val="16"/>
          <w:szCs w:val="16"/>
          <w:color w:val="auto"/>
        </w:rPr>
        <w:t>The former chairman also informed prosecutors that in 2016, three subsidiaries of Credicorp (BCP, Mibanco and Grupo Pacífico) made donations totaling S/711,000 (approximately US$200,000) to the “Peruanos Por el Kambio” campaign. These contributions were made in accordance with Peruvian electoral law and Credicorp’s own political contributions guidelines, which were adopted in 2015.</w:t>
      </w:r>
    </w:p>
    <w:p>
      <w:pPr>
        <w:spacing w:after="0" w:line="294" w:lineRule="exact"/>
        <w:rPr>
          <w:rFonts w:ascii="Arial" w:cs="Arial" w:eastAsia="Arial" w:hAnsi="Arial"/>
          <w:sz w:val="16"/>
          <w:szCs w:val="16"/>
          <w:color w:val="auto"/>
        </w:rPr>
      </w:pPr>
    </w:p>
    <w:p>
      <w:pPr>
        <w:ind w:left="5523" w:hanging="104"/>
        <w:spacing w:after="0"/>
        <w:tabs>
          <w:tab w:leader="none" w:pos="5523" w:val="left"/>
        </w:tabs>
        <w:numPr>
          <w:ilvl w:val="2"/>
          <w:numId w:val="241"/>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316" w:right="339" w:bottom="1440" w:gutter="0" w:footer="0" w:header="0"/>
        </w:sectPr>
      </w:pPr>
    </w:p>
    <w:bookmarkStart w:id="227" w:name="page228"/>
    <w:bookmarkEnd w:id="227"/>
    <w:p>
      <w:pPr>
        <w:ind w:left="284"/>
        <w:spacing w:after="0" w:line="239" w:lineRule="auto"/>
        <w:rPr>
          <w:sz w:val="20"/>
          <w:szCs w:val="20"/>
          <w:color w:val="auto"/>
        </w:rPr>
      </w:pPr>
      <w:r>
        <w:rPr>
          <w:rFonts w:ascii="Arial" w:cs="Arial" w:eastAsia="Arial" w:hAnsi="Arial"/>
          <w:sz w:val="16"/>
          <w:szCs w:val="16"/>
          <w:color w:val="auto"/>
        </w:rPr>
        <w:t>The Peruvian Superintendencia del Mercado de Valores (“SMV”, for its Spanish acronym) initiated sanctioning proceedings against Credicorp for failing to timely disclose to the market the political campaign contributions made in 2011 and 2016. The SMV also initiated sanctioning proceedings against three subsidiaries of Credicorp (BCP, Mibanco and Grupo Pacífico) for failing to timely disclose to the market the political campaign contributions made in connection with the 2016 presidential elections. The SMV notified Credicorp, BCP, Mibanco and Grupo Pacífico of first-instance resolutions in connection with these proceedings. Such resolutions imposed pecuniary sanctions (fines) on Credicorp and its three subsidiaries. Credicorp, BCP, Mibanco and Grupo Pacífico appealed the resolutions. As the appeals were not resolved within the timeframe established by law, Credicorp and each of the three subsidiaries filed contentious-administrative lawsuits against the SMV’s resolutions due to negative administrative silence. Notwithstanding the foregoing, Credicorp and its three subsidiaries paid the fines imposed by the SMV in compliance with Peruvian law. In the Judiciary, first-instance court rulings declared the aforementioned lawsuits unfounded. Credicorp and its three subsidiaries appealed such rulings, and therefore the first-instance decisions are currently under review at the second-instance level. In the case of Credicorp, a second-instance ruling issued in January 2026 confirmed the first-instance decision, against which Credicorp has filed a cassation appeal. Accordingly, as of the date of these financial statements, all four cases remain pending a final resolution by the Judiciary.</w:t>
      </w:r>
    </w:p>
    <w:p>
      <w:pPr>
        <w:spacing w:after="0" w:line="154" w:lineRule="exact"/>
        <w:rPr>
          <w:sz w:val="20"/>
          <w:szCs w:val="20"/>
          <w:color w:val="auto"/>
        </w:rPr>
      </w:pPr>
    </w:p>
    <w:p>
      <w:pPr>
        <w:ind w:left="284" w:right="60"/>
        <w:spacing w:after="0" w:line="255" w:lineRule="auto"/>
        <w:rPr>
          <w:sz w:val="20"/>
          <w:szCs w:val="20"/>
          <w:color w:val="auto"/>
        </w:rPr>
      </w:pPr>
      <w:r>
        <w:rPr>
          <w:rFonts w:ascii="Arial" w:cs="Arial" w:eastAsia="Arial" w:hAnsi="Arial"/>
          <w:sz w:val="16"/>
          <w:szCs w:val="16"/>
          <w:color w:val="auto"/>
        </w:rPr>
        <w:t>Credicorp is of the opinion that the contributions made and the sanctioning processes related to the SMV do not represent a significant risk of material liability for the Company. Furthermore, these processes may not have a negative effect on the Company’s business or financial situation, given that the fines imposed by the SMV have already been paid.</w:t>
      </w:r>
    </w:p>
    <w:p>
      <w:pPr>
        <w:spacing w:after="0" w:line="137" w:lineRule="exact"/>
        <w:rPr>
          <w:sz w:val="20"/>
          <w:szCs w:val="20"/>
          <w:color w:val="auto"/>
        </w:rPr>
      </w:pPr>
    </w:p>
    <w:p>
      <w:pPr>
        <w:ind w:left="284" w:hanging="284"/>
        <w:spacing w:after="0"/>
        <w:tabs>
          <w:tab w:leader="none" w:pos="28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Government Investigations –</w:t>
      </w:r>
    </w:p>
    <w:p>
      <w:pPr>
        <w:spacing w:after="0" w:line="189" w:lineRule="exact"/>
        <w:rPr>
          <w:rFonts w:ascii="Arial" w:cs="Arial" w:eastAsia="Arial" w:hAnsi="Arial"/>
          <w:sz w:val="16"/>
          <w:szCs w:val="16"/>
          <w:color w:val="auto"/>
        </w:rPr>
      </w:pPr>
    </w:p>
    <w:p>
      <w:pPr>
        <w:ind w:left="284" w:right="440"/>
        <w:spacing w:after="0" w:line="241" w:lineRule="auto"/>
        <w:rPr>
          <w:rFonts w:ascii="Arial" w:cs="Arial" w:eastAsia="Arial" w:hAnsi="Arial"/>
          <w:sz w:val="16"/>
          <w:szCs w:val="16"/>
          <w:color w:val="auto"/>
        </w:rPr>
      </w:pPr>
      <w:r>
        <w:rPr>
          <w:rFonts w:ascii="Arial" w:cs="Arial" w:eastAsia="Arial" w:hAnsi="Arial"/>
          <w:sz w:val="16"/>
          <w:szCs w:val="16"/>
          <w:color w:val="auto"/>
        </w:rPr>
        <w:t>In June 2025, Grupo Crédito received notifications from the Superintendencia Nacional de Aduanas y de Administración Tributaria (SUNAT) consisting of Tax Assessment and Penalty Resolutions for a total amount of S/1,568.0 million. The resolutions relate to an alleged failure to withhold Income Tax applicable to non-domiciled taxpayers in connection with purchases of shares of Banco de Crédito del Perú carried out through the Lima Stock Exchange during 2018 and 2019, in which Grupo Crédito acted as the acquirer and Credicorp Ltd. as the transferor.</w:t>
      </w:r>
    </w:p>
    <w:p>
      <w:pPr>
        <w:jc w:val="both"/>
        <w:ind w:left="284" w:right="280"/>
        <w:spacing w:after="0" w:line="244" w:lineRule="auto"/>
        <w:rPr>
          <w:rFonts w:ascii="Arial" w:cs="Arial" w:eastAsia="Arial" w:hAnsi="Arial"/>
          <w:sz w:val="16"/>
          <w:szCs w:val="16"/>
          <w:color w:val="auto"/>
        </w:rPr>
      </w:pPr>
      <w:r>
        <w:rPr>
          <w:rFonts w:ascii="Arial" w:cs="Arial" w:eastAsia="Arial" w:hAnsi="Arial"/>
          <w:sz w:val="16"/>
          <w:szCs w:val="16"/>
          <w:color w:val="auto"/>
        </w:rPr>
        <w:t>SUNAT maintains that Grupo Crédito was required to act as a withholding agent; however, in the opinion of Management and its external legal advisors, such withholding obligation was not applicable, as the transactions in question were exempt from Income Tax in accordance with the regulations in force at the time the transactions were executed.</w:t>
      </w:r>
    </w:p>
    <w:p>
      <w:pPr>
        <w:spacing w:after="0" w:line="146" w:lineRule="exact"/>
        <w:rPr>
          <w:rFonts w:ascii="Arial" w:cs="Arial" w:eastAsia="Arial" w:hAnsi="Arial"/>
          <w:sz w:val="16"/>
          <w:szCs w:val="16"/>
          <w:color w:val="auto"/>
        </w:rPr>
      </w:pPr>
    </w:p>
    <w:p>
      <w:pPr>
        <w:ind w:left="284" w:right="20"/>
        <w:spacing w:after="0" w:line="255" w:lineRule="auto"/>
        <w:rPr>
          <w:rFonts w:ascii="Arial" w:cs="Arial" w:eastAsia="Arial" w:hAnsi="Arial"/>
          <w:sz w:val="16"/>
          <w:szCs w:val="16"/>
          <w:color w:val="auto"/>
        </w:rPr>
      </w:pPr>
      <w:r>
        <w:rPr>
          <w:rFonts w:ascii="Arial" w:cs="Arial" w:eastAsia="Arial" w:hAnsi="Arial"/>
          <w:sz w:val="16"/>
          <w:szCs w:val="16"/>
          <w:color w:val="auto"/>
        </w:rPr>
        <w:t>On August 13, 2025, the amounts included in the Tax Assessment and Penalty Resolutions issued by SUNAT to Grupo Crédito on June 27, 2025, were settled, and the corresponding amounts have been recognized as an asset under the caption “Claim filed with the Tax Authority” within the line item “Other assets” in accordance with IFRS Accounting Standards, the amount is classified as an asset relating to an uncertain tax position.</w:t>
      </w:r>
    </w:p>
    <w:p>
      <w:pPr>
        <w:spacing w:after="0" w:line="137" w:lineRule="exact"/>
        <w:rPr>
          <w:rFonts w:ascii="Arial" w:cs="Arial" w:eastAsia="Arial" w:hAnsi="Arial"/>
          <w:sz w:val="16"/>
          <w:szCs w:val="16"/>
          <w:color w:val="auto"/>
        </w:rPr>
      </w:pPr>
    </w:p>
    <w:p>
      <w:pPr>
        <w:ind w:left="284" w:right="160"/>
        <w:spacing w:after="0" w:line="255" w:lineRule="auto"/>
        <w:rPr>
          <w:rFonts w:ascii="Arial" w:cs="Arial" w:eastAsia="Arial" w:hAnsi="Arial"/>
          <w:sz w:val="16"/>
          <w:szCs w:val="16"/>
          <w:color w:val="auto"/>
        </w:rPr>
      </w:pPr>
      <w:r>
        <w:rPr>
          <w:rFonts w:ascii="Arial" w:cs="Arial" w:eastAsia="Arial" w:hAnsi="Arial"/>
          <w:sz w:val="16"/>
          <w:szCs w:val="16"/>
          <w:color w:val="auto"/>
        </w:rPr>
        <w:t>Grupo Crédito has formally challenged the aforementioned Tax Assessment and Penalty Resolutions by filing an Administrative Claim with SUNAT, and the administrative proceeding is currently pending resolution by the tax authority. If necessary, the Company will continue to defend its position at subsequent administrative and judicial levels, including the Tax Court and the judiciary.</w:t>
      </w:r>
    </w:p>
    <w:p>
      <w:pPr>
        <w:spacing w:after="0" w:line="137" w:lineRule="exact"/>
        <w:rPr>
          <w:rFonts w:ascii="Arial" w:cs="Arial" w:eastAsia="Arial" w:hAnsi="Arial"/>
          <w:sz w:val="16"/>
          <w:szCs w:val="16"/>
          <w:color w:val="auto"/>
        </w:rPr>
      </w:pPr>
    </w:p>
    <w:p>
      <w:pPr>
        <w:ind w:left="284" w:right="60"/>
        <w:spacing w:after="0" w:line="248" w:lineRule="auto"/>
        <w:rPr>
          <w:rFonts w:ascii="Arial" w:cs="Arial" w:eastAsia="Arial" w:hAnsi="Arial"/>
          <w:sz w:val="16"/>
          <w:szCs w:val="16"/>
          <w:color w:val="auto"/>
        </w:rPr>
      </w:pPr>
      <w:r>
        <w:rPr>
          <w:rFonts w:ascii="Arial" w:cs="Arial" w:eastAsia="Arial" w:hAnsi="Arial"/>
          <w:sz w:val="16"/>
          <w:szCs w:val="16"/>
          <w:color w:val="auto"/>
        </w:rPr>
        <w:t>Grupo Crédito S.A. has obtained independent legal opinions that support its tax position and confirm that the Company’s actions were in compliance with the tax, civil and financial legislation applicable and in force at the time the transactions were carried out. Both Management and external advisors concur that there are robust grounds and a high probability of obtaining a favorable outcome. Accordingly, consistent with IFRS Accounting Standards, the amount has been recognized as an asset, as it is more likely than not that the Comany’s tax position will be sustained.</w:t>
      </w:r>
    </w:p>
    <w:p>
      <w:pPr>
        <w:spacing w:after="0" w:line="301" w:lineRule="exact"/>
        <w:rPr>
          <w:rFonts w:ascii="Arial" w:cs="Arial" w:eastAsia="Arial" w:hAnsi="Arial"/>
          <w:sz w:val="16"/>
          <w:szCs w:val="16"/>
          <w:color w:val="auto"/>
        </w:rPr>
      </w:pPr>
    </w:p>
    <w:p>
      <w:pPr>
        <w:ind w:left="4944" w:hanging="104"/>
        <w:spacing w:after="0"/>
        <w:tabs>
          <w:tab w:leader="none" w:pos="4944" w:val="left"/>
        </w:tabs>
        <w:numPr>
          <w:ilvl w:val="1"/>
          <w:numId w:val="242"/>
        </w:numPr>
        <w:rPr>
          <w:rFonts w:ascii="Arial" w:cs="Arial" w:eastAsia="Arial" w:hAnsi="Arial"/>
          <w:sz w:val="16"/>
          <w:szCs w:val="16"/>
          <w:color w:val="auto"/>
        </w:rPr>
      </w:pPr>
      <w:r>
        <w:rPr>
          <w:rFonts w:ascii="Arial" w:cs="Arial" w:eastAsia="Arial" w:hAnsi="Arial"/>
          <w:sz w:val="16"/>
          <w:szCs w:val="16"/>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39370</wp:posOffset>
            </wp:positionV>
            <wp:extent cx="714692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664"/>
          </w:cols>
          <w:pgMar w:left="896" w:top="304" w:right="339" w:bottom="1440" w:gutter="0" w:footer="0" w:header="0"/>
        </w:sectPr>
      </w:pPr>
    </w:p>
    <w:bookmarkStart w:id="228" w:name="page229"/>
    <w:bookmarkEnd w:id="228"/>
    <w:p>
      <w:pPr>
        <w:ind w:left="583" w:hanging="583"/>
        <w:spacing w:after="0"/>
        <w:tabs>
          <w:tab w:leader="none" w:pos="583" w:val="left"/>
        </w:tabs>
        <w:numPr>
          <w:ilvl w:val="0"/>
          <w:numId w:val="243"/>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84" w:lineRule="exact"/>
        <w:rPr>
          <w:rFonts w:ascii="Arial" w:cs="Arial" w:eastAsia="Arial" w:hAnsi="Arial"/>
          <w:sz w:val="14"/>
          <w:szCs w:val="14"/>
          <w:b w:val="1"/>
          <w:bCs w:val="1"/>
          <w:color w:val="auto"/>
        </w:rPr>
      </w:pPr>
    </w:p>
    <w:p>
      <w:pPr>
        <w:ind w:left="583"/>
        <w:spacing w:after="0"/>
        <w:rPr>
          <w:rFonts w:ascii="Arial" w:cs="Arial" w:eastAsia="Arial" w:hAnsi="Arial"/>
          <w:sz w:val="14"/>
          <w:szCs w:val="14"/>
          <w:b w:val="1"/>
          <w:bCs w:val="1"/>
          <w:color w:val="auto"/>
        </w:rPr>
      </w:pPr>
      <w:r>
        <w:rPr>
          <w:rFonts w:ascii="Arial" w:cs="Arial" w:eastAsia="Arial" w:hAnsi="Arial"/>
          <w:sz w:val="16"/>
          <w:szCs w:val="16"/>
          <w:color w:val="auto"/>
        </w:rPr>
        <w:t>From December 31, 2025 until the date of this report, no significant event has occurred which affects the separate financial statements.</w:t>
      </w:r>
    </w:p>
    <w:p>
      <w:pPr>
        <w:spacing w:after="0" w:line="200" w:lineRule="exact"/>
        <w:rPr>
          <w:rFonts w:ascii="Arial" w:cs="Arial" w:eastAsia="Arial" w:hAnsi="Arial"/>
          <w:sz w:val="14"/>
          <w:szCs w:val="14"/>
          <w:b w:val="1"/>
          <w:bCs w:val="1"/>
          <w:color w:val="auto"/>
        </w:rPr>
      </w:pPr>
    </w:p>
    <w:p>
      <w:pPr>
        <w:spacing w:after="0" w:line="315" w:lineRule="exact"/>
        <w:rPr>
          <w:rFonts w:ascii="Arial" w:cs="Arial" w:eastAsia="Arial" w:hAnsi="Arial"/>
          <w:sz w:val="14"/>
          <w:szCs w:val="14"/>
          <w:b w:val="1"/>
          <w:bCs w:val="1"/>
          <w:color w:val="auto"/>
        </w:rPr>
      </w:pPr>
    </w:p>
    <w:p>
      <w:pPr>
        <w:ind w:left="5523" w:hanging="104"/>
        <w:spacing w:after="0"/>
        <w:tabs>
          <w:tab w:leader="none" w:pos="5523" w:val="left"/>
        </w:tabs>
        <w:numPr>
          <w:ilvl w:val="1"/>
          <w:numId w:val="243"/>
        </w:numPr>
        <w:rPr>
          <w:rFonts w:ascii="Arial" w:cs="Arial" w:eastAsia="Arial" w:hAnsi="Arial"/>
          <w:sz w:val="16"/>
          <w:szCs w:val="16"/>
          <w:color w:val="auto"/>
        </w:rPr>
      </w:pPr>
      <w:r>
        <w:rPr>
          <w:rFonts w:ascii="Arial" w:cs="Arial" w:eastAsia="Arial" w:hAnsi="Arial"/>
          <w:sz w:val="16"/>
          <w:szCs w:val="16"/>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692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83"/>
          </w:cols>
          <w:pgMar w:left="317" w:top="127" w:right="1399" w:bottom="1440"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203835</wp:posOffset>
            </wp:positionV>
            <wp:extent cx="7146925" cy="78054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6925" cy="7805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rFonts w:ascii="Arial" w:cs="Arial" w:eastAsia="Arial" w:hAnsi="Arial"/>
          <w:sz w:val="16"/>
          <w:szCs w:val="16"/>
          <w:b w:val="1"/>
          <w:bCs w:val="1"/>
          <w:color w:val="auto"/>
        </w:rPr>
        <w:t>EY | Building a better working world</w:t>
      </w:r>
    </w:p>
    <w:p>
      <w:pPr>
        <w:spacing w:after="0" w:line="177" w:lineRule="exact"/>
        <w:rPr>
          <w:sz w:val="20"/>
          <w:szCs w:val="20"/>
          <w:color w:val="auto"/>
        </w:rPr>
      </w:pPr>
    </w:p>
    <w:p>
      <w:pPr>
        <w:ind w:right="3739"/>
        <w:spacing w:after="0" w:line="255" w:lineRule="auto"/>
        <w:rPr>
          <w:sz w:val="20"/>
          <w:szCs w:val="20"/>
          <w:color w:val="auto"/>
        </w:rPr>
      </w:pPr>
      <w:r>
        <w:rPr>
          <w:rFonts w:ascii="Arial" w:cs="Arial" w:eastAsia="Arial" w:hAnsi="Arial"/>
          <w:sz w:val="16"/>
          <w:szCs w:val="16"/>
          <w:color w:val="auto"/>
        </w:rPr>
        <w:t>EY está construyendo un mejor mundo de negocios al crear nuevo valor para los clientes, las personas, la sociedad y el planeta, mientras genera confianza en los mercados de capitales.</w:t>
      </w:r>
    </w:p>
    <w:p>
      <w:pPr>
        <w:spacing w:after="0" w:line="137" w:lineRule="exact"/>
        <w:rPr>
          <w:sz w:val="20"/>
          <w:szCs w:val="20"/>
          <w:color w:val="auto"/>
        </w:rPr>
      </w:pPr>
    </w:p>
    <w:p>
      <w:pPr>
        <w:ind w:right="3779"/>
        <w:spacing w:after="0" w:line="255" w:lineRule="auto"/>
        <w:rPr>
          <w:sz w:val="20"/>
          <w:szCs w:val="20"/>
          <w:color w:val="auto"/>
        </w:rPr>
      </w:pPr>
      <w:r>
        <w:rPr>
          <w:rFonts w:ascii="Arial" w:cs="Arial" w:eastAsia="Arial" w:hAnsi="Arial"/>
          <w:sz w:val="16"/>
          <w:szCs w:val="16"/>
          <w:color w:val="auto"/>
        </w:rPr>
        <w:t>Impulsados por datos, IA y tecnología avanzada, los equipos de EY ayudan a los clientes a dar forma al futuro con confianza y a desarrollar respuestas para los problemas más urgentes de hoy y mañana.</w:t>
      </w:r>
    </w:p>
    <w:p>
      <w:pPr>
        <w:spacing w:after="0" w:line="137" w:lineRule="exact"/>
        <w:rPr>
          <w:sz w:val="20"/>
          <w:szCs w:val="20"/>
          <w:color w:val="auto"/>
        </w:rPr>
      </w:pPr>
    </w:p>
    <w:p>
      <w:pPr>
        <w:ind w:right="3899"/>
        <w:spacing w:after="0" w:line="248" w:lineRule="auto"/>
        <w:rPr>
          <w:sz w:val="20"/>
          <w:szCs w:val="20"/>
          <w:color w:val="auto"/>
        </w:rPr>
      </w:pPr>
      <w:r>
        <w:rPr>
          <w:rFonts w:ascii="Arial" w:cs="Arial" w:eastAsia="Arial" w:hAnsi="Arial"/>
          <w:sz w:val="16"/>
          <w:szCs w:val="16"/>
          <w:color w:val="auto"/>
        </w:rPr>
        <w:t>Los equipos de EY trabajan en un espectro completo de servicios en Auditoría, Consultoría, Impuestos y Estrategia &amp; Transacciones. Brindamos soluciones en más de 150 países y territorios, impulsados por conocimientos sectoriales, una red globalmente conectada y multidisciplinaria y socios de ecosistemas diversos.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in to shape the future with confidence.</w:t>
      </w:r>
    </w:p>
    <w:p>
      <w:pPr>
        <w:spacing w:after="0" w:line="178" w:lineRule="exact"/>
        <w:rPr>
          <w:sz w:val="20"/>
          <w:szCs w:val="20"/>
          <w:color w:val="auto"/>
        </w:rPr>
      </w:pPr>
    </w:p>
    <w:p>
      <w:pPr>
        <w:ind w:right="3759"/>
        <w:spacing w:after="0" w:line="241" w:lineRule="auto"/>
        <w:rPr>
          <w:sz w:val="20"/>
          <w:szCs w:val="20"/>
          <w:color w:val="auto"/>
        </w:rPr>
      </w:pPr>
      <w:r>
        <w:rPr>
          <w:rFonts w:ascii="Arial" w:cs="Arial" w:eastAsia="Arial" w:hAnsi="Arial"/>
          <w:sz w:val="16"/>
          <w:szCs w:val="16"/>
          <w:color w:val="auto"/>
        </w:rPr>
        <w:t>EY se refiere a la organización global y podría referirse a una o más de las firmas integrantes de Ernst &amp; Young Global Limited, cada una de las cuales es una entidad legal independiente. Ernst &amp; Young Global Limited, una compañía del Reino Unido limitada por garantía, no proporciona servicios a clientes. Para conocer la información sobre cómo EY recaba y utiliza los datos personales y una descripción de los derechos que tienen las personas conforme a la ley de protección de datos, ingrese a ey.com/privacy. Las firmas miembro de EY no ofrecen servicios legales en los casos en que las leyes locales lo prohíban.</w:t>
      </w:r>
    </w:p>
    <w:p>
      <w:pPr>
        <w:spacing w:after="0" w:line="151" w:lineRule="exact"/>
        <w:rPr>
          <w:sz w:val="20"/>
          <w:szCs w:val="20"/>
          <w:color w:val="auto"/>
        </w:rPr>
      </w:pPr>
    </w:p>
    <w:p>
      <w:pPr>
        <w:ind w:right="4799"/>
        <w:spacing w:after="0" w:line="274" w:lineRule="auto"/>
        <w:rPr>
          <w:sz w:val="20"/>
          <w:szCs w:val="20"/>
          <w:color w:val="auto"/>
        </w:rPr>
      </w:pPr>
      <w:r>
        <w:rPr>
          <w:rFonts w:ascii="Arial" w:cs="Arial" w:eastAsia="Arial" w:hAnsi="Arial"/>
          <w:sz w:val="16"/>
          <w:szCs w:val="16"/>
          <w:color w:val="auto"/>
        </w:rPr>
        <w:t>Para obtener mayor información acerca de nuestra organización, ingrese a www.ey.com/es_pe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 EY.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Miembro de Ernst &amp; Young Global</w:t>
      </w:r>
    </w:p>
    <w:p>
      <w:pPr>
        <w:spacing w:after="0"/>
        <w:rPr>
          <w:sz w:val="20"/>
          <w:szCs w:val="20"/>
          <w:color w:val="auto"/>
        </w:rPr>
      </w:pPr>
      <w:r>
        <w:rPr>
          <w:rFonts w:ascii="Arial" w:cs="Arial" w:eastAsia="Arial" w:hAnsi="Arial"/>
          <w:sz w:val="16"/>
          <w:szCs w:val="16"/>
          <w:color w:val="auto"/>
        </w:rPr>
        <w:t>Derechos Reservados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14692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sectPr>
      <w:pgSz w:w="11900" w:h="16838" w:orient="portrait"/>
      <w:cols w:equalWidth="0" w:num="1">
        <w:col w:w="10139"/>
      </w:cols>
      <w:pgMar w:left="32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1"/>
      <w:numFmt w:val="bullet"/>
      <w:start w:val="1"/>
    </w:lvl>
    <w:lvl w:ilvl="1">
      <w:lvlJc w:val="left"/>
      <w:lvlText w:val="-"/>
      <w:numFmt w:val="bullet"/>
      <w:start w:val="1"/>
    </w:lvl>
  </w:abstractNum>
  <w:abstractNum w:abstractNumId="4">
    <w:nsid w:val="53B0A9E"/>
    <w:multiLevelType w:val="hybridMultilevel"/>
    <w:lvl w:ilvl="0">
      <w:lvlJc w:val="left"/>
      <w:lvlText w:val="2"/>
      <w:numFmt w:val="bullet"/>
      <w:start w:val="1"/>
    </w:lvl>
    <w:lvl w:ilvl="1">
      <w:lvlJc w:val="left"/>
      <w:lvlText w:val="%2)"/>
      <w:numFmt w:val="lowerLetter"/>
      <w:start w:val="1"/>
    </w:lvl>
  </w:abstractNum>
  <w:abstractNum w:abstractNumId="5">
    <w:nsid w:val="34FD6B4F"/>
    <w:multiLevelType w:val="hybridMultilevel"/>
    <w:lvl w:ilvl="0">
      <w:lvlJc w:val="left"/>
      <w:lvlText w:val="%1)"/>
      <w:numFmt w:val="lowerLetter"/>
      <w:start w:val="2"/>
    </w:lvl>
    <w:lvl w:ilvl="1">
      <w:lvlJc w:val="left"/>
      <w:lvlText w:val="-"/>
      <w:numFmt w:val="bullet"/>
      <w:start w:val="1"/>
    </w:lvl>
  </w:abstractNum>
  <w:abstractNum w:abstractNumId="6">
    <w:nsid w:val="5915FF32"/>
    <w:multiLevelType w:val="hybridMultilevel"/>
    <w:lvl w:ilvl="0">
      <w:lvlJc w:val="left"/>
      <w:lvlText w:val="3"/>
      <w:numFmt w:val="bullet"/>
      <w:start w:val="1"/>
    </w:lvl>
  </w:abstractNum>
  <w:abstractNum w:abstractNumId="7">
    <w:nsid w:val="56438D15"/>
    <w:multiLevelType w:val="hybridMultilevel"/>
    <w:lvl w:ilvl="0">
      <w:lvlJc w:val="left"/>
      <w:lvlText w:val="%1)"/>
      <w:numFmt w:val="lowerLetter"/>
      <w:start w:val="1"/>
    </w:lvl>
  </w:abstractNum>
  <w:abstractNum w:abstractNumId="8">
    <w:nsid w:val="519E3149"/>
    <w:multiLevelType w:val="hybridMultilevel"/>
    <w:lvl w:ilvl="0">
      <w:lvlJc w:val="left"/>
      <w:lvlText w:val="(%1)"/>
      <w:numFmt w:val="lowerRoman"/>
      <w:start w:val="1"/>
    </w:lvl>
    <w:lvl w:ilvl="1">
      <w:lvlJc w:val="left"/>
      <w:lvlText w:val="-"/>
      <w:numFmt w:val="bullet"/>
      <w:start w:val="1"/>
    </w:lvl>
  </w:abstractNum>
  <w:abstractNum w:abstractNumId="9">
    <w:nsid w:val="2C6E4AFD"/>
    <w:multiLevelType w:val="hybridMultilevel"/>
    <w:lvl w:ilvl="0">
      <w:lvlJc w:val="left"/>
      <w:lvlText w:val="%1)"/>
      <w:numFmt w:val="lowerLetter"/>
      <w:start w:val="2"/>
    </w:lvl>
    <w:lvl w:ilvl="1">
      <w:lvlJc w:val="left"/>
      <w:lvlText w:val="-"/>
      <w:numFmt w:val="bullet"/>
      <w:start w:val="1"/>
    </w:lvl>
  </w:abstractNum>
  <w:abstractNum w:abstractNumId="10">
    <w:nsid w:val="17A1B582"/>
    <w:multiLevelType w:val="hybridMultilevel"/>
    <w:lvl w:ilvl="0">
      <w:lvlJc w:val="left"/>
      <w:lvlText w:val="-"/>
      <w:numFmt w:val="bullet"/>
      <w:start w:val="1"/>
    </w:lvl>
  </w:abstractNum>
  <w:abstractNum w:abstractNumId="11">
    <w:nsid w:val="4DF72E4E"/>
    <w:multiLevelType w:val="hybridMultilevel"/>
    <w:lvl w:ilvl="0">
      <w:lvlJc w:val="left"/>
      <w:lvlText w:val="(%1)"/>
      <w:numFmt w:val="lowerRoman"/>
      <w:start w:val="1"/>
    </w:lvl>
  </w:abstractNum>
  <w:abstractNum w:abstractNumId="12">
    <w:nsid w:val="5046B5A9"/>
    <w:multiLevelType w:val="hybridMultilevel"/>
    <w:lvl w:ilvl="0">
      <w:lvlJc w:val="left"/>
      <w:lvlText w:val="%1"/>
      <w:numFmt w:val="lowerRoman"/>
      <w:start w:val="1"/>
    </w:lvl>
    <w:lvl w:ilvl="1">
      <w:lvlJc w:val="left"/>
      <w:lvlText w:val="%2)"/>
      <w:numFmt w:val="lowerLetter"/>
      <w:start w:val="1"/>
    </w:lvl>
  </w:abstractNum>
  <w:abstractNum w:abstractNumId="13">
    <w:nsid w:val="5D888A08"/>
    <w:multiLevelType w:val="hybridMultilevel"/>
    <w:lvl w:ilvl="0">
      <w:lvlJc w:val="left"/>
      <w:lvlText w:val="(%1)"/>
      <w:numFmt w:val="lowerRoman"/>
      <w:start w:val="2"/>
    </w:lvl>
    <w:lvl w:ilvl="1">
      <w:lvlJc w:val="left"/>
      <w:lvlText w:val="%2"/>
      <w:numFmt w:val="lowerLetter"/>
      <w:start w:val="1"/>
    </w:lvl>
  </w:abstractNum>
  <w:abstractNum w:abstractNumId="14">
    <w:nsid w:val="2A082C70"/>
    <w:multiLevelType w:val="hybridMultilevel"/>
    <w:lvl w:ilvl="0">
      <w:lvlJc w:val="left"/>
      <w:lvlText w:val="%1)"/>
      <w:numFmt w:val="lowerLetter"/>
      <w:start w:val="1"/>
    </w:lvl>
    <w:lvl w:ilvl="1">
      <w:lvlJc w:val="left"/>
      <w:lvlText w:val="-"/>
      <w:numFmt w:val="bullet"/>
      <w:start w:val="1"/>
    </w:lvl>
  </w:abstractNum>
  <w:abstractNum w:abstractNumId="15">
    <w:nsid w:val="5EC6AFD4"/>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16">
    <w:nsid w:val="19E21BB2"/>
    <w:multiLevelType w:val="hybridMultilevel"/>
    <w:lvl w:ilvl="0">
      <w:lvlJc w:val="left"/>
      <w:lvlText w:val="(%1)"/>
      <w:numFmt w:val="lowerRoman"/>
      <w:start w:val="5"/>
    </w:lvl>
    <w:lvl w:ilvl="1">
      <w:lvlJc w:val="left"/>
      <w:lvlText w:val="%2"/>
      <w:numFmt w:val="lowerLetter"/>
      <w:start w:val="1"/>
    </w:lvl>
    <w:lvl w:ilvl="2">
      <w:lvlJc w:val="left"/>
      <w:lvlText w:val="-"/>
      <w:numFmt w:val="bullet"/>
      <w:start w:val="1"/>
    </w:lvl>
  </w:abstractNum>
  <w:abstractNum w:abstractNumId="17">
    <w:nsid w:val="75E0858A"/>
    <w:multiLevelType w:val="hybridMultilevel"/>
    <w:lvl w:ilvl="0">
      <w:lvlJc w:val="left"/>
      <w:lvlText w:val="(%1)"/>
      <w:numFmt w:val="lowerRoman"/>
      <w:start w:val="1"/>
    </w:lvl>
  </w:abstractNum>
  <w:abstractNum w:abstractNumId="18">
    <w:nsid w:val="57A61A29"/>
    <w:multiLevelType w:val="hybridMultilevel"/>
    <w:lvl w:ilvl="0">
      <w:lvlJc w:val="left"/>
      <w:lvlText w:val="(%1)"/>
      <w:numFmt w:val="lowerRoman"/>
      <w:start w:val="2"/>
    </w:lvl>
  </w:abstractNum>
  <w:abstractNum w:abstractNumId="19">
    <w:nsid w:val="5399C654"/>
    <w:multiLevelType w:val="hybridMultilevel"/>
    <w:lvl w:ilvl="0">
      <w:lvlJc w:val="left"/>
      <w:lvlText w:val="(%1)"/>
      <w:numFmt w:val="lowerRoman"/>
      <w:start w:val="3"/>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1)"/>
      <w:numFmt w:val="lowerLetter"/>
      <w:start w:val="4"/>
    </w:lvl>
    <w:lvl w:ilvl="1">
      <w:lvlJc w:val="left"/>
      <w:lvlText w:val="-"/>
      <w:numFmt w:val="bullet"/>
      <w:start w:val="1"/>
    </w:lvl>
  </w:abstractNum>
  <w:abstractNum w:abstractNumId="22">
    <w:nsid w:val="B37E80A"/>
    <w:multiLevelType w:val="hybridMultilevel"/>
    <w:lvl w:ilvl="0">
      <w:lvlJc w:val="left"/>
      <w:lvlText w:val="%1)"/>
      <w:numFmt w:val="lowerLetter"/>
      <w:start w:val="5"/>
    </w:lvl>
    <w:lvl w:ilvl="1">
      <w:lvlJc w:val="left"/>
      <w:lvlText w:val="-"/>
      <w:numFmt w:val="bullet"/>
      <w:start w:val="1"/>
    </w:lvl>
  </w:abstractNum>
  <w:abstractNum w:abstractNumId="23">
    <w:nsid w:val="2157F6BC"/>
    <w:multiLevelType w:val="hybridMultilevel"/>
    <w:lvl w:ilvl="0">
      <w:lvlJc w:val="left"/>
      <w:lvlText w:val="-"/>
      <w:numFmt w:val="bullet"/>
      <w:start w:val="1"/>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
      <w:numFmt w:val="bullet"/>
      <w:start w:val="1"/>
    </w:lvl>
  </w:abstractNum>
  <w:abstractNum w:abstractNumId="26">
    <w:nsid w:val="BFFAE18"/>
    <w:multiLevelType w:val="hybridMultilevel"/>
    <w:lvl w:ilvl="0">
      <w:lvlJc w:val="left"/>
      <w:lvlText w:val="-"/>
      <w:numFmt w:val="bullet"/>
      <w:start w:val="1"/>
    </w:lvl>
    <w:lvl w:ilvl="1">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
      <w:numFmt w:val="bullet"/>
      <w:start w:val="1"/>
    </w:lvl>
  </w:abstractNum>
  <w:abstractNum w:abstractNumId="29">
    <w:nsid w:val="49D0FEAC"/>
    <w:multiLevelType w:val="hybridMultilevel"/>
    <w:lvl w:ilvl="0">
      <w:lvlJc w:val="left"/>
      <w:lvlText w:val="-"/>
      <w:numFmt w:val="bullet"/>
      <w:start w:val="1"/>
    </w:lvl>
    <w:lvl w:ilvl="1">
      <w:lvlJc w:val="left"/>
      <w:lvlText w:val="-"/>
      <w:numFmt w:val="bullet"/>
      <w:start w:val="1"/>
    </w:lvl>
  </w:abstractNum>
  <w:abstractNum w:abstractNumId="30">
    <w:nsid w:val="4BEE5A5B"/>
    <w:multiLevelType w:val="hybridMultilevel"/>
    <w:lvl w:ilvl="0">
      <w:lvlJc w:val="left"/>
      <w:lvlText w:val="(%1)"/>
      <w:numFmt w:val="lowerLetter"/>
      <w:start w:val="1"/>
    </w:lvl>
    <w:lvl w:ilvl="1">
      <w:lvlJc w:val="left"/>
      <w:lvlText w:val="-"/>
      <w:numFmt w:val="bullet"/>
      <w:start w:val="1"/>
    </w:lvl>
  </w:abstractNum>
  <w:abstractNum w:abstractNumId="31">
    <w:nsid w:val="5551B9F3"/>
    <w:multiLevelType w:val="hybridMultilevel"/>
    <w:lvl w:ilvl="0">
      <w:lvlJc w:val="left"/>
      <w:lvlText w:val="-"/>
      <w:numFmt w:val="bullet"/>
      <w:start w:val="1"/>
    </w:lvl>
    <w:lvl w:ilvl="1">
      <w:lvlJc w:val="left"/>
      <w:lvlText w:val="●"/>
      <w:numFmt w:val="bullet"/>
      <w:start w:val="1"/>
    </w:lvl>
  </w:abstractNum>
  <w:abstractNum w:abstractNumId="32">
    <w:nsid w:val="24F6AB8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33">
    <w:nsid w:val="634C574C"/>
    <w:multiLevelType w:val="hybridMultilevel"/>
    <w:lvl w:ilvl="0">
      <w:lvlJc w:val="left"/>
      <w:lvlText w:val="-"/>
      <w:numFmt w:val="bullet"/>
      <w:start w:val="1"/>
    </w:lvl>
  </w:abstractNum>
  <w:abstractNum w:abstractNumId="34">
    <w:nsid w:val="24E99DD7"/>
    <w:multiLevelType w:val="hybridMultilevel"/>
    <w:lvl w:ilvl="0">
      <w:lvlJc w:val="left"/>
      <w:lvlText w:val="-"/>
      <w:numFmt w:val="bullet"/>
      <w:start w:val="1"/>
    </w:lvl>
  </w:abstractNum>
  <w:abstractNum w:abstractNumId="35">
    <w:nsid w:val="2A31B62D"/>
    <w:multiLevelType w:val="hybridMultilevel"/>
    <w:lvl w:ilvl="0">
      <w:lvlJc w:val="left"/>
      <w:lvlText w:val="-"/>
      <w:numFmt w:val="bullet"/>
      <w:start w:val="1"/>
    </w:lvl>
  </w:abstractNum>
  <w:abstractNum w:abstractNumId="36">
    <w:nsid w:val="1849C29B"/>
    <w:multiLevelType w:val="hybridMultilevel"/>
    <w:lvl w:ilvl="0">
      <w:lvlJc w:val="left"/>
      <w:lvlText w:val="-"/>
      <w:numFmt w:val="bullet"/>
      <w:start w:val="1"/>
    </w:lvl>
    <w:lvl w:ilvl="1">
      <w:lvlJc w:val="left"/>
      <w:lvlText w:val="-"/>
      <w:numFmt w:val="bullet"/>
      <w:start w:val="1"/>
    </w:lvl>
  </w:abstractNum>
  <w:abstractNum w:abstractNumId="37">
    <w:nsid w:val="7DFF9D09"/>
    <w:multiLevelType w:val="hybridMultilevel"/>
    <w:lvl w:ilvl="0">
      <w:lvlJc w:val="left"/>
      <w:lvlText w:val="%1)"/>
      <w:numFmt w:val="lowerLetter"/>
      <w:start w:val="6"/>
    </w:lvl>
    <w:lvl w:ilvl="1">
      <w:lvlJc w:val="left"/>
      <w:lvlText w:val="-"/>
      <w:numFmt w:val="bullet"/>
      <w:start w:val="1"/>
    </w:lvl>
  </w:abstractNum>
  <w:abstractNum w:abstractNumId="38">
    <w:nsid w:val="754342"/>
    <w:multiLevelType w:val="hybridMultilevel"/>
    <w:lvl w:ilvl="0">
      <w:lvlJc w:val="left"/>
      <w:lvlText w:val="-"/>
      <w:numFmt w:val="bullet"/>
      <w:start w:val="1"/>
    </w:lvl>
  </w:abstractNum>
  <w:abstractNum w:abstractNumId="39">
    <w:nsid w:val="69E7F3E5"/>
    <w:multiLevelType w:val="hybridMultilevel"/>
    <w:lvl w:ilvl="0">
      <w:lvlJc w:val="left"/>
      <w:lvlText w:val="(%1)"/>
      <w:numFmt w:val="lowerRoman"/>
      <w:start w:val="1"/>
    </w:lvl>
    <w:lvl w:ilvl="1">
      <w:lvlJc w:val="left"/>
      <w:lvlText w:val="-"/>
      <w:numFmt w:val="bullet"/>
      <w:start w:val="1"/>
    </w:lvl>
  </w:abstractNum>
  <w:abstractNum w:abstractNumId="40">
    <w:nsid w:val="2A6DE806"/>
    <w:multiLevelType w:val="hybridMultilevel"/>
    <w:lvl w:ilvl="0">
      <w:lvlJc w:val="left"/>
      <w:lvlText w:val="(%1)"/>
      <w:numFmt w:val="lowerRoman"/>
      <w:start w:val="2"/>
    </w:lvl>
    <w:lvl w:ilvl="1">
      <w:lvlJc w:val="left"/>
      <w:lvlText w:val="-"/>
      <w:numFmt w:val="bullet"/>
      <w:start w:val="1"/>
    </w:lvl>
  </w:abstractNum>
  <w:abstractNum w:abstractNumId="41">
    <w:nsid w:val="1816F8C4"/>
    <w:multiLevelType w:val="hybridMultilevel"/>
    <w:lvl w:ilvl="0">
      <w:lvlJc w:val="left"/>
      <w:lvlText w:val="-"/>
      <w:numFmt w:val="bullet"/>
      <w:start w:val="1"/>
    </w:lvl>
  </w:abstractNum>
  <w:abstractNum w:abstractNumId="42">
    <w:nsid w:val="37DF2233"/>
    <w:multiLevelType w:val="hybridMultilevel"/>
    <w:lvl w:ilvl="0">
      <w:lvlJc w:val="left"/>
      <w:lvlText w:val="(%1)"/>
      <w:numFmt w:val="lowerRoman"/>
      <w:start w:val="3"/>
    </w:lvl>
  </w:abstractNum>
  <w:abstractNum w:abstractNumId="43">
    <w:nsid w:val="7AB49DAF"/>
    <w:multiLevelType w:val="hybridMultilevel"/>
    <w:lvl w:ilvl="0">
      <w:lvlJc w:val="left"/>
      <w:lvlText w:val="-"/>
      <w:numFmt w:val="bullet"/>
      <w:start w:val="1"/>
    </w:lvl>
    <w:lvl w:ilvl="1">
      <w:lvlJc w:val="left"/>
      <w:lvlText w:val="-"/>
      <w:numFmt w:val="bullet"/>
      <w:start w:val="1"/>
    </w:lvl>
  </w:abstractNum>
  <w:abstractNum w:abstractNumId="44">
    <w:nsid w:val="759F82CD"/>
    <w:multiLevelType w:val="hybridMultilevel"/>
    <w:lvl w:ilvl="0">
      <w:lvlJc w:val="left"/>
      <w:lvlText w:val="(%1)"/>
      <w:numFmt w:val="lowerRoman"/>
      <w:start w:val="4"/>
    </w:lvl>
    <w:lvl w:ilvl="1">
      <w:lvlJc w:val="left"/>
      <w:lvlText w:val="-"/>
      <w:numFmt w:val="bullet"/>
      <w:start w:val="1"/>
    </w:lvl>
    <w:lvl w:ilvl="2">
      <w:lvlJc w:val="left"/>
      <w:lvlText w:val="-"/>
      <w:numFmt w:val="bullet"/>
      <w:start w:val="1"/>
    </w:lvl>
  </w:abstractNum>
  <w:abstractNum w:abstractNumId="45">
    <w:nsid w:val="61E74EA3"/>
    <w:multiLevelType w:val="hybridMultilevel"/>
    <w:lvl w:ilvl="0">
      <w:lvlJc w:val="left"/>
      <w:lvlText w:val="%1)"/>
      <w:numFmt w:val="lowerLetter"/>
      <w:start w:val="7"/>
    </w:lvl>
  </w:abstractNum>
  <w:abstractNum w:abstractNumId="46">
    <w:nsid w:val="597B4D84"/>
    <w:multiLevelType w:val="hybridMultilevel"/>
    <w:lvl w:ilvl="0">
      <w:lvlJc w:val="left"/>
      <w:lvlText w:val="%1)"/>
      <w:numFmt w:val="lowerLetter"/>
      <w:start w:val="8"/>
    </w:lvl>
    <w:lvl w:ilvl="1">
      <w:lvlJc w:val="left"/>
      <w:lvlText w:val="-"/>
      <w:numFmt w:val="bullet"/>
      <w:start w:val="1"/>
    </w:lvl>
  </w:abstractNum>
  <w:abstractNum w:abstractNumId="47">
    <w:nsid w:val="F819E7F"/>
    <w:multiLevelType w:val="hybridMultilevel"/>
    <w:lvl w:ilvl="0">
      <w:lvlJc w:val="left"/>
      <w:lvlText w:val="-"/>
      <w:numFmt w:val="bullet"/>
      <w:start w:val="1"/>
    </w:lvl>
  </w:abstractNum>
  <w:abstractNum w:abstractNumId="48">
    <w:nsid w:val="57C7D42D"/>
    <w:multiLevelType w:val="hybridMultilevel"/>
    <w:lvl w:ilvl="0">
      <w:lvlJc w:val="left"/>
      <w:lvlText w:val="-"/>
      <w:numFmt w:val="bullet"/>
      <w:start w:val="1"/>
    </w:lvl>
    <w:lvl w:ilvl="1">
      <w:lvlJc w:val="left"/>
      <w:lvlText w:val="-"/>
      <w:numFmt w:val="bullet"/>
      <w:start w:val="1"/>
    </w:lvl>
  </w:abstractNum>
  <w:abstractNum w:abstractNumId="49">
    <w:nsid w:val="312167AD"/>
    <w:multiLevelType w:val="hybridMultilevel"/>
    <w:lvl w:ilvl="0">
      <w:lvlJc w:val="left"/>
      <w:lvlText w:val="-"/>
      <w:numFmt w:val="bullet"/>
      <w:start w:val="1"/>
    </w:lvl>
  </w:abstractNum>
  <w:abstractNum w:abstractNumId="50">
    <w:nsid w:val="631B64D4"/>
    <w:multiLevelType w:val="hybridMultilevel"/>
    <w:lvl w:ilvl="0">
      <w:lvlJc w:val="left"/>
      <w:lvlText w:val="-"/>
      <w:numFmt w:val="bullet"/>
      <w:start w:val="1"/>
    </w:lvl>
  </w:abstractNum>
  <w:abstractNum w:abstractNumId="51">
    <w:nsid w:val="78B5E776"/>
    <w:multiLevelType w:val="hybridMultilevel"/>
    <w:lvl w:ilvl="0">
      <w:lvlJc w:val="left"/>
      <w:lvlText w:val="%1)"/>
      <w:numFmt w:val="lowerLetter"/>
      <w:start w:val="10"/>
    </w:lvl>
    <w:lvl w:ilvl="1">
      <w:lvlJc w:val="left"/>
      <w:lvlText w:val="-"/>
      <w:numFmt w:val="bullet"/>
      <w:start w:val="1"/>
    </w:lvl>
  </w:abstractNum>
  <w:abstractNum w:abstractNumId="52">
    <w:nsid w:val="75486E47"/>
    <w:multiLevelType w:val="hybridMultilevel"/>
    <w:lvl w:ilvl="0">
      <w:lvlJc w:val="left"/>
      <w:lvlText w:val="%1)"/>
      <w:numFmt w:val="lowerLetter"/>
      <w:start w:val="11"/>
    </w:lvl>
  </w:abstractNum>
  <w:abstractNum w:abstractNumId="53">
    <w:nsid w:val="6E534CDE"/>
    <w:multiLevelType w:val="hybridMultilevel"/>
    <w:lvl w:ilvl="0">
      <w:lvlJc w:val="left"/>
      <w:lvlText w:val="%1)"/>
      <w:numFmt w:val="lowerLetter"/>
      <w:start w:val="12"/>
    </w:lvl>
    <w:lvl w:ilvl="1">
      <w:lvlJc w:val="left"/>
      <w:lvlText w:val="-"/>
      <w:numFmt w:val="bullet"/>
      <w:start w:val="1"/>
    </w:lvl>
  </w:abstractNum>
  <w:abstractNum w:abstractNumId="54">
    <w:nsid w:val="1A0DDE32"/>
    <w:multiLevelType w:val="hybridMultilevel"/>
    <w:lvl w:ilvl="0">
      <w:lvlJc w:val="left"/>
      <w:lvlText w:val="%1)"/>
      <w:numFmt w:val="lowerLetter"/>
      <w:start w:val="14"/>
    </w:lvl>
    <w:lvl w:ilvl="1">
      <w:lvlJc w:val="left"/>
      <w:lvlText w:val="-"/>
      <w:numFmt w:val="bullet"/>
      <w:start w:val="1"/>
    </w:lvl>
  </w:abstractNum>
  <w:abstractNum w:abstractNumId="55">
    <w:nsid w:val="65968C1C"/>
    <w:multiLevelType w:val="hybridMultilevel"/>
    <w:lvl w:ilvl="0">
      <w:lvlJc w:val="left"/>
      <w:lvlText w:val="%1)"/>
      <w:numFmt w:val="lowerLetter"/>
      <w:start w:val="19"/>
    </w:lvl>
    <w:lvl w:ilvl="1">
      <w:lvlJc w:val="left"/>
      <w:lvlText w:val="-"/>
      <w:numFmt w:val="bullet"/>
      <w:start w:val="1"/>
    </w:lvl>
  </w:abstractNum>
  <w:abstractNum w:abstractNumId="56">
    <w:nsid w:val="46263DEC"/>
    <w:multiLevelType w:val="hybridMultilevel"/>
    <w:lvl w:ilvl="0">
      <w:lvlJc w:val="left"/>
      <w:lvlText w:val="-"/>
      <w:numFmt w:val="bullet"/>
      <w:start w:val="1"/>
    </w:lvl>
  </w:abstractNum>
  <w:abstractNum w:abstractNumId="57">
    <w:nsid w:val="260D8C4A"/>
    <w:multiLevelType w:val="hybridMultilevel"/>
    <w:lvl w:ilvl="0">
      <w:lvlJc w:val="left"/>
      <w:lvlText w:val="-"/>
      <w:numFmt w:val="bullet"/>
      <w:start w:val="1"/>
    </w:lvl>
  </w:abstractNum>
  <w:abstractNum w:abstractNumId="58">
    <w:nsid w:val="73D4D3C4"/>
    <w:multiLevelType w:val="hybridMultilevel"/>
    <w:lvl w:ilvl="0">
      <w:lvlJc w:val="left"/>
      <w:lvlText w:val="(%1)"/>
      <w:numFmt w:val="lowerRoman"/>
      <w:start w:val="1"/>
    </w:lvl>
    <w:lvl w:ilvl="1">
      <w:lvlJc w:val="left"/>
      <w:lvlText w:val="-"/>
      <w:numFmt w:val="bullet"/>
      <w:start w:val="1"/>
    </w:lvl>
  </w:abstractNum>
  <w:abstractNum w:abstractNumId="59">
    <w:nsid w:val="746F2E30"/>
    <w:multiLevelType w:val="hybridMultilevel"/>
    <w:lvl w:ilvl="0">
      <w:lvlJc w:val="left"/>
      <w:lvlText w:val="(%1)"/>
      <w:numFmt w:val="lowerRoman"/>
      <w:start w:val="2"/>
    </w:lvl>
    <w:lvl w:ilvl="1">
      <w:lvlJc w:val="left"/>
      <w:lvlText w:val="-"/>
      <w:numFmt w:val="bullet"/>
      <w:start w:val="1"/>
    </w:lvl>
  </w:abstractNum>
  <w:abstractNum w:abstractNumId="60">
    <w:nsid w:val="6FDE8AF6"/>
    <w:multiLevelType w:val="hybridMultilevel"/>
    <w:lvl w:ilvl="0">
      <w:lvlJc w:val="left"/>
      <w:lvlText w:val="%1)"/>
      <w:numFmt w:val="lowerLetter"/>
      <w:start w:val="21"/>
    </w:lvl>
    <w:lvl w:ilvl="1">
      <w:lvlJc w:val="left"/>
      <w:lvlText w:val="-"/>
      <w:numFmt w:val="bullet"/>
      <w:start w:val="1"/>
    </w:lvl>
  </w:abstractNum>
  <w:abstractNum w:abstractNumId="61">
    <w:nsid w:val="3FC32E20"/>
    <w:multiLevelType w:val="hybridMultilevel"/>
    <w:lvl w:ilvl="0">
      <w:lvlJc w:val="left"/>
      <w:lvlText w:val="-"/>
      <w:numFmt w:val="bullet"/>
      <w:start w:val="1"/>
    </w:lvl>
  </w:abstractNum>
  <w:abstractNum w:abstractNumId="62">
    <w:nsid w:val="49C0E823"/>
    <w:multiLevelType w:val="hybridMultilevel"/>
    <w:lvl w:ilvl="0">
      <w:lvlJc w:val="left"/>
      <w:lvlText w:val="%1)"/>
      <w:numFmt w:val="lowerRoman"/>
      <w:start w:val="5"/>
    </w:lvl>
    <w:lvl w:ilvl="1">
      <w:lvlJc w:val="left"/>
      <w:lvlText w:val="-"/>
      <w:numFmt w:val="bullet"/>
      <w:start w:val="1"/>
    </w:lvl>
  </w:abstractNum>
  <w:abstractNum w:abstractNumId="63">
    <w:nsid w:val="14D53685"/>
    <w:multiLevelType w:val="hybridMultilevel"/>
    <w:lvl w:ilvl="0">
      <w:lvlJc w:val="left"/>
      <w:lvlText w:val="%1)"/>
      <w:numFmt w:val="lowerLetter"/>
      <w:start w:val="23"/>
    </w:lvl>
    <w:lvl w:ilvl="1">
      <w:lvlJc w:val="left"/>
      <w:lvlText w:val="-"/>
      <w:numFmt w:val="bullet"/>
      <w:start w:val="1"/>
    </w:lvl>
  </w:abstractNum>
  <w:abstractNum w:abstractNumId="64">
    <w:nsid w:val="230F856C"/>
    <w:multiLevelType w:val="hybridMultilevel"/>
    <w:lvl w:ilvl="0">
      <w:lvlJc w:val="left"/>
      <w:lvlText w:val="%1)"/>
      <w:numFmt w:val="lowerLetter"/>
      <w:start w:val="26"/>
    </w:lvl>
    <w:lvl w:ilvl="1">
      <w:lvlJc w:val="left"/>
      <w:lvlText w:val="-"/>
      <w:numFmt w:val="bullet"/>
      <w:start w:val="1"/>
    </w:lvl>
    <w:lvl w:ilvl="2">
      <w:lvlJc w:val="left"/>
      <w:lvlText w:val="-"/>
      <w:numFmt w:val="bullet"/>
      <w:start w:val="1"/>
    </w:lvl>
  </w:abstractNum>
  <w:abstractNum w:abstractNumId="65">
    <w:nsid w:val="6EAA85FB"/>
    <w:multiLevelType w:val="hybridMultilevel"/>
    <w:lvl w:ilvl="0">
      <w:lvlJc w:val="left"/>
      <w:lvlText w:val="%1)"/>
      <w:numFmt w:val="lowerLetter"/>
      <w:start w:val="2"/>
    </w:lvl>
  </w:abstractNum>
  <w:abstractNum w:abstractNumId="66">
    <w:nsid w:val="3F06ECB2"/>
    <w:multiLevelType w:val="hybridMultilevel"/>
    <w:lvl w:ilvl="0">
      <w:lvlJc w:val="left"/>
      <w:lvlText w:val="(%1)"/>
      <w:numFmt w:val="lowerRoman"/>
      <w:start w:val="1"/>
    </w:lvl>
    <w:lvl w:ilvl="1">
      <w:lvlJc w:val="left"/>
      <w:lvlText w:val="-"/>
      <w:numFmt w:val="bullet"/>
      <w:start w:val="1"/>
    </w:lvl>
  </w:abstractNum>
  <w:abstractNum w:abstractNumId="67">
    <w:nsid w:val="3B594807"/>
    <w:multiLevelType w:val="hybridMultilevel"/>
    <w:lvl w:ilvl="0">
      <w:lvlJc w:val="left"/>
      <w:lvlText w:val="%1"/>
      <w:numFmt w:val="lowerLetter"/>
      <w:start w:val="1"/>
    </w:lvl>
    <w:lvl w:ilvl="1">
      <w:lvlJc w:val="left"/>
      <w:lvlText w:val="(%2)"/>
      <w:numFmt w:val="lowerRoman"/>
      <w:start w:val="3"/>
    </w:lvl>
  </w:abstractNum>
  <w:abstractNum w:abstractNumId="68">
    <w:nsid w:val="6CAA2304"/>
    <w:multiLevelType w:val="hybridMultilevel"/>
    <w:lvl w:ilvl="0">
      <w:lvlJc w:val="left"/>
      <w:lvlText w:val="%1)"/>
      <w:numFmt w:val="lowerLetter"/>
      <w:start w:val="3"/>
    </w:lvl>
    <w:lvl w:ilvl="1">
      <w:lvlJc w:val="left"/>
      <w:lvlText w:val="%2"/>
      <w:numFmt w:val="lowerRoman"/>
      <w:start w:val="1"/>
    </w:lvl>
  </w:abstractNum>
  <w:abstractNum w:abstractNumId="69">
    <w:nsid w:val="3F7C2FF4"/>
    <w:multiLevelType w:val="hybridMultilevel"/>
    <w:lvl w:ilvl="0">
      <w:lvlJc w:val="left"/>
      <w:lvlText w:val="5"/>
      <w:numFmt w:val="bullet"/>
      <w:start w:val="1"/>
    </w:lvl>
    <w:lvl w:ilvl="1">
      <w:lvlJc w:val="left"/>
      <w:lvlText w:val="%2)"/>
      <w:numFmt w:val="lowerLetter"/>
      <w:start w:val="1"/>
    </w:lvl>
  </w:abstractNum>
  <w:abstractNum w:abstractNumId="70">
    <w:nsid w:val="25413BEC"/>
    <w:multiLevelType w:val="hybridMultilevel"/>
    <w:lvl w:ilvl="0">
      <w:lvlJc w:val="left"/>
      <w:lvlText w:val="(%1)"/>
      <w:numFmt w:val="lowerRoman"/>
      <w:start w:val="1"/>
    </w:lvl>
  </w:abstractNum>
  <w:abstractNum w:abstractNumId="71">
    <w:nsid w:val="17180B0B"/>
    <w:multiLevelType w:val="hybridMultilevel"/>
    <w:lvl w:ilvl="0">
      <w:lvlJc w:val="left"/>
      <w:lvlText w:val="(%1)"/>
      <w:numFmt w:val="lowerRoman"/>
      <w:start w:val="2"/>
    </w:lvl>
  </w:abstractNum>
  <w:abstractNum w:abstractNumId="72">
    <w:nsid w:val="579328B9"/>
    <w:multiLevelType w:val="hybridMultilevel"/>
    <w:lvl w:ilvl="0">
      <w:lvlJc w:val="left"/>
      <w:lvlText w:val="%1"/>
      <w:numFmt w:val="lowerLetter"/>
      <w:start w:val="1"/>
    </w:lvl>
    <w:lvl w:ilvl="1">
      <w:lvlJc w:val="left"/>
      <w:lvlText w:val="(%2)"/>
      <w:numFmt w:val="lowerRoman"/>
      <w:start w:val="3"/>
    </w:lvl>
  </w:abstractNum>
  <w:abstractNum w:abstractNumId="73">
    <w:nsid w:val="5D205E20"/>
    <w:multiLevelType w:val="hybridMultilevel"/>
    <w:lvl w:ilvl="0">
      <w:lvlJc w:val="left"/>
      <w:lvlText w:val="%1)"/>
      <w:numFmt w:val="lowerLetter"/>
      <w:start w:val="2"/>
    </w:lvl>
    <w:lvl w:ilvl="1">
      <w:lvlJc w:val="left"/>
      <w:lvlText w:val="%2"/>
      <w:numFmt w:val="lowerRoman"/>
      <w:start w:val="1"/>
    </w:lvl>
  </w:abstractNum>
  <w:abstractNum w:abstractNumId="74">
    <w:nsid w:val="11CCA8BA"/>
    <w:multiLevelType w:val="hybridMultilevel"/>
    <w:lvl w:ilvl="0">
      <w:lvlJc w:val="left"/>
      <w:lvlText w:val="%1)"/>
      <w:numFmt w:val="lowerLetter"/>
      <w:start w:val="3"/>
    </w:lvl>
  </w:abstractNum>
  <w:abstractNum w:abstractNumId="75">
    <w:nsid w:val="4D32AB86"/>
    <w:multiLevelType w:val="hybridMultilevel"/>
    <w:lvl w:ilvl="0">
      <w:lvlJc w:val="left"/>
      <w:lvlText w:val="(*)"/>
      <w:numFmt w:val="bullet"/>
      <w:start w:val="1"/>
    </w:lvl>
  </w:abstractNum>
  <w:abstractNum w:abstractNumId="76">
    <w:nsid w:val="3F07ACC3"/>
    <w:multiLevelType w:val="hybridMultilevel"/>
    <w:lvl w:ilvl="0">
      <w:lvlJc w:val="left"/>
      <w:lvlText w:val="6"/>
      <w:numFmt w:val="bullet"/>
      <w:start w:val="1"/>
    </w:lvl>
    <w:lvl w:ilvl="1">
      <w:lvlJc w:val="left"/>
      <w:lvlText w:val="%2)"/>
      <w:numFmt w:val="lowerLetter"/>
      <w:start w:val="1"/>
    </w:lvl>
  </w:abstractNum>
  <w:abstractNum w:abstractNumId="77">
    <w:nsid w:val="6B47F63E"/>
    <w:multiLevelType w:val="hybridMultilevel"/>
    <w:lvl w:ilvl="0">
      <w:lvlJc w:val="left"/>
      <w:lvlText w:val="(%1)"/>
      <w:numFmt w:val="lowerRoman"/>
      <w:start w:val="2"/>
    </w:lvl>
    <w:lvl w:ilvl="1">
      <w:lvlJc w:val="left"/>
      <w:lvlText w:val="-"/>
      <w:numFmt w:val="bullet"/>
      <w:start w:val="1"/>
    </w:lvl>
  </w:abstractNum>
  <w:abstractNum w:abstractNumId="78">
    <w:nsid w:val="5CB44A05"/>
    <w:multiLevelType w:val="hybridMultilevel"/>
    <w:lvl w:ilvl="0">
      <w:lvlJc w:val="left"/>
      <w:lvlText w:val="(%1)"/>
      <w:numFmt w:val="lowerRoman"/>
      <w:start w:val="5"/>
    </w:lvl>
    <w:lvl w:ilvl="1">
      <w:lvlJc w:val="left"/>
      <w:lvlText w:val="-"/>
      <w:numFmt w:val="bullet"/>
      <w:start w:val="1"/>
    </w:lvl>
  </w:abstractNum>
  <w:abstractNum w:abstractNumId="79">
    <w:nsid w:val="16CF80F1"/>
    <w:multiLevelType w:val="hybridMultilevel"/>
    <w:lvl w:ilvl="0">
      <w:lvlJc w:val="left"/>
      <w:lvlText w:val="(%1)"/>
      <w:numFmt w:val="lowerRoman"/>
      <w:start w:val="1"/>
    </w:lvl>
  </w:abstractNum>
  <w:abstractNum w:abstractNumId="80">
    <w:nsid w:val="1C695DEC"/>
    <w:multiLevelType w:val="hybridMultilevel"/>
    <w:lvl w:ilvl="0">
      <w:lvlJc w:val="left"/>
      <w:lvlText w:val="(%1)"/>
      <w:numFmt w:val="lowerRoman"/>
      <w:start w:val="3"/>
    </w:lvl>
    <w:lvl w:ilvl="1">
      <w:lvlJc w:val="left"/>
      <w:lvlText w:val="-"/>
      <w:numFmt w:val="bullet"/>
      <w:start w:val="1"/>
    </w:lvl>
  </w:abstractNum>
  <w:abstractNum w:abstractNumId="81">
    <w:nsid w:val="3FCFAED9"/>
    <w:multiLevelType w:val="hybridMultilevel"/>
    <w:lvl w:ilvl="0">
      <w:lvlJc w:val="left"/>
      <w:lvlText w:val="(%1)"/>
      <w:numFmt w:val="lowerRoman"/>
      <w:start w:val="5"/>
    </w:lvl>
    <w:lvl w:ilvl="1">
      <w:lvlJc w:val="left"/>
      <w:lvlText w:val="-"/>
      <w:numFmt w:val="bullet"/>
      <w:start w:val="1"/>
    </w:lvl>
  </w:abstractNum>
  <w:abstractNum w:abstractNumId="82">
    <w:nsid w:val="F856867"/>
    <w:multiLevelType w:val="hybridMultilevel"/>
    <w:lvl w:ilvl="0">
      <w:lvlJc w:val="left"/>
      <w:lvlText w:val="(%1)"/>
      <w:numFmt w:val="lowerRoman"/>
      <w:start w:val="1"/>
    </w:lvl>
    <w:lvl w:ilvl="1">
      <w:lvlJc w:val="left"/>
      <w:lvlText w:val="-"/>
      <w:numFmt w:val="bullet"/>
      <w:start w:val="1"/>
    </w:lvl>
  </w:abstractNum>
  <w:abstractNum w:abstractNumId="83">
    <w:nsid w:val="11B1CC33"/>
    <w:multiLevelType w:val="hybridMultilevel"/>
    <w:lvl w:ilvl="0">
      <w:lvlJc w:val="left"/>
      <w:lvlText w:val="%1)"/>
      <w:numFmt w:val="lowerLetter"/>
      <w:start w:val="4"/>
    </w:lvl>
  </w:abstractNum>
  <w:abstractNum w:abstractNumId="84">
    <w:nsid w:val="2E22FBB7"/>
    <w:multiLevelType w:val="hybridMultilevel"/>
    <w:lvl w:ilvl="0">
      <w:lvlJc w:val="left"/>
      <w:lvlText w:val="%1)"/>
      <w:numFmt w:val="lowerLetter"/>
      <w:start w:val="3"/>
    </w:lvl>
  </w:abstractNum>
  <w:abstractNum w:abstractNumId="85">
    <w:nsid w:val="29934699"/>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86">
    <w:nsid w:val="77485850"/>
    <w:multiLevelType w:val="hybridMultilevel"/>
    <w:lvl w:ilvl="0">
      <w:lvlJc w:val="left"/>
      <w:lvlText w:val="%1)"/>
      <w:numFmt w:val="lowerLetter"/>
      <w:start w:val="3"/>
    </w:lvl>
    <w:lvl w:ilvl="1">
      <w:lvlJc w:val="left"/>
      <w:lvlText w:val="(**)"/>
      <w:numFmt w:val="bullet"/>
      <w:start w:val="1"/>
    </w:lvl>
  </w:abstractNum>
  <w:abstractNum w:abstractNumId="87">
    <w:nsid w:val="744939A3"/>
    <w:multiLevelType w:val="hybridMultilevel"/>
    <w:lvl w:ilvl="0">
      <w:lvlJc w:val="left"/>
      <w:lvlText w:val="%1)"/>
      <w:numFmt w:val="lowerLetter"/>
      <w:start w:val="7"/>
    </w:lvl>
    <w:lvl w:ilvl="1">
      <w:lvlJc w:val="left"/>
      <w:lvlText w:val="-"/>
      <w:numFmt w:val="bullet"/>
      <w:start w:val="1"/>
    </w:lvl>
  </w:abstractNum>
  <w:abstractNum w:abstractNumId="88">
    <w:nsid w:val="4FA0D2E3"/>
    <w:multiLevelType w:val="hybridMultilevel"/>
    <w:lvl w:ilvl="0">
      <w:lvlJc w:val="left"/>
      <w:lvlText w:val="8"/>
      <w:numFmt w:val="bullet"/>
      <w:start w:val="1"/>
    </w:lvl>
    <w:lvl w:ilvl="1">
      <w:lvlJc w:val="left"/>
      <w:lvlText w:val="%2)"/>
      <w:numFmt w:val="lowerLetter"/>
      <w:start w:val="1"/>
    </w:lvl>
  </w:abstractNum>
  <w:abstractNum w:abstractNumId="89">
    <w:nsid w:val="6B1D2C14"/>
    <w:multiLevelType w:val="hybridMultilevel"/>
    <w:lvl w:ilvl="0">
      <w:lvlJc w:val="left"/>
      <w:lvlText w:val="(*)"/>
      <w:numFmt w:val="bullet"/>
      <w:start w:val="1"/>
    </w:lvl>
    <w:lvl w:ilvl="1">
      <w:lvlJc w:val="left"/>
      <w:lvlText w:val="-"/>
      <w:numFmt w:val="bullet"/>
      <w:start w:val="1"/>
    </w:lvl>
  </w:abstractNum>
  <w:abstractNum w:abstractNumId="90">
    <w:nsid w:val="68B867D3"/>
    <w:multiLevelType w:val="hybridMultilevel"/>
    <w:lvl w:ilvl="0">
      <w:lvlJc w:val="left"/>
      <w:lvlText w:val="(*)"/>
      <w:numFmt w:val="bullet"/>
      <w:start w:val="1"/>
    </w:lvl>
    <w:lvl w:ilvl="1">
      <w:lvlJc w:val="left"/>
      <w:lvlText w:val="-"/>
      <w:numFmt w:val="bullet"/>
      <w:start w:val="1"/>
    </w:lvl>
  </w:abstractNum>
  <w:abstractNum w:abstractNumId="91">
    <w:nsid w:val="3F7F5DD9"/>
    <w:multiLevelType w:val="hybridMultilevel"/>
    <w:lvl w:ilvl="0">
      <w:lvlJc w:val="left"/>
      <w:lvlText w:val="(*)"/>
      <w:numFmt w:val="bullet"/>
      <w:start w:val="1"/>
    </w:lvl>
    <w:lvl w:ilvl="1">
      <w:lvlJc w:val="left"/>
      <w:lvlText w:val="-"/>
      <w:numFmt w:val="bullet"/>
      <w:start w:val="1"/>
    </w:lvl>
  </w:abstractNum>
  <w:abstractNum w:abstractNumId="92">
    <w:nsid w:val="2AE05A34"/>
    <w:multiLevelType w:val="hybridMultilevel"/>
    <w:lvl w:ilvl="0">
      <w:lvlJc w:val="left"/>
      <w:lvlText w:val="9"/>
      <w:numFmt w:val="bullet"/>
      <w:start w:val="1"/>
    </w:lvl>
  </w:abstractNum>
  <w:abstractNum w:abstractNumId="93">
    <w:nsid w:val="32794FF7"/>
    <w:multiLevelType w:val="hybridMultilevel"/>
    <w:lvl w:ilvl="0">
      <w:lvlJc w:val="left"/>
      <w:lvlText w:val="%1)"/>
      <w:numFmt w:val="lowerLetter"/>
      <w:start w:val="1"/>
    </w:lvl>
  </w:abstractNum>
  <w:abstractNum w:abstractNumId="94">
    <w:nsid w:val="5454945E"/>
    <w:multiLevelType w:val="hybridMultilevel"/>
    <w:lvl w:ilvl="0">
      <w:lvlJc w:val="left"/>
      <w:lvlText w:val="(**)"/>
      <w:numFmt w:val="bullet"/>
      <w:start w:val="1"/>
    </w:lvl>
    <w:lvl w:ilvl="1">
      <w:lvlJc w:val="left"/>
      <w:lvlText w:val="-"/>
      <w:numFmt w:val="bullet"/>
      <w:start w:val="1"/>
    </w:lvl>
  </w:abstractNum>
  <w:abstractNum w:abstractNumId="95">
    <w:nsid w:val="4DEFDFA0"/>
    <w:multiLevelType w:val="hybridMultilevel"/>
    <w:lvl w:ilvl="0">
      <w:lvlJc w:val="left"/>
      <w:lvlText w:val="%1"/>
      <w:numFmt w:val="decimal"/>
      <w:start w:val="10"/>
    </w:lvl>
    <w:lvl w:ilvl="1">
      <w:lvlJc w:val="left"/>
      <w:lvlText w:val="%2)"/>
      <w:numFmt w:val="lowerLetter"/>
      <w:start w:val="1"/>
    </w:lvl>
  </w:abstractNum>
  <w:abstractNum w:abstractNumId="96">
    <w:nsid w:val="2123D5F2"/>
    <w:multiLevelType w:val="hybridMultilevel"/>
    <w:lvl w:ilvl="0">
      <w:lvlJc w:val="left"/>
      <w:lvlText w:val="(**)"/>
      <w:numFmt w:val="bullet"/>
      <w:start w:val="1"/>
    </w:lvl>
    <w:lvl w:ilvl="1">
      <w:lvlJc w:val="left"/>
      <w:lvlText w:val="-"/>
      <w:numFmt w:val="bullet"/>
      <w:start w:val="1"/>
    </w:lvl>
  </w:abstractNum>
  <w:abstractNum w:abstractNumId="97">
    <w:nsid w:val="135B8110"/>
    <w:multiLevelType w:val="hybridMultilevel"/>
    <w:lvl w:ilvl="0">
      <w:lvlJc w:val="left"/>
      <w:lvlText w:val="%1)"/>
      <w:numFmt w:val="lowerLetter"/>
      <w:start w:val="2"/>
    </w:lvl>
  </w:abstractNum>
  <w:abstractNum w:abstractNumId="98">
    <w:nsid w:val="94927A8"/>
    <w:multiLevelType w:val="hybridMultilevel"/>
    <w:lvl w:ilvl="0">
      <w:lvlJc w:val="left"/>
      <w:lvlText w:val="(*)"/>
      <w:numFmt w:val="bullet"/>
      <w:start w:val="1"/>
    </w:lvl>
  </w:abstractNum>
  <w:abstractNum w:abstractNumId="99">
    <w:nsid w:val="DCDF8F6"/>
    <w:multiLevelType w:val="hybridMultilevel"/>
    <w:lvl w:ilvl="0">
      <w:lvlJc w:val="left"/>
      <w:lvlText w:val="%1"/>
      <w:numFmt w:val="decimal"/>
      <w:start w:val="11"/>
    </w:lvl>
    <w:lvl w:ilvl="1">
      <w:lvlJc w:val="left"/>
      <w:lvlText w:val="%2)"/>
      <w:numFmt w:val="lowerLetter"/>
      <w:start w:val="1"/>
    </w:lvl>
  </w:abstractNum>
  <w:abstractNum w:abstractNumId="100">
    <w:nsid w:val="52D7B105"/>
    <w:multiLevelType w:val="hybridMultilevel"/>
    <w:lvl w:ilvl="0">
      <w:lvlJc w:val="left"/>
      <w:lvlText w:val="%1)"/>
      <w:numFmt w:val="lowerLetter"/>
      <w:start w:val="2"/>
    </w:lvl>
    <w:lvl w:ilvl="1">
      <w:lvlJc w:val="left"/>
      <w:lvlText w:val="-"/>
      <w:numFmt w:val="bullet"/>
      <w:start w:val="1"/>
    </w:lvl>
  </w:abstractNum>
  <w:abstractNum w:abstractNumId="101">
    <w:nsid w:val="2E8A6394"/>
    <w:multiLevelType w:val="hybridMultilevel"/>
    <w:lvl w:ilvl="0">
      <w:lvlJc w:val="left"/>
      <w:lvlText w:val="%1)"/>
      <w:numFmt w:val="lowerLetter"/>
      <w:start w:val="2"/>
    </w:lvl>
    <w:lvl w:ilvl="1">
      <w:lvlJc w:val="left"/>
      <w:lvlText w:val="-"/>
      <w:numFmt w:val="bullet"/>
      <w:start w:val="1"/>
    </w:lvl>
  </w:abstractNum>
  <w:abstractNum w:abstractNumId="102">
    <w:nsid w:val="24E60401"/>
    <w:multiLevelType w:val="hybridMultilevel"/>
    <w:lvl w:ilvl="0">
      <w:lvlJc w:val="left"/>
      <w:lvlText w:val="%1)"/>
      <w:numFmt w:val="lowerLetter"/>
      <w:start w:val="3"/>
    </w:lvl>
  </w:abstractNum>
  <w:abstractNum w:abstractNumId="103">
    <w:nsid w:val="2A6AD9BE"/>
    <w:multiLevelType w:val="hybridMultilevel"/>
    <w:lvl w:ilvl="0">
      <w:lvlJc w:val="left"/>
      <w:lvlText w:val="(*)"/>
      <w:numFmt w:val="bullet"/>
      <w:start w:val="1"/>
    </w:lvl>
  </w:abstractNum>
  <w:abstractNum w:abstractNumId="104">
    <w:nsid w:val="BAAC1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5">
    <w:nsid w:val="36B2ACBC"/>
    <w:multiLevelType w:val="hybridMultilevel"/>
    <w:lvl w:ilvl="0">
      <w:lvlJc w:val="left"/>
      <w:lvlText w:val="(%1)"/>
      <w:numFmt w:val="lowerRoman"/>
      <w:start w:val="1"/>
    </w:lvl>
  </w:abstractNum>
  <w:abstractNum w:abstractNumId="106">
    <w:nsid w:val="779D8544"/>
    <w:multiLevelType w:val="hybridMultilevel"/>
    <w:lvl w:ilvl="0">
      <w:lvlJc w:val="left"/>
      <w:lvlText w:val="(%1)"/>
      <w:numFmt w:val="lowerRoman"/>
      <w:start w:val="2"/>
    </w:lvl>
  </w:abstractNum>
  <w:abstractNum w:abstractNumId="107">
    <w:nsid w:val="4AB26E78"/>
    <w:multiLevelType w:val="hybridMultilevel"/>
    <w:lvl w:ilvl="0">
      <w:lvlJc w:val="left"/>
      <w:lvlText w:val="%1)"/>
      <w:numFmt w:val="lowerLetter"/>
      <w:start w:val="4"/>
    </w:lvl>
  </w:abstractNum>
  <w:abstractNum w:abstractNumId="108">
    <w:nsid w:val="21FAA2FA"/>
    <w:multiLevelType w:val="hybridMultilevel"/>
    <w:lvl w:ilvl="0">
      <w:lvlJc w:val="left"/>
      <w:lvlText w:val="%1)"/>
      <w:numFmt w:val="lowerLetter"/>
      <w:start w:val="8"/>
    </w:lvl>
    <w:lvl w:ilvl="1">
      <w:lvlJc w:val="left"/>
      <w:lvlText w:val="-"/>
      <w:numFmt w:val="bullet"/>
      <w:start w:val="1"/>
    </w:lvl>
  </w:abstractNum>
  <w:abstractNum w:abstractNumId="109">
    <w:nsid w:val="5451CF49"/>
    <w:multiLevelType w:val="hybridMultilevel"/>
    <w:lvl w:ilvl="0">
      <w:lvlJc w:val="left"/>
      <w:lvlText w:val="%1)"/>
      <w:numFmt w:val="lowerLetter"/>
      <w:start w:val="9"/>
    </w:lvl>
  </w:abstractNum>
  <w:abstractNum w:abstractNumId="110">
    <w:nsid w:val="6181EF69"/>
    <w:multiLevelType w:val="hybridMultilevel"/>
    <w:lvl w:ilvl="0">
      <w:lvlJc w:val="left"/>
      <w:lvlText w:val="%1)"/>
      <w:numFmt w:val="lowerLetter"/>
      <w:start w:val="12"/>
    </w:lvl>
    <w:lvl w:ilvl="1">
      <w:lvlJc w:val="left"/>
      <w:lvlText w:val="-"/>
      <w:numFmt w:val="bullet"/>
      <w:start w:val="1"/>
    </w:lvl>
  </w:abstractNum>
  <w:abstractNum w:abstractNumId="111">
    <w:nsid w:val="3E6400E6"/>
    <w:multiLevelType w:val="hybridMultilevel"/>
    <w:lvl w:ilvl="0">
      <w:lvlJc w:val="left"/>
      <w:lvlText w:val="%1"/>
      <w:numFmt w:val="decimal"/>
      <w:start w:val="13"/>
    </w:lvl>
    <w:lvl w:ilvl="1">
      <w:lvlJc w:val="left"/>
      <w:lvlText w:val="%2)"/>
      <w:numFmt w:val="lowerLetter"/>
      <w:start w:val="1"/>
    </w:lvl>
  </w:abstractNum>
  <w:abstractNum w:abstractNumId="112">
    <w:nsid w:val="14217E23"/>
    <w:multiLevelType w:val="hybridMultilevel"/>
    <w:lvl w:ilvl="0">
      <w:lvlJc w:val="left"/>
      <w:lvlText w:val="%1"/>
      <w:numFmt w:val="lowerLetter"/>
      <w:start w:val="1"/>
    </w:lvl>
    <w:lvl w:ilvl="1">
      <w:lvlJc w:val="left"/>
      <w:lvlText w:val="(%2)"/>
      <w:numFmt w:val="lowerRoman"/>
      <w:start w:val="1"/>
    </w:lvl>
  </w:abstractNum>
  <w:abstractNum w:abstractNumId="113">
    <w:nsid w:val="710757D0"/>
    <w:multiLevelType w:val="hybridMultilevel"/>
    <w:lvl w:ilvl="0">
      <w:lvlJc w:val="left"/>
      <w:lvlText w:val="%1)"/>
      <w:numFmt w:val="lowerLetter"/>
      <w:start w:val="3"/>
    </w:lvl>
    <w:lvl w:ilvl="1">
      <w:lvlJc w:val="left"/>
      <w:lvlText w:val="%2"/>
      <w:numFmt w:val="lowerRoman"/>
      <w:start w:val="1"/>
    </w:lvl>
  </w:abstractNum>
  <w:abstractNum w:abstractNumId="114">
    <w:nsid w:val="5015CD1A"/>
    <w:multiLevelType w:val="hybridMultilevel"/>
    <w:lvl w:ilvl="0">
      <w:lvlJc w:val="left"/>
      <w:lvlText w:val="%1)"/>
      <w:numFmt w:val="lowerLetter"/>
      <w:start w:val="5"/>
    </w:lvl>
    <w:lvl w:ilvl="1">
      <w:lvlJc w:val="left"/>
      <w:lvlText w:val="-"/>
      <w:numFmt w:val="bullet"/>
      <w:start w:val="1"/>
    </w:lvl>
  </w:abstractNum>
  <w:abstractNum w:abstractNumId="115">
    <w:nsid w:val="424479DA"/>
    <w:multiLevelType w:val="hybridMultilevel"/>
    <w:lvl w:ilvl="0">
      <w:lvlJc w:val="left"/>
      <w:lvlText w:val="%1"/>
      <w:numFmt w:val="decimal"/>
      <w:start w:val="15"/>
    </w:lvl>
    <w:lvl w:ilvl="1">
      <w:lvlJc w:val="left"/>
      <w:lvlText w:val="%2)"/>
      <w:numFmt w:val="lowerLetter"/>
      <w:start w:val="1"/>
    </w:lvl>
  </w:abstractNum>
  <w:abstractNum w:abstractNumId="116">
    <w:nsid w:val="1A9A9E69"/>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117">
    <w:nsid w:val="475E256A"/>
    <w:multiLevelType w:val="hybridMultilevel"/>
    <w:lvl w:ilvl="0">
      <w:lvlJc w:val="left"/>
      <w:lvlText w:val="(%1)"/>
      <w:numFmt w:val="lowerRoman"/>
      <w:start w:val="8"/>
    </w:lvl>
    <w:lvl w:ilvl="1">
      <w:lvlJc w:val="left"/>
      <w:lvlText w:val="(%2)"/>
      <w:numFmt w:val="decimal"/>
      <w:start w:val="2"/>
    </w:lvl>
    <w:lvl w:ilvl="2">
      <w:lvlJc w:val="left"/>
      <w:lvlText w:val="-"/>
      <w:numFmt w:val="bullet"/>
      <w:start w:val="1"/>
    </w:lvl>
  </w:abstractNum>
  <w:abstractNum w:abstractNumId="118">
    <w:nsid w:val="368DB37E"/>
    <w:multiLevelType w:val="hybridMultilevel"/>
    <w:lvl w:ilvl="0">
      <w:lvlJc w:val="left"/>
      <w:lvlText w:val="%1"/>
      <w:numFmt w:val="decimal"/>
      <w:start w:val="16"/>
    </w:lvl>
    <w:lvl w:ilvl="1">
      <w:lvlJc w:val="left"/>
      <w:lvlText w:val="%2)"/>
      <w:numFmt w:val="lowerLetter"/>
      <w:start w:val="1"/>
    </w:lvl>
  </w:abstractNum>
  <w:abstractNum w:abstractNumId="119">
    <w:nsid w:val="6A3B714C"/>
    <w:multiLevelType w:val="hybridMultilevel"/>
    <w:lvl w:ilvl="0">
      <w:lvlJc w:val="left"/>
      <w:lvlText w:val="(*)"/>
      <w:numFmt w:val="bullet"/>
      <w:start w:val="1"/>
    </w:lvl>
  </w:abstractNum>
  <w:abstractNum w:abstractNumId="120">
    <w:nsid w:val="327B517E"/>
    <w:multiLevelType w:val="hybridMultilevel"/>
    <w:lvl w:ilvl="0">
      <w:lvlJc w:val="left"/>
      <w:lvlText w:val="%1)"/>
      <w:numFmt w:val="lowerLetter"/>
      <w:start w:val="3"/>
    </w:lvl>
  </w:abstractNum>
  <w:abstractNum w:abstractNumId="121">
    <w:nsid w:val="1F461B51"/>
    <w:multiLevelType w:val="hybridMultilevel"/>
    <w:lvl w:ilvl="0">
      <w:lvlJc w:val="left"/>
      <w:lvlText w:val="%1)"/>
      <w:numFmt w:val="lowerLetter"/>
      <w:start w:val="5"/>
    </w:lvl>
  </w:abstractNum>
  <w:abstractNum w:abstractNumId="122">
    <w:nsid w:val="29BACF25"/>
    <w:multiLevelType w:val="hybridMultilevel"/>
    <w:lvl w:ilvl="0">
      <w:lvlJc w:val="left"/>
      <w:lvlText w:val="%1)"/>
      <w:numFmt w:val="lowerLetter"/>
      <w:start w:val="6"/>
    </w:lvl>
  </w:abstractNum>
  <w:abstractNum w:abstractNumId="123">
    <w:nsid w:val="5D5BABB3"/>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124">
    <w:nsid w:val="51BF6B48"/>
    <w:multiLevelType w:val="hybridMultilevel"/>
    <w:lvl w:ilvl="0">
      <w:lvlJc w:val="left"/>
      <w:lvlText w:val="%1)"/>
      <w:numFmt w:val="lowerLetter"/>
      <w:start w:val="5"/>
    </w:lvl>
  </w:abstractNum>
  <w:abstractNum w:abstractNumId="125">
    <w:nsid w:val="7E0F6384"/>
    <w:multiLevelType w:val="hybridMultilevel"/>
    <w:lvl w:ilvl="0">
      <w:lvlJc w:val="left"/>
      <w:lvlText w:val="(*)"/>
      <w:numFmt w:val="bullet"/>
      <w:start w:val="1"/>
    </w:lvl>
  </w:abstractNum>
  <w:abstractNum w:abstractNumId="126">
    <w:nsid w:val="2B4B8B53"/>
    <w:multiLevelType w:val="hybridMultilevel"/>
    <w:lvl w:ilvl="0">
      <w:lvlJc w:val="left"/>
      <w:lvlText w:val="(**)"/>
      <w:numFmt w:val="bullet"/>
      <w:start w:val="1"/>
    </w:lvl>
  </w:abstractNum>
  <w:abstractNum w:abstractNumId="127">
    <w:nsid w:val="72E3413A"/>
    <w:multiLevelType w:val="hybridMultilevel"/>
    <w:lvl w:ilvl="0">
      <w:lvlJc w:val="left"/>
      <w:lvlText w:val="(***)"/>
      <w:numFmt w:val="bullet"/>
      <w:start w:val="1"/>
    </w:lvl>
  </w:abstractNum>
  <w:abstractNum w:abstractNumId="128">
    <w:nsid w:val="116AE494"/>
    <w:multiLevelType w:val="hybridMultilevel"/>
    <w:lvl w:ilvl="0">
      <w:lvlJc w:val="left"/>
      <w:lvlText w:val="(*)"/>
      <w:numFmt w:val="bullet"/>
      <w:start w:val="1"/>
    </w:lvl>
  </w:abstractNum>
  <w:abstractNum w:abstractNumId="129">
    <w:nsid w:val="3494B2FB"/>
    <w:multiLevelType w:val="hybridMultilevel"/>
    <w:lvl w:ilvl="0">
      <w:lvlJc w:val="left"/>
      <w:lvlText w:val="%1)"/>
      <w:numFmt w:val="lowerLetter"/>
      <w:start w:val="6"/>
    </w:lvl>
    <w:lvl w:ilvl="1">
      <w:lvlJc w:val="left"/>
      <w:lvlText w:val="(%2)"/>
      <w:numFmt w:val="lowerRoman"/>
      <w:start w:val="1"/>
    </w:lvl>
  </w:abstractNum>
  <w:abstractNum w:abstractNumId="130">
    <w:nsid w:val="B13A31"/>
    <w:multiLevelType w:val="hybridMultilevel"/>
    <w:lvl w:ilvl="0">
      <w:lvlJc w:val="left"/>
      <w:lvlText w:val="%1)"/>
      <w:numFmt w:val="lowerLetter"/>
      <w:start w:val="2"/>
    </w:lvl>
    <w:lvl w:ilvl="1">
      <w:lvlJc w:val="left"/>
      <w:lvlText w:val="-"/>
      <w:numFmt w:val="bullet"/>
      <w:start w:val="1"/>
    </w:lvl>
  </w:abstractNum>
  <w:abstractNum w:abstractNumId="131">
    <w:nsid w:val="64429599"/>
    <w:multiLevelType w:val="hybridMultilevel"/>
    <w:lvl w:ilvl="0">
      <w:lvlJc w:val="left"/>
      <w:lvlText w:val="(*)"/>
      <w:numFmt w:val="bullet"/>
      <w:start w:val="1"/>
    </w:lvl>
    <w:lvl w:ilvl="1">
      <w:lvlJc w:val="left"/>
      <w:lvlText w:val="-"/>
      <w:numFmt w:val="bullet"/>
      <w:start w:val="1"/>
    </w:lvl>
  </w:abstractNum>
  <w:abstractNum w:abstractNumId="132">
    <w:nsid w:val="631F1690"/>
    <w:multiLevelType w:val="hybridMultilevel"/>
    <w:lvl w:ilvl="0">
      <w:lvlJc w:val="left"/>
      <w:lvlText w:val="%1)"/>
      <w:numFmt w:val="lowerLetter"/>
      <w:start w:val="6"/>
    </w:lvl>
  </w:abstractNum>
  <w:abstractNum w:abstractNumId="133">
    <w:nsid w:val="25973E32"/>
    <w:multiLevelType w:val="hybridMultilevel"/>
    <w:lvl w:ilvl="0">
      <w:lvlJc w:val="left"/>
      <w:lvlText w:val="%1"/>
      <w:numFmt w:val="decimal"/>
      <w:start w:val="23"/>
    </w:lvl>
  </w:abstractNum>
  <w:abstractNum w:abstractNumId="134">
    <w:nsid w:val="EAD6F57"/>
    <w:multiLevelType w:val="hybridMultilevel"/>
    <w:lvl w:ilvl="0">
      <w:lvlJc w:val="left"/>
      <w:lvlText w:val="%1"/>
      <w:numFmt w:val="decimal"/>
      <w:start w:val="26"/>
    </w:lvl>
  </w:abstractNum>
  <w:abstractNum w:abstractNumId="135">
    <w:nsid w:val="6EC9D844"/>
    <w:multiLevelType w:val="hybridMultilevel"/>
    <w:lvl w:ilvl="0">
      <w:lvlJc w:val="left"/>
      <w:lvlText w:val="%1"/>
      <w:numFmt w:val="decimal"/>
      <w:start w:val="27"/>
    </w:lvl>
    <w:lvl w:ilvl="1">
      <w:lvlJc w:val="left"/>
      <w:lvlText w:val="%2)"/>
      <w:numFmt w:val="lowerLetter"/>
      <w:start w:val="1"/>
    </w:lvl>
  </w:abstractNum>
  <w:abstractNum w:abstractNumId="136">
    <w:nsid w:val="5C49EAEE"/>
    <w:multiLevelType w:val="hybridMultilevel"/>
    <w:lvl w:ilvl="0">
      <w:lvlJc w:val="left"/>
      <w:lvlText w:val="\endash "/>
      <w:numFmt w:val="bullet"/>
      <w:start w:val="1"/>
    </w:lvl>
    <w:lvl w:ilvl="1">
      <w:lvlJc w:val="left"/>
      <w:lvlText w:val="-"/>
      <w:numFmt w:val="bullet"/>
      <w:start w:val="1"/>
    </w:lvl>
  </w:abstractNum>
  <w:abstractNum w:abstractNumId="137">
    <w:nsid w:val="64AF49B"/>
    <w:multiLevelType w:val="hybridMultilevel"/>
    <w:lvl w:ilvl="0">
      <w:lvlJc w:val="left"/>
      <w:lvlText w:val="(%1)"/>
      <w:numFmt w:val="lowerRoman"/>
      <w:start w:val="1"/>
    </w:lvl>
  </w:abstractNum>
  <w:abstractNum w:abstractNumId="138">
    <w:nsid w:val="397C46BC"/>
    <w:multiLevelType w:val="hybridMultilevel"/>
    <w:lvl w:ilvl="0">
      <w:lvlJc w:val="left"/>
      <w:lvlText w:val="(*)"/>
      <w:numFmt w:val="bullet"/>
      <w:start w:val="1"/>
    </w:lvl>
  </w:abstractNum>
  <w:abstractNum w:abstractNumId="139">
    <w:nsid w:val="7E448DE9"/>
    <w:multiLevelType w:val="hybridMultilevel"/>
    <w:lvl w:ilvl="0">
      <w:lvlJc w:val="left"/>
      <w:lvlText w:val="(**)"/>
      <w:numFmt w:val="bullet"/>
      <w:start w:val="1"/>
    </w:lvl>
  </w:abstractNum>
  <w:abstractNum w:abstractNumId="140">
    <w:nsid w:val="5A9CC3E5"/>
    <w:multiLevelType w:val="hybridMultilevel"/>
    <w:lvl w:ilvl="0">
      <w:lvlJc w:val="left"/>
      <w:lvlText w:val="(***)"/>
      <w:numFmt w:val="bullet"/>
      <w:start w:val="1"/>
    </w:lvl>
    <w:lvl w:ilvl="1">
      <w:lvlJc w:val="left"/>
      <w:lvlText w:val="-"/>
      <w:numFmt w:val="bullet"/>
      <w:start w:val="1"/>
    </w:lvl>
  </w:abstractNum>
  <w:abstractNum w:abstractNumId="141">
    <w:nsid w:val="1AFE3625"/>
    <w:multiLevelType w:val="hybridMultilevel"/>
    <w:lvl w:ilvl="0">
      <w:lvlJc w:val="left"/>
      <w:lvlText w:val="(*)"/>
      <w:numFmt w:val="bullet"/>
      <w:start w:val="1"/>
    </w:lvl>
  </w:abstractNum>
  <w:abstractNum w:abstractNumId="142">
    <w:nsid w:val="3CA88ECF"/>
    <w:multiLevelType w:val="hybridMultilevel"/>
    <w:lvl w:ilvl="0">
      <w:lvlJc w:val="left"/>
      <w:lvlText w:val="(**)"/>
      <w:numFmt w:val="bullet"/>
      <w:start w:val="1"/>
    </w:lvl>
  </w:abstractNum>
  <w:abstractNum w:abstractNumId="143">
    <w:nsid w:val="6EBE4208"/>
    <w:multiLevelType w:val="hybridMultilevel"/>
    <w:lvl w:ilvl="0">
      <w:lvlJc w:val="left"/>
      <w:lvlText w:val="(***)"/>
      <w:numFmt w:val="bullet"/>
      <w:start w:val="1"/>
    </w:lvl>
    <w:lvl w:ilvl="1">
      <w:lvlJc w:val="left"/>
      <w:lvlText w:val="-"/>
      <w:numFmt w:val="bullet"/>
      <w:start w:val="1"/>
    </w:lvl>
  </w:abstractNum>
  <w:abstractNum w:abstractNumId="144">
    <w:nsid w:val="C058DF5"/>
    <w:multiLevelType w:val="hybridMultilevel"/>
    <w:lvl w:ilvl="0">
      <w:lvlJc w:val="left"/>
      <w:lvlText w:val="(*)"/>
      <w:numFmt w:val="bullet"/>
      <w:start w:val="1"/>
    </w:lvl>
  </w:abstractNum>
  <w:abstractNum w:abstractNumId="145">
    <w:nsid w:val="CBE5BE9"/>
    <w:multiLevelType w:val="hybridMultilevel"/>
    <w:lvl w:ilvl="0">
      <w:lvlJc w:val="left"/>
      <w:lvlText w:val="(**)"/>
      <w:numFmt w:val="bullet"/>
      <w:start w:val="1"/>
    </w:lvl>
  </w:abstractNum>
  <w:abstractNum w:abstractNumId="146">
    <w:nsid w:val="3102BBE2"/>
    <w:multiLevelType w:val="hybridMultilevel"/>
    <w:lvl w:ilvl="0">
      <w:lvlJc w:val="left"/>
      <w:lvlText w:val="(***)"/>
      <w:numFmt w:val="bullet"/>
      <w:start w:val="1"/>
    </w:lvl>
    <w:lvl w:ilvl="1">
      <w:lvlJc w:val="left"/>
      <w:lvlText w:val="-"/>
      <w:numFmt w:val="bullet"/>
      <w:start w:val="1"/>
    </w:lvl>
  </w:abstractNum>
  <w:abstractNum w:abstractNumId="147">
    <w:nsid w:val="26A02C5E"/>
    <w:multiLevelType w:val="hybridMultilevel"/>
    <w:lvl w:ilvl="0">
      <w:lvlJc w:val="left"/>
      <w:lvlText w:val="(%1)"/>
      <w:numFmt w:val="lowerRoman"/>
      <w:start w:val="2"/>
    </w:lvl>
  </w:abstractNum>
  <w:abstractNum w:abstractNumId="148">
    <w:nsid w:val="541C8153"/>
    <w:multiLevelType w:val="hybridMultilevel"/>
    <w:lvl w:ilvl="0">
      <w:lvlJc w:val="left"/>
      <w:lvlText w:val="(*)"/>
      <w:numFmt w:val="bullet"/>
      <w:start w:val="1"/>
    </w:lvl>
  </w:abstractNum>
  <w:abstractNum w:abstractNumId="149">
    <w:nsid w:val="67906F60"/>
    <w:multiLevelType w:val="hybridMultilevel"/>
    <w:lvl w:ilvl="0">
      <w:lvlJc w:val="left"/>
      <w:lvlText w:val="(**)"/>
      <w:numFmt w:val="bullet"/>
      <w:start w:val="1"/>
    </w:lvl>
  </w:abstractNum>
  <w:abstractNum w:abstractNumId="150">
    <w:nsid w:val="10DB9DAA"/>
    <w:multiLevelType w:val="hybridMultilevel"/>
    <w:lvl w:ilvl="0">
      <w:lvlJc w:val="left"/>
      <w:lvlText w:val="(***)"/>
      <w:numFmt w:val="bullet"/>
      <w:start w:val="1"/>
    </w:lvl>
  </w:abstractNum>
  <w:abstractNum w:abstractNumId="151">
    <w:nsid w:val="697D2D2"/>
    <w:multiLevelType w:val="hybridMultilevel"/>
    <w:lvl w:ilvl="0">
      <w:lvlJc w:val="left"/>
      <w:lvlText w:val="%1"/>
      <w:numFmt w:val="decimal"/>
      <w:start w:val="28"/>
    </w:lvl>
    <w:lvl w:ilvl="1">
      <w:lvlJc w:val="left"/>
      <w:lvlText w:val="%2)"/>
      <w:numFmt w:val="lowerLetter"/>
      <w:start w:val="1"/>
    </w:lvl>
  </w:abstractNum>
  <w:abstractNum w:abstractNumId="152">
    <w:nsid w:val="6D68AB2"/>
    <w:multiLevelType w:val="hybridMultilevel"/>
    <w:lvl w:ilvl="0">
      <w:lvlJc w:val="left"/>
      <w:lvlText w:val="(%1)"/>
      <w:numFmt w:val="lowerRoman"/>
      <w:start w:val="1"/>
    </w:lvl>
  </w:abstractNum>
  <w:abstractNum w:abstractNumId="153">
    <w:nsid w:val="3A966CD0"/>
    <w:multiLevelType w:val="hybridMultilevel"/>
    <w:lvl w:ilvl="0">
      <w:lvlJc w:val="left"/>
      <w:lvlText w:val="%1)"/>
      <w:numFmt w:val="lowerLetter"/>
      <w:start w:val="3"/>
    </w:lvl>
    <w:lvl w:ilvl="1">
      <w:lvlJc w:val="left"/>
      <w:lvlText w:val="-"/>
      <w:numFmt w:val="bullet"/>
      <w:start w:val="1"/>
    </w:lvl>
  </w:abstractNum>
  <w:abstractNum w:abstractNumId="154">
    <w:nsid w:val="63F37E85"/>
    <w:multiLevelType w:val="hybridMultilevel"/>
    <w:lvl w:ilvl="0">
      <w:lvlJc w:val="left"/>
      <w:lvlText w:val="%1)"/>
      <w:numFmt w:val="lowerLetter"/>
      <w:start w:val="4"/>
    </w:lvl>
  </w:abstractNum>
  <w:abstractNum w:abstractNumId="155">
    <w:nsid w:val="5895F5FA"/>
    <w:multiLevelType w:val="hybridMultilevel"/>
    <w:lvl w:ilvl="0">
      <w:lvlJc w:val="left"/>
      <w:lvlText w:val="%1)"/>
      <w:numFmt w:val="lowerLetter"/>
      <w:start w:val="6"/>
    </w:lvl>
  </w:abstractNum>
  <w:abstractNum w:abstractNumId="156">
    <w:nsid w:val="38A5D054"/>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57">
    <w:nsid w:val="F3F09D8"/>
    <w:multiLevelType w:val="hybridMultilevel"/>
    <w:lvl w:ilvl="0">
      <w:lvlJc w:val="left"/>
      <w:lvlText w:val="(%1)"/>
      <w:numFmt w:val="lowerRoman"/>
      <w:start w:val="3"/>
    </w:lvl>
    <w:lvl w:ilvl="1">
      <w:lvlJc w:val="left"/>
      <w:lvlText w:val="-"/>
      <w:numFmt w:val="bullet"/>
      <w:start w:val="1"/>
    </w:lvl>
  </w:abstractNum>
  <w:abstractNum w:abstractNumId="158">
    <w:nsid w:val="4B793735"/>
    <w:multiLevelType w:val="hybridMultilevel"/>
    <w:lvl w:ilvl="0">
      <w:lvlJc w:val="left"/>
      <w:lvlText w:val="(%1)"/>
      <w:numFmt w:val="lowerRoman"/>
      <w:start w:val="4"/>
    </w:lvl>
    <w:lvl w:ilvl="1">
      <w:lvlJc w:val="left"/>
      <w:lvlText w:val="-"/>
      <w:numFmt w:val="bullet"/>
      <w:start w:val="1"/>
    </w:lvl>
  </w:abstractNum>
  <w:abstractNum w:abstractNumId="159">
    <w:nsid w:val="4A10B4E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lvl w:ilvl="3">
      <w:lvlJc w:val="left"/>
      <w:lvlText w:val="-"/>
      <w:numFmt w:val="bullet"/>
      <w:start w:val="1"/>
    </w:lvl>
  </w:abstractNum>
  <w:abstractNum w:abstractNumId="160">
    <w:nsid w:val="43D3BCD4"/>
    <w:multiLevelType w:val="hybridMultilevel"/>
    <w:lvl w:ilvl="0">
      <w:lvlJc w:val="left"/>
      <w:lvlText w:val="%1"/>
      <w:numFmt w:val="lowerLetter"/>
      <w:start w:val="1"/>
    </w:lvl>
    <w:lvl w:ilvl="1">
      <w:lvlJc w:val="left"/>
      <w:lvlText w:val="(%2)"/>
      <w:numFmt w:val="lowerRoman"/>
      <w:start w:val="6"/>
    </w:lvl>
    <w:lvl w:ilvl="2">
      <w:lvlJc w:val="left"/>
      <w:lvlText w:val="%3"/>
      <w:numFmt w:val="lowerLetter"/>
      <w:start w:val="1"/>
    </w:lvl>
    <w:lvl w:ilvl="3">
      <w:lvlJc w:val="left"/>
      <w:lvlText w:val="-"/>
      <w:numFmt w:val="bullet"/>
      <w:start w:val="1"/>
    </w:lvl>
  </w:abstractNum>
  <w:abstractNum w:abstractNumId="161">
    <w:nsid w:val="4C2A7166"/>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162">
    <w:nsid w:val="2E534A82"/>
    <w:multiLevelType w:val="hybridMultilevel"/>
    <w:lvl w:ilvl="0">
      <w:lvlJc w:val="left"/>
      <w:lvlText w:val="%1)"/>
      <w:numFmt w:val="lowerLetter"/>
      <w:start w:val="4"/>
    </w:lvl>
    <w:lvl w:ilvl="1">
      <w:lvlJc w:val="left"/>
      <w:lvlText w:val="-"/>
      <w:numFmt w:val="bullet"/>
      <w:start w:val="1"/>
    </w:lvl>
  </w:abstractNum>
  <w:abstractNum w:abstractNumId="163">
    <w:nsid w:val="26F2D364"/>
    <w:multiLevelType w:val="hybridMultilevel"/>
    <w:lvl w:ilvl="0">
      <w:lvlJc w:val="left"/>
      <w:lvlText w:val="%1)"/>
      <w:numFmt w:val="lowerLetter"/>
      <w:start w:val="5"/>
    </w:lvl>
  </w:abstractNum>
  <w:abstractNum w:abstractNumId="164">
    <w:nsid w:val="71C1AF98"/>
    <w:multiLevelType w:val="hybridMultilevel"/>
    <w:lvl w:ilvl="0">
      <w:lvlJc w:val="left"/>
      <w:lvlText w:val="%1)"/>
      <w:numFmt w:val="lowerLetter"/>
      <w:start w:val="1"/>
    </w:lvl>
    <w:lvl w:ilvl="1">
      <w:lvlJc w:val="left"/>
      <w:lvlText w:val="-"/>
      <w:numFmt w:val="bullet"/>
      <w:start w:val="1"/>
    </w:lvl>
  </w:abstractNum>
  <w:abstractNum w:abstractNumId="165">
    <w:nsid w:val="3D00B9D9"/>
    <w:multiLevelType w:val="hybridMultilevel"/>
    <w:lvl w:ilvl="0">
      <w:lvlJc w:val="left"/>
      <w:lvlText w:val="(%1)"/>
      <w:numFmt w:val="lowerRoman"/>
      <w:start w:val="1"/>
    </w:lvl>
    <w:lvl w:ilvl="1">
      <w:lvlJc w:val="left"/>
      <w:lvlText w:val="-"/>
      <w:numFmt w:val="bullet"/>
      <w:start w:val="1"/>
    </w:lvl>
  </w:abstractNum>
  <w:abstractNum w:abstractNumId="166">
    <w:nsid w:val="15BCABA8"/>
    <w:multiLevelType w:val="hybridMultilevel"/>
    <w:lvl w:ilvl="0">
      <w:lvlJc w:val="left"/>
      <w:lvlText w:val="(%1)"/>
      <w:numFmt w:val="lowerRoman"/>
      <w:start w:val="2"/>
    </w:lvl>
    <w:lvl w:ilvl="1">
      <w:lvlJc w:val="left"/>
      <w:lvlText w:val="-"/>
      <w:numFmt w:val="bullet"/>
      <w:start w:val="1"/>
    </w:lvl>
  </w:abstractNum>
  <w:abstractNum w:abstractNumId="167">
    <w:nsid w:val="4E0B9A87"/>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68">
    <w:nsid w:val="434BAE7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9">
    <w:nsid w:val="4F38F265"/>
    <w:multiLevelType w:val="hybridMultilevel"/>
    <w:lvl w:ilvl="0">
      <w:lvlJc w:val="left"/>
      <w:lvlText w:val="-"/>
      <w:numFmt w:val="bullet"/>
      <w:start w:val="1"/>
    </w:lvl>
    <w:lvl w:ilvl="1">
      <w:lvlJc w:val="left"/>
      <w:lvlText w:val="-"/>
      <w:numFmt w:val="bullet"/>
      <w:start w:val="1"/>
    </w:lvl>
  </w:abstractNum>
  <w:abstractNum w:abstractNumId="170">
    <w:nsid w:val="4C502870"/>
    <w:multiLevelType w:val="hybridMultilevel"/>
    <w:lvl w:ilvl="0">
      <w:lvlJc w:val="left"/>
      <w:lvlText w:val="-"/>
      <w:numFmt w:val="bullet"/>
      <w:start w:val="1"/>
    </w:lvl>
    <w:lvl w:ilvl="1">
      <w:lvlJc w:val="left"/>
      <w:lvlText w:val="-"/>
      <w:numFmt w:val="bullet"/>
      <w:start w:val="1"/>
    </w:lvl>
  </w:abstractNum>
  <w:abstractNum w:abstractNumId="171">
    <w:nsid w:val="1DE8725A"/>
    <w:multiLevelType w:val="hybridMultilevel"/>
    <w:lvl w:ilvl="0">
      <w:lvlJc w:val="left"/>
      <w:lvlText w:val="-"/>
      <w:numFmt w:val="bullet"/>
      <w:start w:val="1"/>
    </w:lvl>
    <w:lvl w:ilvl="1">
      <w:lvlJc w:val="left"/>
      <w:lvlText w:val="-"/>
      <w:numFmt w:val="bullet"/>
      <w:start w:val="1"/>
    </w:lvl>
  </w:abstractNum>
  <w:abstractNum w:abstractNumId="172">
    <w:nsid w:val="6A37288A"/>
    <w:multiLevelType w:val="hybridMultilevel"/>
    <w:lvl w:ilvl="0">
      <w:lvlJc w:val="left"/>
      <w:lvlText w:val="-"/>
      <w:numFmt w:val="bullet"/>
      <w:start w:val="1"/>
    </w:lvl>
  </w:abstractNum>
  <w:abstractNum w:abstractNumId="173">
    <w:nsid w:val="8F8B73F"/>
    <w:multiLevelType w:val="hybridMultilevel"/>
    <w:lvl w:ilvl="0">
      <w:lvlJc w:val="left"/>
      <w:lvlText w:val="(%1)"/>
      <w:numFmt w:val="lowerRoman"/>
      <w:start w:val="1"/>
    </w:lvl>
  </w:abstractNum>
  <w:abstractNum w:abstractNumId="174">
    <w:nsid w:val="CA6B462"/>
    <w:multiLevelType w:val="hybridMultilevel"/>
    <w:lvl w:ilvl="0">
      <w:lvlJc w:val="left"/>
      <w:lvlText w:val="-"/>
      <w:numFmt w:val="bullet"/>
      <w:start w:val="1"/>
    </w:lvl>
  </w:abstractNum>
  <w:abstractNum w:abstractNumId="175">
    <w:nsid w:val="763CB680"/>
    <w:multiLevelType w:val="hybridMultilevel"/>
    <w:lvl w:ilvl="0">
      <w:lvlJc w:val="left"/>
      <w:lvlText w:val="(%1)"/>
      <w:numFmt w:val="lowerRoman"/>
      <w:start w:val="1"/>
    </w:lvl>
    <w:lvl w:ilvl="1">
      <w:lvlJc w:val="left"/>
      <w:lvlText w:val="-"/>
      <w:numFmt w:val="bullet"/>
      <w:start w:val="1"/>
    </w:lvl>
  </w:abstractNum>
  <w:abstractNum w:abstractNumId="176">
    <w:nsid w:val="15B71329"/>
    <w:multiLevelType w:val="hybridMultilevel"/>
    <w:lvl w:ilvl="0">
      <w:lvlJc w:val="left"/>
      <w:lvlText w:val="-"/>
      <w:numFmt w:val="bullet"/>
      <w:start w:val="1"/>
    </w:lvl>
  </w:abstractNum>
  <w:abstractNum w:abstractNumId="177">
    <w:nsid w:val="3DA97044"/>
    <w:multiLevelType w:val="hybridMultilevel"/>
    <w:lvl w:ilvl="0">
      <w:lvlJc w:val="left"/>
      <w:lvlText w:val="-"/>
      <w:numFmt w:val="bullet"/>
      <w:start w:val="1"/>
    </w:lvl>
  </w:abstractNum>
  <w:abstractNum w:abstractNumId="178">
    <w:nsid w:val="1CDCE2DE"/>
    <w:multiLevelType w:val="hybridMultilevel"/>
    <w:lvl w:ilvl="0">
      <w:lvlJc w:val="left"/>
      <w:lvlText w:val="%1)"/>
      <w:numFmt w:val="lowerLetter"/>
      <w:start w:val="4"/>
    </w:lvl>
    <w:lvl w:ilvl="1">
      <w:lvlJc w:val="left"/>
      <w:lvlText w:val="-"/>
      <w:numFmt w:val="bullet"/>
      <w:start w:val="1"/>
    </w:lvl>
  </w:abstractNum>
  <w:abstractNum w:abstractNumId="179">
    <w:nsid w:val="69D3947C"/>
    <w:multiLevelType w:val="hybridMultilevel"/>
    <w:lvl w:ilvl="0">
      <w:lvlJc w:val="left"/>
      <w:lvlText w:val="%1)"/>
      <w:numFmt w:val="lowerLetter"/>
      <w:start w:val="6"/>
    </w:lvl>
  </w:abstractNum>
  <w:abstractNum w:abstractNumId="180">
    <w:nsid w:val="2539DFA5"/>
    <w:multiLevelType w:val="hybridMultilevel"/>
    <w:lvl w:ilvl="0">
      <w:lvlJc w:val="left"/>
      <w:lvlText w:val="(*)"/>
      <w:numFmt w:val="bullet"/>
      <w:start w:val="1"/>
    </w:lvl>
    <w:lvl w:ilvl="1">
      <w:lvlJc w:val="left"/>
      <w:lvlText w:val="-"/>
      <w:numFmt w:val="bullet"/>
      <w:start w:val="1"/>
    </w:lvl>
  </w:abstractNum>
  <w:abstractNum w:abstractNumId="181">
    <w:nsid w:val="2DB88089"/>
    <w:multiLevelType w:val="hybridMultilevel"/>
    <w:lvl w:ilvl="0">
      <w:lvlJc w:val="left"/>
      <w:lvlText w:val="(*)"/>
      <w:numFmt w:val="bullet"/>
      <w:start w:val="1"/>
    </w:lvl>
    <w:lvl w:ilvl="1">
      <w:lvlJc w:val="left"/>
      <w:lvlText w:val="-"/>
      <w:numFmt w:val="bullet"/>
      <w:start w:val="1"/>
    </w:lvl>
  </w:abstractNum>
  <w:abstractNum w:abstractNumId="182">
    <w:nsid w:val="706B674E"/>
    <w:multiLevelType w:val="hybridMultilevel"/>
    <w:lvl w:ilvl="0">
      <w:lvlJc w:val="left"/>
      <w:lvlText w:val="%1)"/>
      <w:numFmt w:val="lowerLetter"/>
      <w:start w:val="7"/>
    </w:lvl>
    <w:lvl w:ilvl="1">
      <w:lvlJc w:val="left"/>
      <w:lvlText w:val="-"/>
      <w:numFmt w:val="bullet"/>
      <w:start w:val="1"/>
    </w:lvl>
  </w:abstractNum>
  <w:abstractNum w:abstractNumId="183">
    <w:nsid w:val="2C106A57"/>
    <w:multiLevelType w:val="hybridMultilevel"/>
    <w:lvl w:ilvl="0">
      <w:lvlJc w:val="left"/>
      <w:lvlText w:val="-"/>
      <w:numFmt w:val="bullet"/>
      <w:start w:val="1"/>
    </w:lvl>
  </w:abstractNum>
  <w:abstractNum w:abstractNumId="184">
    <w:nsid w:val="684EED59"/>
    <w:multiLevelType w:val="hybridMultilevel"/>
    <w:lvl w:ilvl="0">
      <w:lvlJc w:val="left"/>
      <w:lvlText w:val="-"/>
      <w:numFmt w:val="bullet"/>
      <w:start w:val="1"/>
    </w:lvl>
  </w:abstractNum>
  <w:abstractNum w:abstractNumId="185">
    <w:nsid w:val="545EE5D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6">
    <w:nsid w:val="4A66051"/>
    <w:multiLevelType w:val="hybridMultilevel"/>
    <w:lvl w:ilvl="0">
      <w:lvlJc w:val="left"/>
      <w:lvlText w:val="(*)"/>
      <w:numFmt w:val="bullet"/>
      <w:start w:val="1"/>
    </w:lvl>
  </w:abstractNum>
  <w:abstractNum w:abstractNumId="187">
    <w:nsid w:val="20F4BDAD"/>
    <w:multiLevelType w:val="hybridMultilevel"/>
    <w:lvl w:ilvl="0">
      <w:lvlJc w:val="left"/>
      <w:lvlText w:val="(**)"/>
      <w:numFmt w:val="bullet"/>
      <w:start w:val="1"/>
    </w:lvl>
    <w:lvl w:ilvl="1">
      <w:lvlJc w:val="left"/>
      <w:lvlText w:val="-"/>
      <w:numFmt w:val="bullet"/>
      <w:start w:val="1"/>
    </w:lvl>
  </w:abstractNum>
  <w:abstractNum w:abstractNumId="188">
    <w:nsid w:val="639DEFAC"/>
    <w:multiLevelType w:val="hybridMultilevel"/>
    <w:lvl w:ilvl="0">
      <w:lvlJc w:val="left"/>
      <w:lvlText w:val="(*)"/>
      <w:numFmt w:val="bullet"/>
      <w:start w:val="1"/>
    </w:lvl>
  </w:abstractNum>
  <w:abstractNum w:abstractNumId="189">
    <w:nsid w:val="501F9786"/>
    <w:multiLevelType w:val="hybridMultilevel"/>
    <w:lvl w:ilvl="0">
      <w:lvlJc w:val="left"/>
      <w:lvlText w:val="(**)"/>
      <w:numFmt w:val="bullet"/>
      <w:start w:val="1"/>
    </w:lvl>
    <w:lvl w:ilvl="1">
      <w:lvlJc w:val="left"/>
      <w:lvlText w:val="-"/>
      <w:numFmt w:val="bullet"/>
      <w:start w:val="1"/>
    </w:lvl>
  </w:abstractNum>
  <w:abstractNum w:abstractNumId="190">
    <w:nsid w:val="6B057295"/>
    <w:multiLevelType w:val="hybridMultilevel"/>
    <w:lvl w:ilvl="0">
      <w:lvlJc w:val="left"/>
      <w:lvlText w:val="(%1)"/>
      <w:numFmt w:val="lowerRoman"/>
      <w:start w:val="2"/>
    </w:lvl>
    <w:lvl w:ilvl="1">
      <w:lvlJc w:val="left"/>
      <w:lvlText w:val="-"/>
      <w:numFmt w:val="bullet"/>
      <w:start w:val="1"/>
    </w:lvl>
  </w:abstractNum>
  <w:abstractNum w:abstractNumId="191">
    <w:nsid w:val="2771AC80"/>
    <w:multiLevelType w:val="hybridMultilevel"/>
    <w:lvl w:ilvl="0">
      <w:lvlJc w:val="left"/>
      <w:lvlText w:val="%1)"/>
      <w:numFmt w:val="lowerLetter"/>
      <w:start w:val="1"/>
    </w:lvl>
  </w:abstractNum>
  <w:abstractNum w:abstractNumId="192">
    <w:nsid w:val="1C4A08EC"/>
    <w:multiLevelType w:val="hybridMultilevel"/>
    <w:lvl w:ilvl="0">
      <w:lvlJc w:val="left"/>
      <w:lvlText w:val="\endash "/>
      <w:numFmt w:val="bullet"/>
      <w:start w:val="1"/>
    </w:lvl>
    <w:lvl w:ilvl="1">
      <w:lvlJc w:val="left"/>
      <w:lvlText w:val="-"/>
      <w:numFmt w:val="bullet"/>
      <w:start w:val="1"/>
    </w:lvl>
  </w:abstractNum>
  <w:abstractNum w:abstractNumId="193">
    <w:nsid w:val="1958BD17"/>
    <w:multiLevelType w:val="hybridMultilevel"/>
    <w:lvl w:ilvl="0">
      <w:lvlJc w:val="left"/>
      <w:lvlText w:val="\endash "/>
      <w:numFmt w:val="bullet"/>
      <w:start w:val="1"/>
    </w:lvl>
    <w:lvl w:ilvl="1">
      <w:lvlJc w:val="left"/>
      <w:lvlText w:val="-"/>
      <w:numFmt w:val="bullet"/>
      <w:start w:val="1"/>
    </w:lvl>
  </w:abstractNum>
  <w:abstractNum w:abstractNumId="194">
    <w:nsid w:val="4E647FE4"/>
    <w:multiLevelType w:val="hybridMultilevel"/>
    <w:lvl w:ilvl="0">
      <w:lvlJc w:val="left"/>
      <w:lvlText w:val="(**)"/>
      <w:numFmt w:val="bullet"/>
      <w:start w:val="1"/>
    </w:lvl>
    <w:lvl w:ilvl="1">
      <w:lvlJc w:val="left"/>
      <w:lvlText w:val="-"/>
      <w:numFmt w:val="bullet"/>
      <w:start w:val="1"/>
    </w:lvl>
  </w:abstractNum>
  <w:abstractNum w:abstractNumId="195">
    <w:nsid w:val="E0BB885"/>
    <w:multiLevelType w:val="hybridMultilevel"/>
    <w:lvl w:ilvl="0">
      <w:lvlJc w:val="left"/>
      <w:lvlText w:val="(%1)"/>
      <w:numFmt w:val="lowerRoman"/>
      <w:start w:val="1"/>
    </w:lvl>
  </w:abstractNum>
  <w:abstractNum w:abstractNumId="196">
    <w:nsid w:val="565976F1"/>
    <w:multiLevelType w:val="hybridMultilevel"/>
    <w:lvl w:ilvl="0">
      <w:lvlJc w:val="left"/>
      <w:lvlText w:val="%1"/>
      <w:numFmt w:val="decimal"/>
      <w:start w:val="31"/>
    </w:lvl>
    <w:lvl w:ilvl="1">
      <w:lvlJc w:val="left"/>
      <w:lvlText w:val="%2)"/>
      <w:numFmt w:val="lowerRoman"/>
      <w:start w:val="1"/>
    </w:lvl>
    <w:lvl w:ilvl="2">
      <w:lvlJc w:val="left"/>
      <w:lvlText w:val="-"/>
      <w:numFmt w:val="bullet"/>
      <w:start w:val="1"/>
    </w:lvl>
  </w:abstractNum>
  <w:abstractNum w:abstractNumId="197">
    <w:nsid w:val="64212B8C"/>
    <w:multiLevelType w:val="hybridMultilevel"/>
    <w:lvl w:ilvl="0">
      <w:lvlJc w:val="left"/>
      <w:lvlText w:val="%1"/>
      <w:numFmt w:val="decimal"/>
      <w:start w:val="32"/>
    </w:lvl>
    <w:lvl w:ilvl="1">
      <w:lvlJc w:val="left"/>
      <w:lvlText w:val="-"/>
      <w:numFmt w:val="bullet"/>
      <w:start w:val="1"/>
    </w:lvl>
  </w:abstractNum>
  <w:abstractNum w:abstractNumId="198">
    <w:nsid w:val="5C17530C"/>
    <w:multiLevelType w:val="hybridMultilevel"/>
    <w:lvl w:ilvl="0">
      <w:lvlJc w:val="left"/>
      <w:lvlText w:val="1"/>
      <w:numFmt w:val="bullet"/>
      <w:start w:val="1"/>
    </w:lvl>
    <w:lvl w:ilvl="1">
      <w:lvlJc w:val="left"/>
      <w:lvlText w:val="-"/>
      <w:numFmt w:val="bullet"/>
      <w:start w:val="1"/>
    </w:lvl>
  </w:abstractNum>
  <w:abstractNum w:abstractNumId="199">
    <w:nsid w:val="19A52566"/>
    <w:multiLevelType w:val="hybridMultilevel"/>
    <w:lvl w:ilvl="0">
      <w:lvlJc w:val="left"/>
      <w:lvlText w:val="2"/>
      <w:numFmt w:val="bullet"/>
      <w:start w:val="1"/>
    </w:lvl>
    <w:lvl w:ilvl="1">
      <w:lvlJc w:val="left"/>
      <w:lvlText w:val="%2)"/>
      <w:numFmt w:val="lowerLetter"/>
      <w:start w:val="1"/>
    </w:lvl>
  </w:abstractNum>
  <w:abstractNum w:abstractNumId="200">
    <w:nsid w:val="335A1DF1"/>
    <w:multiLevelType w:val="hybridMultilevel"/>
    <w:lvl w:ilvl="0">
      <w:lvlJc w:val="left"/>
      <w:lvlText w:val="3"/>
      <w:numFmt w:val="bullet"/>
      <w:start w:val="1"/>
    </w:lvl>
    <w:lvl w:ilvl="1">
      <w:lvlJc w:val="left"/>
      <w:lvlText w:val="%2)"/>
      <w:numFmt w:val="lowerLetter"/>
      <w:start w:val="1"/>
    </w:lvl>
    <w:lvl w:ilvl="2">
      <w:lvlJc w:val="left"/>
      <w:lvlText w:val="-"/>
      <w:numFmt w:val="bullet"/>
      <w:start w:val="1"/>
    </w:lvl>
  </w:abstractNum>
  <w:abstractNum w:abstractNumId="201">
    <w:nsid w:val="28677B7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2">
    <w:nsid w:val="378D97C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03">
    <w:nsid w:val="1D91467C"/>
    <w:multiLevelType w:val="hybridMultilevel"/>
    <w:lvl w:ilvl="0">
      <w:lvlJc w:val="left"/>
      <w:lvlText w:val="%1)"/>
      <w:numFmt w:val="lowerLetter"/>
      <w:start w:val="3"/>
    </w:lvl>
    <w:lvl w:ilvl="1">
      <w:lvlJc w:val="left"/>
      <w:lvlText w:val="-"/>
      <w:numFmt w:val="bullet"/>
      <w:start w:val="1"/>
    </w:lvl>
  </w:abstractNum>
  <w:abstractNum w:abstractNumId="204">
    <w:nsid w:val="316032BB"/>
    <w:multiLevelType w:val="hybridMultilevel"/>
    <w:lvl w:ilvl="0">
      <w:lvlJc w:val="left"/>
      <w:lvlText w:val="%1)"/>
      <w:numFmt w:val="lowerLetter"/>
      <w:start w:val="4"/>
    </w:lvl>
    <w:lvl w:ilvl="1">
      <w:lvlJc w:val="left"/>
      <w:lvlText w:val="-"/>
      <w:numFmt w:val="bullet"/>
      <w:start w:val="1"/>
    </w:lvl>
  </w:abstractNum>
  <w:abstractNum w:abstractNumId="205">
    <w:nsid w:val="44344C22"/>
    <w:multiLevelType w:val="hybridMultilevel"/>
    <w:lvl w:ilvl="0">
      <w:lvlJc w:val="left"/>
      <w:lvlText w:val="-"/>
      <w:numFmt w:val="bullet"/>
      <w:start w:val="1"/>
    </w:lvl>
  </w:abstractNum>
  <w:abstractNum w:abstractNumId="206">
    <w:nsid w:val="13CDFCFC"/>
    <w:multiLevelType w:val="hybridMultilevel"/>
    <w:lvl w:ilvl="0">
      <w:lvlJc w:val="left"/>
      <w:lvlText w:val="(%1)"/>
      <w:numFmt w:val="lowerRoman"/>
      <w:start w:val="1"/>
    </w:lvl>
    <w:lvl w:ilvl="1">
      <w:lvlJc w:val="left"/>
      <w:lvlText w:val="-"/>
      <w:numFmt w:val="bullet"/>
      <w:start w:val="1"/>
    </w:lvl>
  </w:abstractNum>
  <w:abstractNum w:abstractNumId="207">
    <w:nsid w:val="471745E4"/>
    <w:multiLevelType w:val="hybridMultilevel"/>
    <w:lvl w:ilvl="0">
      <w:lvlJc w:val="left"/>
      <w:lvlText w:val="(%1)"/>
      <w:numFmt w:val="lowerRoman"/>
      <w:start w:val="2"/>
    </w:lvl>
    <w:lvl w:ilvl="1">
      <w:lvlJc w:val="left"/>
      <w:lvlText w:val="-"/>
      <w:numFmt w:val="bullet"/>
      <w:start w:val="1"/>
    </w:lvl>
  </w:abstractNum>
  <w:abstractNum w:abstractNumId="208">
    <w:nsid w:val="1DDBC66"/>
    <w:multiLevelType w:val="hybridMultilevel"/>
    <w:lvl w:ilvl="0">
      <w:lvlJc w:val="left"/>
      <w:lvlText w:val="-"/>
      <w:numFmt w:val="bullet"/>
      <w:start w:val="1"/>
    </w:lvl>
  </w:abstractNum>
  <w:abstractNum w:abstractNumId="209">
    <w:nsid w:val="30AADFDA"/>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210">
    <w:nsid w:val="30EADA61"/>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11">
    <w:nsid w:val="27179C0B"/>
    <w:multiLevelType w:val="hybridMultilevel"/>
    <w:lvl w:ilvl="0">
      <w:lvlJc w:val="left"/>
      <w:lvlText w:val="%1)"/>
      <w:numFmt w:val="lowerLetter"/>
      <w:start w:val="6"/>
    </w:lvl>
    <w:lvl w:ilvl="1">
      <w:lvlJc w:val="left"/>
      <w:lvlText w:val="-"/>
      <w:numFmt w:val="bullet"/>
      <w:start w:val="1"/>
    </w:lvl>
  </w:abstractNum>
  <w:abstractNum w:abstractNumId="212">
    <w:nsid w:val="5E636063"/>
    <w:multiLevelType w:val="hybridMultilevel"/>
    <w:lvl w:ilvl="0">
      <w:lvlJc w:val="left"/>
      <w:lvlText w:val="%1)"/>
      <w:numFmt w:val="lowerLetter"/>
      <w:start w:val="8"/>
    </w:lvl>
    <w:lvl w:ilvl="1">
      <w:lvlJc w:val="left"/>
      <w:lvlText w:val="-"/>
      <w:numFmt w:val="bullet"/>
      <w:start w:val="1"/>
    </w:lvl>
  </w:abstractNum>
  <w:abstractNum w:abstractNumId="213">
    <w:nsid w:val="215641AF"/>
    <w:multiLevelType w:val="hybridMultilevel"/>
    <w:lvl w:ilvl="0">
      <w:lvlJc w:val="left"/>
      <w:lvlText w:val="-"/>
      <w:numFmt w:val="bullet"/>
      <w:start w:val="1"/>
    </w:lvl>
  </w:abstractNum>
  <w:abstractNum w:abstractNumId="214">
    <w:nsid w:val="53280662"/>
    <w:multiLevelType w:val="hybridMultilevel"/>
    <w:lvl w:ilvl="0">
      <w:lvlJc w:val="left"/>
      <w:lvlText w:val="(%1)"/>
      <w:numFmt w:val="lowerRoman"/>
      <w:start w:val="1"/>
    </w:lvl>
  </w:abstractNum>
  <w:abstractNum w:abstractNumId="215">
    <w:nsid w:val="46B24DBC"/>
    <w:multiLevelType w:val="hybridMultilevel"/>
    <w:lvl w:ilvl="0">
      <w:lvlJc w:val="left"/>
      <w:lvlText w:val="%1)"/>
      <w:numFmt w:val="lowerLetter"/>
      <w:start w:val="1"/>
    </w:lvl>
    <w:lvl w:ilvl="1">
      <w:lvlJc w:val="left"/>
      <w:lvlText w:val="-"/>
      <w:numFmt w:val="bullet"/>
      <w:start w:val="1"/>
    </w:lvl>
  </w:abstractNum>
  <w:abstractNum w:abstractNumId="216">
    <w:nsid w:val="75B52783"/>
    <w:multiLevelType w:val="hybridMultilevel"/>
    <w:lvl w:ilvl="0">
      <w:lvlJc w:val="left"/>
      <w:lvlText w:val="(%1)"/>
      <w:numFmt w:val="lowerRoman"/>
      <w:start w:val="2"/>
    </w:lvl>
    <w:lvl w:ilvl="1">
      <w:lvlJc w:val="left"/>
      <w:lvlText w:val="-"/>
      <w:numFmt w:val="bullet"/>
      <w:start w:val="1"/>
    </w:lvl>
  </w:abstractNum>
  <w:abstractNum w:abstractNumId="217">
    <w:nsid w:val="57CE66B4"/>
    <w:multiLevelType w:val="hybridMultilevel"/>
    <w:lvl w:ilvl="0">
      <w:lvlJc w:val="left"/>
      <w:lvlText w:val="%1)"/>
      <w:numFmt w:val="lowerLetter"/>
      <w:start w:val="9"/>
    </w:lvl>
    <w:lvl w:ilvl="1">
      <w:lvlJc w:val="left"/>
      <w:lvlText w:val="-"/>
      <w:numFmt w:val="bullet"/>
      <w:start w:val="1"/>
    </w:lvl>
  </w:abstractNum>
  <w:abstractNum w:abstractNumId="218">
    <w:nsid w:val="67A70B69"/>
    <w:multiLevelType w:val="hybridMultilevel"/>
    <w:lvl w:ilvl="0">
      <w:lvlJc w:val="left"/>
      <w:lvlText w:val="%1)"/>
      <w:numFmt w:val="lowerLetter"/>
      <w:start w:val="11"/>
    </w:lvl>
    <w:lvl w:ilvl="1">
      <w:lvlJc w:val="left"/>
      <w:lvlText w:val="-"/>
      <w:numFmt w:val="bullet"/>
      <w:start w:val="1"/>
    </w:lvl>
  </w:abstractNum>
  <w:abstractNum w:abstractNumId="219">
    <w:nsid w:val="5953172F"/>
    <w:multiLevelType w:val="hybridMultilevel"/>
    <w:lvl w:ilvl="0">
      <w:lvlJc w:val="left"/>
      <w:lvlText w:val="-"/>
      <w:numFmt w:val="bullet"/>
      <w:start w:val="1"/>
    </w:lvl>
  </w:abstractNum>
  <w:abstractNum w:abstractNumId="220">
    <w:nsid w:val="27EDFE3A"/>
    <w:multiLevelType w:val="hybridMultilevel"/>
    <w:lvl w:ilvl="0">
      <w:lvlJc w:val="left"/>
      <w:lvlText w:val="%1)"/>
      <w:numFmt w:val="lowerLetter"/>
      <w:start w:val="12"/>
    </w:lvl>
  </w:abstractNum>
  <w:abstractNum w:abstractNumId="221">
    <w:nsid w:val="52AC7DFF"/>
    <w:multiLevelType w:val="hybridMultilevel"/>
    <w:lvl w:ilvl="0">
      <w:lvlJc w:val="left"/>
      <w:lvlText w:val="4"/>
      <w:numFmt w:val="bullet"/>
      <w:start w:val="1"/>
    </w:lvl>
  </w:abstractNum>
  <w:abstractNum w:abstractNumId="222">
    <w:nsid w:val="C4C3AF"/>
    <w:multiLevelType w:val="hybridMultilevel"/>
    <w:lvl w:ilvl="0">
      <w:lvlJc w:val="left"/>
      <w:lvlText w:val="5"/>
      <w:numFmt w:val="bullet"/>
      <w:start w:val="1"/>
    </w:lvl>
    <w:lvl w:ilvl="1">
      <w:lvlJc w:val="left"/>
      <w:lvlText w:val="%2)"/>
      <w:numFmt w:val="lowerLetter"/>
      <w:start w:val="1"/>
    </w:lvl>
  </w:abstractNum>
  <w:abstractNum w:abstractNumId="223">
    <w:nsid w:val="44380727"/>
    <w:multiLevelType w:val="hybridMultilevel"/>
    <w:lvl w:ilvl="0">
      <w:lvlJc w:val="left"/>
      <w:lvlText w:val="(%1)"/>
      <w:numFmt w:val="lowerRoman"/>
      <w:start w:val="1"/>
    </w:lvl>
    <w:lvl w:ilvl="1">
      <w:lvlJc w:val="left"/>
      <w:lvlText w:val="-"/>
      <w:numFmt w:val="bullet"/>
      <w:start w:val="1"/>
    </w:lvl>
  </w:abstractNum>
  <w:abstractNum w:abstractNumId="224">
    <w:nsid w:val="6C053B16"/>
    <w:multiLevelType w:val="hybridMultilevel"/>
    <w:lvl w:ilvl="0">
      <w:lvlJc w:val="left"/>
      <w:lvlText w:val="(*)"/>
      <w:numFmt w:val="bullet"/>
      <w:start w:val="1"/>
    </w:lvl>
  </w:abstractNum>
  <w:abstractNum w:abstractNumId="225">
    <w:nsid w:val="4F29439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6">
    <w:nsid w:val="5243BFA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27">
    <w:nsid w:val="425EB207"/>
    <w:multiLevelType w:val="hybridMultilevel"/>
    <w:lvl w:ilvl="0">
      <w:lvlJc w:val="left"/>
      <w:lvlText w:val="6"/>
      <w:numFmt w:val="bullet"/>
      <w:start w:val="1"/>
    </w:lvl>
  </w:abstractNum>
  <w:abstractNum w:abstractNumId="228">
    <w:nsid w:val="334A6F1F"/>
    <w:multiLevelType w:val="hybridMultilevel"/>
    <w:lvl w:ilvl="0">
      <w:lvlJc w:val="left"/>
      <w:lvlText w:val="(%1)"/>
      <w:numFmt w:val="lowerRoman"/>
      <w:start w:val="1"/>
    </w:lvl>
    <w:lvl w:ilvl="1">
      <w:lvlJc w:val="left"/>
      <w:lvlText w:val="-"/>
      <w:numFmt w:val="bullet"/>
      <w:start w:val="1"/>
    </w:lvl>
  </w:abstractNum>
  <w:abstractNum w:abstractNumId="229">
    <w:nsid w:val="2E5B12B8"/>
    <w:multiLevelType w:val="hybridMultilevel"/>
    <w:lvl w:ilvl="0">
      <w:lvlJc w:val="left"/>
      <w:lvlText w:val="8"/>
      <w:numFmt w:val="bullet"/>
      <w:start w:val="1"/>
    </w:lvl>
    <w:lvl w:ilvl="1">
      <w:lvlJc w:val="left"/>
      <w:lvlText w:val="%2)"/>
      <w:numFmt w:val="lowerLetter"/>
      <w:start w:val="1"/>
    </w:lvl>
  </w:abstractNum>
  <w:abstractNum w:abstractNumId="230">
    <w:nsid w:val="5C03D76D"/>
    <w:multiLevelType w:val="hybridMultilevel"/>
    <w:lvl w:ilvl="0">
      <w:lvlJc w:val="left"/>
      <w:lvlText w:val="9"/>
      <w:numFmt w:val="bullet"/>
      <w:start w:val="1"/>
    </w:lvl>
    <w:lvl w:ilvl="1">
      <w:lvlJc w:val="left"/>
      <w:lvlText w:val="-"/>
      <w:numFmt w:val="bullet"/>
      <w:start w:val="1"/>
    </w:lvl>
  </w:abstractNum>
  <w:abstractNum w:abstractNumId="231">
    <w:nsid w:val="66A48D11"/>
    <w:multiLevelType w:val="hybridMultilevel"/>
    <w:lvl w:ilvl="0">
      <w:lvlJc w:val="left"/>
      <w:lvlText w:val="%1"/>
      <w:numFmt w:val="decimal"/>
      <w:start w:val="10"/>
    </w:lvl>
    <w:lvl w:ilvl="1">
      <w:lvlJc w:val="left"/>
      <w:lvlText w:val="%2)"/>
      <w:numFmt w:val="lowerLetter"/>
      <w:start w:val="1"/>
    </w:lvl>
  </w:abstractNum>
  <w:abstractNum w:abstractNumId="232">
    <w:nsid w:val="56C28E34"/>
    <w:multiLevelType w:val="hybridMultilevel"/>
    <w:lvl w:ilvl="0">
      <w:lvlJc w:val="left"/>
      <w:lvlText w:val="(%1)"/>
      <w:numFmt w:val="lowerRoman"/>
      <w:start w:val="1"/>
    </w:lvl>
  </w:abstractNum>
  <w:abstractNum w:abstractNumId="233">
    <w:nsid w:val="13916F2D"/>
    <w:multiLevelType w:val="hybridMultilevel"/>
    <w:lvl w:ilvl="0">
      <w:lvlJc w:val="left"/>
      <w:lvlText w:val="%1)"/>
      <w:numFmt w:val="lowerLetter"/>
      <w:start w:val="2"/>
    </w:lvl>
  </w:abstractNum>
  <w:abstractNum w:abstractNumId="234">
    <w:nsid w:val="435D38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35">
    <w:nsid w:val="822C0EF"/>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36">
    <w:nsid w:val="57C5BB4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37">
    <w:nsid w:val="1803D089"/>
    <w:multiLevelType w:val="hybridMultilevel"/>
    <w:lvl w:ilvl="0">
      <w:lvlJc w:val="left"/>
      <w:lvlText w:val="\endash "/>
      <w:numFmt w:val="bullet"/>
      <w:start w:val="1"/>
    </w:lvl>
  </w:abstractNum>
  <w:abstractNum w:abstractNumId="238">
    <w:nsid w:val="4F3A06D4"/>
    <w:multiLevelType w:val="hybridMultilevel"/>
    <w:lvl w:ilvl="0">
      <w:lvlJc w:val="left"/>
      <w:lvlText w:val="%1)"/>
      <w:numFmt w:val="lowerLetter"/>
      <w:start w:val="5"/>
    </w:lvl>
  </w:abstractNum>
  <w:abstractNum w:abstractNumId="239">
    <w:nsid w:val="59A377B6"/>
    <w:multiLevelType w:val="hybridMultilevel"/>
    <w:lvl w:ilvl="0">
      <w:lvlJc w:val="left"/>
      <w:lvlText w:val="%1)"/>
      <w:numFmt w:val="lowerRoman"/>
      <w:start w:val="1"/>
    </w:lvl>
  </w:abstractNum>
  <w:abstractNum w:abstractNumId="240">
    <w:nsid w:val="48AEB063"/>
    <w:multiLevelType w:val="hybridMultilevel"/>
    <w:lvl w:ilvl="0">
      <w:lvlJc w:val="left"/>
      <w:lvlText w:val="%1"/>
      <w:numFmt w:val="decimal"/>
      <w:start w:val="12"/>
    </w:lvl>
    <w:lvl w:ilvl="1">
      <w:lvlJc w:val="left"/>
      <w:lvlText w:val="%2)"/>
      <w:numFmt w:val="lowerRoman"/>
      <w:start w:val="1"/>
    </w:lvl>
    <w:lvl w:ilvl="2">
      <w:lvlJc w:val="left"/>
      <w:lvlText w:val="-"/>
      <w:numFmt w:val="bullet"/>
      <w:start w:val="1"/>
    </w:lvl>
  </w:abstractNum>
  <w:abstractNum w:abstractNumId="241">
    <w:nsid w:val="24E135"/>
    <w:multiLevelType w:val="hybridMultilevel"/>
    <w:lvl w:ilvl="0">
      <w:lvlJc w:val="left"/>
      <w:lvlText w:val="%1)"/>
      <w:numFmt w:val="lowerRoman"/>
      <w:start w:val="2"/>
    </w:lvl>
    <w:lvl w:ilvl="1">
      <w:lvlJc w:val="left"/>
      <w:lvlText w:val="-"/>
      <w:numFmt w:val="bullet"/>
      <w:start w:val="1"/>
    </w:lvl>
  </w:abstractNum>
  <w:abstractNum w:abstractNumId="242">
    <w:nsid w:val="BB13C1"/>
    <w:multiLevelType w:val="hybridMultilevel"/>
    <w:lvl w:ilvl="0">
      <w:lvlJc w:val="left"/>
      <w:lvlText w:val="%1"/>
      <w:numFmt w:val="decimal"/>
      <w:start w:val="1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2026-03-02T16:42:42Z</dcterms:created>
  <dcterms:modified xsi:type="dcterms:W3CDTF">2026-03-02T16:42:42Z</dcterms:modified>
</cp:coreProperties>
</file>