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March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377825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63" w:right="6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5852160</wp:posOffset>
            </wp:positionH>
            <wp:positionV relativeFrom="page">
              <wp:posOffset>337820</wp:posOffset>
            </wp:positionV>
            <wp:extent cx="1551940"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51940" cy="5060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March 04,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and CONASEV Resolution for Material Events and Reserved Information and Other Communications number 107-2002-EF/94.10, as modified by CONASEV Resolution number 009-2003-EF/94.10, Credicorp Ltd. complies with notifying you of the following Material Event: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 session held on February 05, 2009, Credicorp’s Board of Directors agreed to reschedule the date for the Annual General Shareholder’s meeting from March 26, 2009 to March 31, 2009, at 12:00 noon (Peruvian time), at the main offices of Banco de Credito del Peru, located at 156 Calle Centenario, Laderas de Melgarejo in La Molina, Lima.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agenda for the Annual General Shareholder Meeting would include the following matters:</w:t>
      </w:r>
    </w:p>
    <w:p>
      <w:pPr>
        <w:spacing w:after="0" w:line="252" w:lineRule="exact"/>
        <w:rPr>
          <w:sz w:val="20"/>
          <w:szCs w:val="20"/>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and approve the Annual Report of the Company for the financial year ended December 31, 2008</w:t>
      </w:r>
    </w:p>
    <w:p>
      <w:pPr>
        <w:spacing w:after="0" w:line="252" w:lineRule="exact"/>
        <w:rPr>
          <w:rFonts w:ascii="Arial" w:cs="Arial" w:eastAsia="Arial" w:hAnsi="Arial"/>
          <w:sz w:val="18"/>
          <w:szCs w:val="18"/>
          <w:color w:val="auto"/>
        </w:rPr>
      </w:pPr>
    </w:p>
    <w:p>
      <w:pPr>
        <w:ind w:left="500" w:right="180" w:hanging="492"/>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and approve the audited consolidated financial statements of the Company and its subsidiaries for the financial year ended December 31, 2008 including the report of the independent auditors of the Company thereon.</w:t>
      </w:r>
    </w:p>
    <w:p>
      <w:pPr>
        <w:spacing w:after="0" w:line="197" w:lineRule="exact"/>
        <w:rPr>
          <w:rFonts w:ascii="Arial" w:cs="Arial" w:eastAsia="Arial" w:hAnsi="Arial"/>
          <w:sz w:val="18"/>
          <w:szCs w:val="18"/>
          <w:color w:val="auto"/>
        </w:rPr>
      </w:pPr>
    </w:p>
    <w:p>
      <w:pPr>
        <w:ind w:left="500" w:right="460" w:hanging="492"/>
        <w:spacing w:after="0" w:line="264"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the external auditors of the Company to hold office until the conclusion of the next Annual General Meeting, in accordance with the proposal and recommendation of the Audit Committee and authorization by the Board of Directors to approve the auditor’s fees who in turn have delegated such function to the Audit Committee.</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has established that those shareholders who are officially registered as shareholders of the company on February 13, 2009 (“Record Date”) will be entitled to attend and vote in the above mentioned shareholder’s meeting.</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company’s Bye-laws, if a quorum is not met in the first instance, the meeting will be postponed until April 07, 2009 at the same place and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/s/</w:t>
            </w:r>
          </w:p>
        </w:tc>
        <w:tc>
          <w:tcPr>
            <w:tcW w:w="11000" w:type="dxa"/>
            <w:vAlign w:val="bottom"/>
          </w:tcPr>
          <w:p>
            <w:pPr>
              <w:ind w:left="220"/>
              <w:spacing w:after="0"/>
              <w:rPr>
                <w:sz w:val="20"/>
                <w:szCs w:val="20"/>
                <w:color w:val="auto"/>
              </w:rPr>
            </w:pPr>
            <w:r>
              <w:rPr>
                <w:rFonts w:ascii="Arial" w:cs="Arial" w:eastAsia="Arial" w:hAnsi="Arial"/>
                <w:sz w:val="18"/>
                <w:szCs w:val="18"/>
                <w:color w:val="auto"/>
              </w:rPr>
              <w:t>Fernando Palao</w:t>
            </w:r>
          </w:p>
        </w:tc>
      </w:tr>
      <w:tr>
        <w:trPr>
          <w:trHeight w:val="216"/>
        </w:trPr>
        <w:tc>
          <w:tcPr>
            <w:tcW w:w="420" w:type="dxa"/>
            <w:vAlign w:val="bottom"/>
          </w:tcPr>
          <w:p>
            <w:pPr>
              <w:spacing w:after="0"/>
              <w:rPr>
                <w:sz w:val="18"/>
                <w:szCs w:val="18"/>
                <w:color w:val="auto"/>
              </w:rPr>
            </w:pPr>
          </w:p>
        </w:tc>
        <w:tc>
          <w:tcPr>
            <w:tcW w:w="11000" w:type="dxa"/>
            <w:vAlign w:val="bottom"/>
          </w:tcPr>
          <w:p>
            <w:pPr>
              <w:ind w:left="220"/>
              <w:spacing w:after="0"/>
              <w:rPr>
                <w:sz w:val="20"/>
                <w:szCs w:val="20"/>
                <w:color w:val="auto"/>
              </w:rPr>
            </w:pPr>
            <w:r>
              <w:rPr>
                <w:rFonts w:ascii="Arial" w:cs="Arial" w:eastAsia="Arial" w:hAnsi="Arial"/>
                <w:sz w:val="18"/>
                <w:szCs w:val="18"/>
                <w:color w:val="auto"/>
              </w:rPr>
              <w:t>Fernando Palao</w:t>
            </w:r>
          </w:p>
        </w:tc>
      </w:tr>
      <w:tr>
        <w:trPr>
          <w:trHeight w:val="230"/>
        </w:trPr>
        <w:tc>
          <w:tcPr>
            <w:tcW w:w="420" w:type="dxa"/>
            <w:vAlign w:val="bottom"/>
          </w:tcPr>
          <w:p>
            <w:pPr>
              <w:spacing w:after="0"/>
              <w:rPr>
                <w:sz w:val="20"/>
                <w:szCs w:val="20"/>
                <w:color w:val="auto"/>
              </w:rPr>
            </w:pPr>
          </w:p>
        </w:tc>
        <w:tc>
          <w:tcPr>
            <w:tcW w:w="11000" w:type="dxa"/>
            <w:vAlign w:val="bottom"/>
          </w:tcPr>
          <w:p>
            <w:pPr>
              <w:ind w:left="220"/>
              <w:spacing w:after="0"/>
              <w:rPr>
                <w:sz w:val="20"/>
                <w:szCs w:val="20"/>
                <w:color w:val="auto"/>
              </w:rPr>
            </w:pPr>
            <w:r>
              <w:rPr>
                <w:rFonts w:ascii="Arial" w:cs="Arial" w:eastAsia="Arial" w:hAnsi="Arial"/>
                <w:sz w:val="18"/>
                <w:szCs w:val="18"/>
                <w:color w:val="auto"/>
              </w:rPr>
              <w:t>Credicorp Ltd.</w:t>
            </w:r>
          </w:p>
        </w:tc>
      </w:tr>
      <w:tr>
        <w:trPr>
          <w:trHeight w:val="848"/>
        </w:trPr>
        <w:tc>
          <w:tcPr>
            <w:tcW w:w="420" w:type="dxa"/>
            <w:vAlign w:val="bottom"/>
            <w:tcBorders>
              <w:bottom w:val="single" w:sz="8" w:color="808080"/>
            </w:tcBorders>
          </w:tcPr>
          <w:p>
            <w:pPr>
              <w:spacing w:after="0"/>
              <w:rPr>
                <w:sz w:val="24"/>
                <w:szCs w:val="24"/>
                <w:color w:val="auto"/>
              </w:rPr>
            </w:pPr>
          </w:p>
        </w:tc>
        <w:tc>
          <w:tcPr>
            <w:tcW w:w="11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04, 2009</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Guillermo Castillo</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99" w:lineRule="exact"/>
        <w:rPr>
          <w:sz w:val="20"/>
          <w:szCs w:val="20"/>
          <w:color w:val="auto"/>
        </w:rPr>
      </w:pPr>
    </w:p>
    <w:p>
      <w:pPr>
        <w:jc w:val="both"/>
        <w:ind w:right="460"/>
        <w:spacing w:after="0" w:line="307"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2019-12-10T13:46:49Z</dcterms:created>
  <dcterms:modified xsi:type="dcterms:W3CDTF">2019-12-10T13:46:49Z</dcterms:modified>
</cp:coreProperties>
</file>