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wp:posOffset>
            </wp:positionH>
            <wp:positionV relativeFrom="paragraph">
              <wp:posOffset>194310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FORM 6-K</w:t>
      </w:r>
    </w:p>
    <w:p>
      <w:pPr>
        <w:spacing w:after="0" w:line="256"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Pursuant to Rule 13a-16 or 15d-16 of the</w:t>
      </w:r>
    </w:p>
    <w:p>
      <w:pPr>
        <w:spacing w:after="0" w:line="9"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Securities Exchange Act of 1934</w:t>
      </w:r>
    </w:p>
    <w:p>
      <w:pPr>
        <w:spacing w:after="0" w:line="234"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For the month May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wp:posOffset>
            </wp:positionH>
            <wp:positionV relativeFrom="paragraph">
              <wp:posOffset>206375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CREDICORP LTD.</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(Exact name of registrant as specified in its charter)</w:t>
      </w:r>
    </w:p>
    <w:p>
      <w:pPr>
        <w:spacing w:after="0" w:line="234"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(Address of principal executive office)</w:t>
      </w:r>
    </w:p>
    <w:p>
      <w:pPr>
        <w:spacing w:after="0" w:line="238" w:lineRule="exact"/>
        <w:rPr>
          <w:sz w:val="24"/>
          <w:szCs w:val="24"/>
          <w:color w:val="auto"/>
        </w:rPr>
      </w:pPr>
    </w:p>
    <w:p>
      <w:pPr>
        <w:jc w:val="center"/>
        <w:ind w:right="18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52"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Form 20-F x Form 40-F o</w:t>
      </w:r>
    </w:p>
    <w:p>
      <w:pPr>
        <w:spacing w:after="0" w:line="252" w:lineRule="exact"/>
        <w:rPr>
          <w:sz w:val="24"/>
          <w:szCs w:val="24"/>
          <w:color w:val="auto"/>
        </w:rPr>
      </w:pPr>
    </w:p>
    <w:p>
      <w:pPr>
        <w:jc w:val="cente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65" w:lineRule="exact"/>
        <w:rPr>
          <w:sz w:val="24"/>
          <w:szCs w:val="24"/>
          <w:color w:val="auto"/>
        </w:rPr>
      </w:pPr>
    </w:p>
    <w:p>
      <w:pPr>
        <w:jc w:val="center"/>
        <w:ind w:right="80"/>
        <w:spacing w:after="0" w:line="207" w:lineRule="exact"/>
        <w:rPr>
          <w:sz w:val="20"/>
          <w:szCs w:val="20"/>
          <w:color w:val="auto"/>
        </w:rPr>
      </w:pPr>
      <w:r>
        <w:rPr>
          <w:rFonts w:ascii="Arial" w:cs="Arial" w:eastAsia="Arial" w:hAnsi="Arial"/>
          <w:sz w:val="18"/>
          <w:szCs w:val="18"/>
          <w:color w:val="auto"/>
        </w:rPr>
        <w:t xml:space="preserve">Yes o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wp:posOffset>
            </wp:positionH>
            <wp:positionV relativeFrom="paragraph">
              <wp:posOffset>438785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00"/>
          </w:cols>
          <w:pgMar w:left="700" w:top="715" w:right="59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5346065</wp:posOffset>
            </wp:positionH>
            <wp:positionV relativeFrom="page">
              <wp:posOffset>757555</wp:posOffset>
            </wp:positionV>
            <wp:extent cx="2032635" cy="600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203263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May 04, 2012</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SUPERINTENDENCIA DEL MERCADO DE VALORES - SMV</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 MATERIAL EVENT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accordance with article 28 of the Capital Markets Law approved by Law N° 093-2002-EF and CONASEV Resolution for Material Events and Reserved Information and Other Communications number 107-2002-EF/94.10, as modified by CONASEV Resolution number 009-2003-EF/94.10, Credicorp Ltd. complies with notifying you of the following Material Event, which is in line with the information provided in the recent filing of Form 20-F on April 30, 2012:</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April 13, 2012, the Liquidators of Fairfield Sentry Limited and other Fairfield funds filed a complaint in the United States Bankruptcy Court for the Southern District of New York against ASB (The “Fairfield Complaint”). On May 3, 2012, this Complaint was served at ASB Gran Cayman office. The Fairfield Complaint appears similar to other complaints the Fairfield Liquidators have filed in the Southern District Bankruptcy Court against other entities that invested in Fairfield funds and redeemed their accounts prior to Fairfield’s insolvency. The Fairfield Complaint seeks recovery against ASB for amounts totaling $115,165,423.28 and redeemed prior to June 15, 2005, alleging various common law claims grounded in British Virgin Islands (“BVI”) law.</w:t>
      </w:r>
    </w:p>
    <w:p>
      <w:pPr>
        <w:spacing w:after="0" w:line="15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At present, all the actions by the Fairfield Liquidators in the Court of New York against other entities in the same situation as ASB have been stayed, pending resolution of litigation in the BVI, where a Court of Appeal is currently deciding whether the Fairfield Liquidators may recover proceeds from their investors.</w:t>
      </w:r>
    </w:p>
    <w:p>
      <w:pPr>
        <w:spacing w:after="0" w:line="1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ASB is currently evaluating the Fairfield Complaint with its lawyers, but ASB believes it has substantial defenses against the Fairfield Liquidators’ claims alleged in the Fairfield Complaint an intends to contest these claims vigorously.</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Yours sincerely,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/s/ Guillermo Morales 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Stock Market Representative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jc w:val="center"/>
        <w:ind w:right="-65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May 4, 2012</w:t>
      </w:r>
    </w:p>
    <w:p>
      <w:pPr>
        <w:spacing w:after="0" w:line="200" w:lineRule="exact"/>
        <w:rPr>
          <w:sz w:val="20"/>
          <w:szCs w:val="20"/>
          <w:color w:val="auto"/>
        </w:rPr>
      </w:pPr>
    </w:p>
    <w:p>
      <w:pPr>
        <w:spacing w:after="0" w:line="26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CREDICORP LTD.</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Mario Ferrari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26"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Mario Ferrari</w:t>
      </w:r>
    </w:p>
    <w:p>
      <w:pPr>
        <w:spacing w:after="0" w:line="27"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780"/>
      </w:cols>
      <w:pgMar w:left="240" w:top="1175"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2019-12-09T12:05:09Z</dcterms:created>
  <dcterms:modified xsi:type="dcterms:W3CDTF">2019-12-09T12:05:09Z</dcterms:modified>
</cp:coreProperties>
</file>