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CREDICORP LTD.</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PAGE 1 OF 5 PAGES</w:t>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G2519Y108</w:t>
            </w:r>
          </w:p>
        </w:tc>
        <w:tc>
          <w:tcPr>
            <w:tcW w:w="66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13G</w:t>
            </w:r>
          </w:p>
        </w:tc>
        <w:tc>
          <w:tcPr>
            <w:tcW w:w="24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6"/>
              </w:rPr>
              <w:t>PAGE 2 OF 5 PAGES</w:t>
            </w:r>
          </w:p>
        </w:tc>
        <w:tc>
          <w:tcPr>
            <w:tcW w:w="0" w:type="dxa"/>
            <w:vAlign w:val="bottom"/>
          </w:tcPr>
          <w:p>
            <w:pPr>
              <w:spacing w:after="0"/>
              <w:rPr>
                <w:sz w:val="1"/>
                <w:szCs w:val="1"/>
                <w:color w:val="auto"/>
              </w:rPr>
            </w:pPr>
          </w:p>
        </w:tc>
      </w:tr>
      <w:tr>
        <w:trPr>
          <w:trHeight w:val="243"/>
        </w:trPr>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760" w:type="dxa"/>
            <w:vAlign w:val="bottom"/>
            <w:tcBorders>
              <w:bottom w:val="single" w:sz="8" w:color="auto"/>
            </w:tcBorders>
            <w:gridSpan w:val="2"/>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4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1</w:t>
            </w:r>
          </w:p>
        </w:tc>
        <w:tc>
          <w:tcPr>
            <w:tcW w:w="8140" w:type="dxa"/>
            <w:vAlign w:val="bottom"/>
            <w:gridSpan w:val="5"/>
          </w:tcPr>
          <w:p>
            <w:pPr>
              <w:ind w:left="80"/>
              <w:spacing w:after="0" w:line="191" w:lineRule="exact"/>
              <w:rPr>
                <w:sz w:val="20"/>
                <w:szCs w:val="20"/>
                <w:color w:val="auto"/>
              </w:rPr>
            </w:pPr>
            <w:r>
              <w:rPr>
                <w:rFonts w:ascii="Times New Roman" w:cs="Times New Roman" w:eastAsia="Times New Roman" w:hAnsi="Times New Roman"/>
                <w:sz w:val="18"/>
                <w:szCs w:val="18"/>
                <w:color w:val="auto"/>
              </w:rPr>
              <w:t>  NAME OF REPORTING PERSON</w:t>
            </w:r>
          </w:p>
        </w:tc>
        <w:tc>
          <w:tcPr>
            <w:tcW w:w="23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spacing w:after="0"/>
              <w:rPr>
                <w:sz w:val="20"/>
                <w:szCs w:val="20"/>
                <w:color w:val="auto"/>
              </w:rPr>
            </w:pPr>
          </w:p>
        </w:tc>
        <w:tc>
          <w:tcPr>
            <w:tcW w:w="8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S.S. OR I.R.S. IDENTIFICATION NO. OF ABOVE PERSON</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  Dodge &amp; Cox    </w:t>
            </w:r>
          </w:p>
        </w:tc>
        <w:tc>
          <w:tcPr>
            <w:tcW w:w="6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94-1441976</w:t>
            </w: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8140" w:type="dxa"/>
            <w:vAlign w:val="bottom"/>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23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52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w w:val="95"/>
              </w:rPr>
              <w:t xml:space="preserve">(b)  </w:t>
            </w:r>
            <w:r>
              <w:rPr>
                <w:rFonts w:ascii="MS PGothic" w:cs="MS PGothic" w:eastAsia="MS PGothic" w:hAnsi="MS PGothic"/>
                <w:sz w:val="18"/>
                <w:szCs w:val="18"/>
                <w:color w:val="auto"/>
                <w:w w:val="95"/>
              </w:rPr>
              <w:t>☐</w:t>
            </w:r>
          </w:p>
        </w:tc>
        <w:tc>
          <w:tcPr>
            <w:tcW w:w="668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0" w:type="dxa"/>
            <w:vAlign w:val="bottom"/>
            <w:tcBorders>
              <w:left w:val="single" w:sz="8" w:color="auto"/>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80" w:type="dxa"/>
            <w:vAlign w:val="bottom"/>
            <w:tcBorders>
              <w:bottom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7"/>
              </w:rPr>
              <w:t>  SEC USE ONLY</w:t>
            </w:r>
          </w:p>
        </w:tc>
        <w:tc>
          <w:tcPr>
            <w:tcW w:w="66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2"/>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8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2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California - U.S.A.</w:t>
            </w: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5,316,095</w:t>
            </w: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0" w:type="dxa"/>
            <w:vAlign w:val="bottom"/>
            <w:tcBorders>
              <w:left w:val="single" w:sz="8" w:color="auto"/>
            </w:tcBorders>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SHARED VOTING POWER</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0</w:t>
            </w:r>
          </w:p>
        </w:tc>
        <w:tc>
          <w:tcPr>
            <w:tcW w:w="2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94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23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5,530,980</w:t>
            </w:r>
          </w:p>
        </w:tc>
        <w:tc>
          <w:tcPr>
            <w:tcW w:w="2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2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6760" w:type="dxa"/>
            <w:vAlign w:val="bottom"/>
            <w:gridSpan w:val="2"/>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0</w:t>
            </w: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6"/>
              </w:rPr>
              <w:t>  AGGREGATE</w:t>
            </w:r>
          </w:p>
        </w:tc>
        <w:tc>
          <w:tcPr>
            <w:tcW w:w="3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  5,530,980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8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8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5.9%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8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2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IA</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PAGE 2 OF 5 PAGES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Name of Issuer:</w:t>
            </w:r>
          </w:p>
        </w:tc>
        <w:tc>
          <w:tcPr>
            <w:tcW w:w="6460" w:type="dxa"/>
            <w:vAlign w:val="bottom"/>
            <w:gridSpan w:val="6"/>
          </w:tcPr>
          <w:p>
            <w:pPr>
              <w:spacing w:after="0"/>
              <w:rPr>
                <w:sz w:val="17"/>
                <w:szCs w:val="17"/>
                <w:color w:val="auto"/>
              </w:rPr>
            </w:pPr>
          </w:p>
        </w:tc>
      </w:tr>
      <w:tr>
        <w:trPr>
          <w:trHeight w:val="345"/>
        </w:trPr>
        <w:tc>
          <w:tcPr>
            <w:tcW w:w="108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CREDICORP LTD.</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34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Address of Issuer’s Principal Executive Offices:</w:t>
            </w:r>
          </w:p>
        </w:tc>
        <w:tc>
          <w:tcPr>
            <w:tcW w:w="4140" w:type="dxa"/>
            <w:vAlign w:val="bottom"/>
            <w:gridSpan w:val="2"/>
          </w:tcPr>
          <w:p>
            <w:pPr>
              <w:spacing w:after="0"/>
              <w:rPr>
                <w:sz w:val="24"/>
                <w:szCs w:val="24"/>
                <w:color w:val="auto"/>
              </w:rPr>
            </w:pPr>
          </w:p>
        </w:tc>
      </w:tr>
      <w:tr>
        <w:trPr>
          <w:trHeight w:val="326"/>
        </w:trPr>
        <w:tc>
          <w:tcPr>
            <w:tcW w:w="108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Calle Centenario 156</w:t>
            </w:r>
          </w:p>
        </w:tc>
      </w:tr>
      <w:tr>
        <w:trPr>
          <w:trHeight w:val="216"/>
        </w:trPr>
        <w:tc>
          <w:tcPr>
            <w:tcW w:w="108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 Molina</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Lima 12, Peru</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7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Name of Person Filing:</w:t>
            </w:r>
          </w:p>
        </w:tc>
        <w:tc>
          <w:tcPr>
            <w:tcW w:w="5920" w:type="dxa"/>
            <w:vAlign w:val="bottom"/>
            <w:gridSpan w:val="4"/>
          </w:tcPr>
          <w:p>
            <w:pPr>
              <w:spacing w:after="0"/>
              <w:rPr>
                <w:sz w:val="24"/>
                <w:szCs w:val="24"/>
                <w:color w:val="auto"/>
              </w:rPr>
            </w:pPr>
          </w:p>
        </w:tc>
      </w:tr>
      <w:tr>
        <w:trPr>
          <w:trHeight w:val="345"/>
        </w:trPr>
        <w:tc>
          <w:tcPr>
            <w:tcW w:w="108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Dodge &amp; Cox</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39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Address of the Principal Office or, if none, Residence:</w:t>
            </w:r>
          </w:p>
        </w:tc>
        <w:tc>
          <w:tcPr>
            <w:tcW w:w="3700" w:type="dxa"/>
            <w:vAlign w:val="bottom"/>
          </w:tcPr>
          <w:p>
            <w:pPr>
              <w:spacing w:after="0"/>
              <w:rPr>
                <w:sz w:val="24"/>
                <w:szCs w:val="24"/>
                <w:color w:val="auto"/>
              </w:rPr>
            </w:pPr>
          </w:p>
        </w:tc>
      </w:tr>
      <w:tr>
        <w:trPr>
          <w:trHeight w:val="326"/>
        </w:trPr>
        <w:tc>
          <w:tcPr>
            <w:tcW w:w="108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555 California Street, 40th Floor</w:t>
            </w:r>
          </w:p>
        </w:tc>
      </w:tr>
      <w:tr>
        <w:trPr>
          <w:trHeight w:val="234"/>
        </w:trPr>
        <w:tc>
          <w:tcPr>
            <w:tcW w:w="1080" w:type="dxa"/>
            <w:vAlign w:val="bottom"/>
          </w:tcPr>
          <w:p>
            <w:pPr>
              <w:spacing w:after="0"/>
              <w:rPr>
                <w:sz w:val="20"/>
                <w:szCs w:val="20"/>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San Francisco, CA 94104</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Citizenship:</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45"/>
        </w:trPr>
        <w:tc>
          <w:tcPr>
            <w:tcW w:w="108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California - U.S.A.</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Title of Class of Securities:</w:t>
            </w:r>
          </w:p>
        </w:tc>
        <w:tc>
          <w:tcPr>
            <w:tcW w:w="5640" w:type="dxa"/>
            <w:vAlign w:val="bottom"/>
            <w:gridSpan w:val="3"/>
          </w:tcPr>
          <w:p>
            <w:pPr>
              <w:spacing w:after="0"/>
              <w:rPr>
                <w:sz w:val="24"/>
                <w:szCs w:val="24"/>
                <w:color w:val="auto"/>
              </w:rPr>
            </w:pPr>
          </w:p>
        </w:tc>
      </w:tr>
      <w:tr>
        <w:trPr>
          <w:trHeight w:val="345"/>
        </w:trPr>
        <w:tc>
          <w:tcPr>
            <w:tcW w:w="108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Common Shares</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7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344"/>
        </w:trPr>
        <w:tc>
          <w:tcPr>
            <w:tcW w:w="1080" w:type="dxa"/>
            <w:vAlign w:val="bottom"/>
          </w:tcPr>
          <w:p>
            <w:pPr>
              <w:spacing w:after="0"/>
              <w:rPr>
                <w:sz w:val="24"/>
                <w:szCs w:val="24"/>
                <w:color w:val="auto"/>
              </w:rPr>
            </w:pPr>
          </w:p>
        </w:tc>
        <w:tc>
          <w:tcPr>
            <w:tcW w:w="9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G2519Y108</w:t>
            </w: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6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9"/>
              </w:rPr>
              <w:t>If the Statement is being filed pursuant to Rule 13d-1(b),or 13d-2(b), check whether the person filing is a:</w:t>
            </w:r>
          </w:p>
        </w:tc>
      </w:tr>
      <w:tr>
        <w:trPr>
          <w:trHeight w:val="386"/>
        </w:trPr>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 </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Investment Advisor registered under section 203 of the Investment Advisors Act of 1940</w:t>
            </w:r>
          </w:p>
        </w:tc>
      </w:tr>
      <w:tr>
        <w:trPr>
          <w:trHeight w:val="5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Ownership:</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r>
      <w:tr>
        <w:trPr>
          <w:trHeight w:val="358"/>
        </w:trPr>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3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Amount Beneficially Owned:</w:t>
            </w:r>
          </w:p>
        </w:tc>
      </w:tr>
      <w:tr>
        <w:trPr>
          <w:trHeight w:val="32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5,530,980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8"/>
        </w:trPr>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3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r>
      <w:tr>
        <w:trPr>
          <w:trHeight w:val="32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5.9%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 3 OF 5 PAGES</w:t>
            </w:r>
          </w:p>
        </w:tc>
      </w:tr>
    </w:tbl>
    <w:p>
      <w:pPr>
        <w:ind w:left="14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1520" w:hanging="431"/>
        <w:spacing w:after="0"/>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such person has:</w:t>
      </w:r>
    </w:p>
    <w:p>
      <w:pPr>
        <w:spacing w:after="0" w:line="131" w:lineRule="exact"/>
        <w:rPr>
          <w:sz w:val="20"/>
          <w:szCs w:val="20"/>
          <w:color w:val="auto"/>
        </w:rPr>
      </w:pPr>
    </w:p>
    <w:p>
      <w:pPr>
        <w:ind w:left="1540" w:right="6840" w:hanging="451"/>
        <w:spacing w:after="0" w:line="383" w:lineRule="auto"/>
        <w:tabs>
          <w:tab w:leader="none" w:pos="15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5,316,095</w:t>
      </w:r>
    </w:p>
    <w:p>
      <w:pPr>
        <w:ind w:left="1540" w:right="6660" w:hanging="451"/>
        <w:spacing w:after="0" w:line="383" w:lineRule="auto"/>
        <w:tabs>
          <w:tab w:leader="none" w:pos="15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w:t>
      </w:r>
    </w:p>
    <w:p>
      <w:pPr>
        <w:ind w:left="1520" w:hanging="431"/>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5,530,980</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tcPr>
          <w:p>
            <w:pPr>
              <w:spacing w:after="0"/>
              <w:rPr>
                <w:sz w:val="17"/>
                <w:szCs w:val="17"/>
                <w:color w:val="auto"/>
              </w:rPr>
            </w:pPr>
          </w:p>
        </w:tc>
        <w:tc>
          <w:tcPr>
            <w:tcW w:w="3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Ownership of Five Percent or Less of a Class:</w:t>
            </w:r>
          </w:p>
        </w:tc>
        <w:tc>
          <w:tcPr>
            <w:tcW w:w="6600" w:type="dxa"/>
            <w:vAlign w:val="bottom"/>
            <w:gridSpan w:val="4"/>
          </w:tcPr>
          <w:p>
            <w:pPr>
              <w:spacing w:after="0"/>
              <w:rPr>
                <w:sz w:val="17"/>
                <w:szCs w:val="17"/>
                <w:color w:val="auto"/>
              </w:rPr>
            </w:pPr>
          </w:p>
        </w:tc>
      </w:tr>
      <w:tr>
        <w:trPr>
          <w:trHeight w:val="345"/>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4"/>
                <w:szCs w:val="24"/>
                <w:color w:val="auto"/>
              </w:rPr>
            </w:pPr>
          </w:p>
        </w:tc>
        <w:tc>
          <w:tcPr>
            <w:tcW w:w="4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Ownership of More than Five Percent on Behalf of Another Person:</w:t>
            </w:r>
          </w:p>
        </w:tc>
        <w:tc>
          <w:tcPr>
            <w:tcW w:w="5020" w:type="dxa"/>
            <w:vAlign w:val="bottom"/>
            <w:gridSpan w:val="2"/>
          </w:tcPr>
          <w:p>
            <w:pPr>
              <w:spacing w:after="0"/>
              <w:rPr>
                <w:sz w:val="24"/>
                <w:szCs w:val="24"/>
                <w:color w:val="auto"/>
              </w:rPr>
            </w:pPr>
          </w:p>
        </w:tc>
      </w:tr>
      <w:tr>
        <w:trPr>
          <w:trHeight w:val="326"/>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clients of Dodge &amp; Cox, including investment companies registered under the Investment Company Act of 1940 and other managed</w:t>
            </w:r>
          </w:p>
        </w:tc>
      </w:tr>
      <w:tr>
        <w:trPr>
          <w:trHeight w:val="216"/>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accounts, have the right to receive or power to direct the receipt of dividends from, and the proceeds from the sale of, CREDICORP</w:t>
            </w:r>
          </w:p>
        </w:tc>
      </w:tr>
      <w:tr>
        <w:trPr>
          <w:trHeight w:val="234"/>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LTD.</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260" w:type="dxa"/>
            <w:vAlign w:val="bottom"/>
          </w:tcPr>
          <w:p>
            <w:pPr>
              <w:spacing w:after="0"/>
              <w:rPr>
                <w:sz w:val="24"/>
                <w:szCs w:val="24"/>
                <w:color w:val="auto"/>
              </w:rPr>
            </w:pPr>
          </w:p>
        </w:tc>
        <w:tc>
          <w:tcPr>
            <w:tcW w:w="9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Identification and Classification of the Subsidiary Which Acquired the Security Being Reported on By the Parent Holding Company:</w:t>
            </w:r>
          </w:p>
        </w:tc>
        <w:tc>
          <w:tcPr>
            <w:tcW w:w="320" w:type="dxa"/>
            <w:vAlign w:val="bottom"/>
          </w:tcPr>
          <w:p>
            <w:pPr>
              <w:spacing w:after="0"/>
              <w:rPr>
                <w:sz w:val="24"/>
                <w:szCs w:val="24"/>
                <w:color w:val="auto"/>
              </w:rPr>
            </w:pPr>
          </w:p>
        </w:tc>
      </w:tr>
      <w:tr>
        <w:trPr>
          <w:trHeight w:val="345"/>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260" w:type="dxa"/>
            <w:vAlign w:val="bottom"/>
          </w:tcPr>
          <w:p>
            <w:pPr>
              <w:spacing w:after="0"/>
              <w:rPr>
                <w:sz w:val="24"/>
                <w:szCs w:val="24"/>
                <w:color w:val="auto"/>
              </w:rPr>
            </w:pPr>
          </w:p>
        </w:tc>
        <w:tc>
          <w:tcPr>
            <w:tcW w:w="4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Identification and Classification of Members of the Group:</w:t>
            </w:r>
          </w:p>
        </w:tc>
        <w:tc>
          <w:tcPr>
            <w:tcW w:w="5660" w:type="dxa"/>
            <w:vAlign w:val="bottom"/>
            <w:gridSpan w:val="3"/>
          </w:tcPr>
          <w:p>
            <w:pPr>
              <w:spacing w:after="0"/>
              <w:rPr>
                <w:sz w:val="24"/>
                <w:szCs w:val="24"/>
                <w:color w:val="auto"/>
              </w:rPr>
            </w:pPr>
          </w:p>
        </w:tc>
      </w:tr>
      <w:tr>
        <w:trPr>
          <w:trHeight w:val="345"/>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260" w:type="dxa"/>
            <w:vAlign w:val="bottom"/>
          </w:tcPr>
          <w:p>
            <w:pPr>
              <w:spacing w:after="0"/>
              <w:rPr>
                <w:sz w:val="24"/>
                <w:szCs w:val="24"/>
                <w:color w:val="auto"/>
              </w:rPr>
            </w:pPr>
          </w:p>
        </w:tc>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Notice of Dissolution of a Group:</w:t>
            </w:r>
          </w:p>
        </w:tc>
        <w:tc>
          <w:tcPr>
            <w:tcW w:w="7480" w:type="dxa"/>
            <w:vAlign w:val="bottom"/>
            <w:gridSpan w:val="5"/>
          </w:tcPr>
          <w:p>
            <w:pPr>
              <w:spacing w:after="0"/>
              <w:rPr>
                <w:sz w:val="24"/>
                <w:szCs w:val="24"/>
                <w:color w:val="auto"/>
              </w:rPr>
            </w:pPr>
          </w:p>
        </w:tc>
      </w:tr>
      <w:tr>
        <w:trPr>
          <w:trHeight w:val="345"/>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26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w:t>
            </w: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960" w:type="dxa"/>
            <w:vAlign w:val="bottom"/>
            <w:gridSpan w:val="6"/>
          </w:tcPr>
          <w:p>
            <w:pPr>
              <w:spacing w:after="0" w:line="20" w:lineRule="exact"/>
              <w:rPr>
                <w:sz w:val="1"/>
                <w:szCs w:val="1"/>
                <w:color w:val="auto"/>
              </w:rPr>
            </w:pPr>
          </w:p>
        </w:tc>
      </w:tr>
      <w:tr>
        <w:trPr>
          <w:trHeight w:val="326"/>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w:t>
            </w:r>
          </w:p>
        </w:tc>
      </w:tr>
      <w:tr>
        <w:trPr>
          <w:trHeight w:val="216"/>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course of business and were not acquired for the purpose of and do not have the effect of changing or influencing the control of the issuer</w:t>
            </w:r>
          </w:p>
        </w:tc>
      </w:tr>
      <w:tr>
        <w:trPr>
          <w:trHeight w:val="234"/>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of such securities and were not acquired in connection with or as a participant in any transaction having such purpose or effect.</w:t>
            </w:r>
          </w:p>
        </w:tc>
      </w:tr>
      <w:tr>
        <w:trPr>
          <w:trHeight w:val="365"/>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PAGE 4 OF 5 PAGES</w:t>
            </w:r>
          </w:p>
        </w:tc>
      </w:tr>
    </w:tbl>
    <w:p>
      <w:pPr>
        <w:sectPr>
          <w:pgSz w:w="11900" w:h="16838" w:orient="portrait"/>
          <w:cols w:equalWidth="0" w:num="1">
            <w:col w:w="11000"/>
          </w:cols>
          <w:pgMar w:left="440" w:top="270" w:right="459" w:bottom="1440" w:gutter="0" w:footer="0" w:header="0"/>
        </w:sectPr>
      </w:pPr>
    </w:p>
    <w:bookmarkStart w:id="4" w:name="page5"/>
    <w:bookmarkEnd w:id="4"/>
    <w:p>
      <w:pPr>
        <w:jc w:val="center"/>
        <w:ind w:right="-5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DODGE &amp; COX</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Katherine M. Primas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Compliance Officer</w:t>
      </w:r>
    </w:p>
    <w:p>
      <w:pPr>
        <w:spacing w:after="0" w:line="13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PAGE 5 OF 5 PAGES</w:t>
      </w:r>
    </w:p>
    <w:sectPr>
      <w:pgSz w:w="11900" w:h="16838" w:orient="portrait"/>
      <w:cols w:equalWidth="0" w:num="1">
        <w:col w:w="10440"/>
      </w:cols>
      <w:pgMar w:left="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2024-02-13T12:34:19Z</dcterms:created>
  <dcterms:modified xsi:type="dcterms:W3CDTF">2024-02-13T12:34:19Z</dcterms:modified>
</cp:coreProperties>
</file>