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CREDICORP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Shares, par value $5.00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G2519Y108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 “Act”) or otherwise subject to the liabilities of that section of the Act but shall be subject to all other provisions of the Act (however, see the Notes).</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6491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491605"/>
                    </a:xfrm>
                    <a:prstGeom prst="rect">
                      <a:avLst/>
                    </a:prstGeom>
                    <a:noFill/>
                  </pic:spPr>
                </pic:pic>
              </a:graphicData>
            </a:graphic>
          </wp:anchor>
        </w:drawing>
      </w:r>
    </w:p>
    <w:p>
      <w:pPr>
        <w:spacing w:after="0" w:line="24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Arnueld Limited</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Nevis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6" w:lineRule="exact"/>
        <w:rPr>
          <w:rFonts w:ascii="Arial" w:cs="Arial" w:eastAsia="Arial" w:hAnsi="Arial"/>
          <w:sz w:val="18"/>
          <w:szCs w:val="18"/>
          <w:color w:val="auto"/>
        </w:rPr>
      </w:pPr>
    </w:p>
    <w:p>
      <w:pPr>
        <w:ind w:left="620" w:right="3860" w:hanging="571"/>
        <w:spacing w:after="0" w:line="52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15,641</w:t>
      </w:r>
    </w:p>
    <w:p>
      <w:pPr>
        <w:spacing w:after="0" w:line="1" w:lineRule="exact"/>
        <w:rPr>
          <w:rFonts w:ascii="Arial" w:cs="Arial" w:eastAsia="Arial" w:hAnsi="Arial"/>
          <w:sz w:val="18"/>
          <w:szCs w:val="18"/>
          <w:color w:val="auto"/>
        </w:rPr>
      </w:pPr>
    </w:p>
    <w:p>
      <w:pPr>
        <w:ind w:left="620" w:hanging="571"/>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480" w:hanging="571"/>
        <w:spacing w:after="0" w:line="52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0.017%</w:t>
      </w:r>
    </w:p>
    <w:p>
      <w:pPr>
        <w:spacing w:after="0" w:line="1" w:lineRule="exact"/>
        <w:rPr>
          <w:rFonts w:ascii="Arial" w:cs="Arial" w:eastAsia="Arial" w:hAnsi="Arial"/>
          <w:sz w:val="18"/>
          <w:szCs w:val="18"/>
          <w:color w:val="auto"/>
        </w:rPr>
      </w:pPr>
    </w:p>
    <w:p>
      <w:pPr>
        <w:ind w:left="620" w:right="6200" w:hanging="571"/>
        <w:spacing w:after="0" w:line="532"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 w:name="page3"/>
    <w:bookmarkEnd w:id="2"/>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6491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91605"/>
                    </a:xfrm>
                    <a:prstGeom prst="rect">
                      <a:avLst/>
                    </a:prstGeom>
                    <a:noFill/>
                  </pic:spPr>
                </pic:pic>
              </a:graphicData>
            </a:graphic>
          </wp:anchor>
        </w:drawing>
      </w:r>
    </w:p>
    <w:p>
      <w:pPr>
        <w:spacing w:after="0" w:line="24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Ursula Martina Bernard Valderrama</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Perú</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(5)</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(6)</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18"/>
                <w:szCs w:val="18"/>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11,122</w:t>
            </w:r>
          </w:p>
        </w:tc>
        <w:tc>
          <w:tcPr>
            <w:tcW w:w="0" w:type="dxa"/>
            <w:vAlign w:val="bottom"/>
          </w:tcPr>
          <w:p>
            <w:pPr>
              <w:spacing w:after="0"/>
              <w:rPr>
                <w:sz w:val="1"/>
                <w:szCs w:val="1"/>
                <w:color w:val="auto"/>
              </w:rPr>
            </w:pPr>
          </w:p>
        </w:tc>
      </w:tr>
      <w:tr>
        <w:trPr>
          <w:trHeight w:val="11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20" w:type="dxa"/>
            <w:vAlign w:val="bottom"/>
          </w:tcPr>
          <w:p>
            <w:pPr>
              <w:spacing w:after="0"/>
              <w:rPr>
                <w:sz w:val="9"/>
                <w:szCs w:val="9"/>
                <w:color w:val="auto"/>
              </w:rPr>
            </w:pPr>
          </w:p>
        </w:tc>
        <w:tc>
          <w:tcPr>
            <w:tcW w:w="9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20" w:type="dxa"/>
            <w:vAlign w:val="bottom"/>
            <w:tcBorders>
              <w:bottom w:val="single" w:sz="8" w:color="auto"/>
            </w:tcBorders>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20" w:type="dxa"/>
            <w:vAlign w:val="bottom"/>
            <w:vMerge w:val="continue"/>
          </w:tcPr>
          <w:p>
            <w:pPr>
              <w:spacing w:after="0"/>
              <w:rPr>
                <w:sz w:val="7"/>
                <w:szCs w:val="7"/>
                <w:color w:val="auto"/>
              </w:rPr>
            </w:pPr>
          </w:p>
        </w:tc>
        <w:tc>
          <w:tcPr>
            <w:tcW w:w="42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(7)</w:t>
            </w:r>
          </w:p>
        </w:tc>
        <w:tc>
          <w:tcPr>
            <w:tcW w:w="90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2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20" w:type="dxa"/>
            <w:vAlign w:val="bottom"/>
          </w:tcPr>
          <w:p>
            <w:pPr>
              <w:spacing w:after="0"/>
              <w:rPr>
                <w:sz w:val="18"/>
                <w:szCs w:val="18"/>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20" w:type="dxa"/>
            <w:vAlign w:val="bottom"/>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20" w:type="dxa"/>
            <w:vAlign w:val="bottom"/>
            <w:tcBorders>
              <w:bottom w:val="single" w:sz="8" w:color="auto"/>
            </w:tcBorders>
          </w:tcPr>
          <w:p>
            <w:pPr>
              <w:spacing w:after="0"/>
              <w:rPr>
                <w:sz w:val="13"/>
                <w:szCs w:val="13"/>
                <w:color w:val="auto"/>
              </w:rPr>
            </w:pPr>
          </w:p>
        </w:tc>
        <w:tc>
          <w:tcPr>
            <w:tcW w:w="9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80" w:hanging="567"/>
        <w:spacing w:after="0" w:line="509" w:lineRule="auto"/>
        <w:tabs>
          <w:tab w:leader="none" w:pos="256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11,122</w:t>
      </w:r>
    </w:p>
    <w:p>
      <w:pPr>
        <w:spacing w:after="0" w:line="6" w:lineRule="exact"/>
        <w:rPr>
          <w:rFonts w:ascii="Arial" w:cs="Arial" w:eastAsia="Arial" w:hAnsi="Arial"/>
          <w:sz w:val="18"/>
          <w:szCs w:val="18"/>
          <w:color w:val="auto"/>
        </w:rPr>
      </w:pPr>
    </w:p>
    <w:p>
      <w:pPr>
        <w:ind w:left="620" w:right="3860" w:hanging="571"/>
        <w:spacing w:after="0" w:line="52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11,122</w:t>
      </w:r>
    </w:p>
    <w:p>
      <w:pPr>
        <w:spacing w:after="0" w:line="1" w:lineRule="exact"/>
        <w:rPr>
          <w:rFonts w:ascii="Arial" w:cs="Arial" w:eastAsia="Arial" w:hAnsi="Arial"/>
          <w:sz w:val="18"/>
          <w:szCs w:val="18"/>
          <w:color w:val="auto"/>
        </w:rPr>
      </w:pPr>
    </w:p>
    <w:p>
      <w:pPr>
        <w:ind w:left="620" w:hanging="571"/>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480" w:hanging="571"/>
        <w:spacing w:after="0" w:line="52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0.012%</w:t>
      </w:r>
    </w:p>
    <w:p>
      <w:pPr>
        <w:spacing w:after="0" w:line="1" w:lineRule="exact"/>
        <w:rPr>
          <w:rFonts w:ascii="Arial" w:cs="Arial" w:eastAsia="Arial" w:hAnsi="Arial"/>
          <w:sz w:val="18"/>
          <w:szCs w:val="18"/>
          <w:color w:val="auto"/>
        </w:rPr>
      </w:pPr>
    </w:p>
    <w:p>
      <w:pPr>
        <w:ind w:left="620" w:right="6200" w:hanging="571"/>
        <w:spacing w:after="0" w:line="53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6491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491605"/>
                    </a:xfrm>
                    <a:prstGeom prst="rect">
                      <a:avLst/>
                    </a:prstGeom>
                    <a:noFill/>
                  </pic:spPr>
                </pic:pic>
              </a:graphicData>
            </a:graphic>
          </wp:anchor>
        </w:drawing>
      </w:r>
    </w:p>
    <w:p>
      <w:pPr>
        <w:spacing w:after="0" w:line="24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Birmingham Merchant S.A.*</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Panamá</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(5)</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76,039</w:t>
            </w:r>
          </w:p>
        </w:tc>
        <w:tc>
          <w:tcPr>
            <w:tcW w:w="0" w:type="dxa"/>
            <w:vAlign w:val="bottom"/>
          </w:tcPr>
          <w:p>
            <w:pPr>
              <w:spacing w:after="0"/>
              <w:rPr>
                <w:sz w:val="1"/>
                <w:szCs w:val="1"/>
                <w:color w:val="auto"/>
              </w:rPr>
            </w:pPr>
          </w:p>
        </w:tc>
      </w:tr>
      <w:tr>
        <w:trPr>
          <w:trHeight w:val="237"/>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(6)</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18"/>
                <w:szCs w:val="18"/>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20" w:type="dxa"/>
            <w:vAlign w:val="bottom"/>
          </w:tcPr>
          <w:p>
            <w:pPr>
              <w:spacing w:after="0"/>
              <w:rPr>
                <w:sz w:val="9"/>
                <w:szCs w:val="9"/>
                <w:color w:val="auto"/>
              </w:rPr>
            </w:pPr>
          </w:p>
        </w:tc>
        <w:tc>
          <w:tcPr>
            <w:tcW w:w="9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20" w:type="dxa"/>
            <w:vAlign w:val="bottom"/>
            <w:tcBorders>
              <w:bottom w:val="single" w:sz="8" w:color="auto"/>
            </w:tcBorders>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20" w:type="dxa"/>
            <w:vAlign w:val="bottom"/>
            <w:vMerge w:val="continue"/>
          </w:tcPr>
          <w:p>
            <w:pPr>
              <w:spacing w:after="0"/>
              <w:rPr>
                <w:sz w:val="7"/>
                <w:szCs w:val="7"/>
                <w:color w:val="auto"/>
              </w:rPr>
            </w:pPr>
          </w:p>
        </w:tc>
        <w:tc>
          <w:tcPr>
            <w:tcW w:w="42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(7)</w:t>
            </w:r>
          </w:p>
        </w:tc>
        <w:tc>
          <w:tcPr>
            <w:tcW w:w="90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2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20" w:type="dxa"/>
            <w:vAlign w:val="bottom"/>
          </w:tcPr>
          <w:p>
            <w:pPr>
              <w:spacing w:after="0"/>
              <w:rPr>
                <w:sz w:val="18"/>
                <w:szCs w:val="18"/>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76,039</w:t>
            </w: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20" w:type="dxa"/>
            <w:vAlign w:val="bottom"/>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20" w:type="dxa"/>
            <w:vAlign w:val="bottom"/>
            <w:tcBorders>
              <w:bottom w:val="single" w:sz="8" w:color="auto"/>
            </w:tcBorders>
          </w:tcPr>
          <w:p>
            <w:pPr>
              <w:spacing w:after="0"/>
              <w:rPr>
                <w:sz w:val="13"/>
                <w:szCs w:val="13"/>
                <w:color w:val="auto"/>
              </w:rPr>
            </w:pPr>
          </w:p>
        </w:tc>
        <w:tc>
          <w:tcPr>
            <w:tcW w:w="9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80" w:hanging="567"/>
        <w:spacing w:after="0" w:line="509" w:lineRule="auto"/>
        <w:tabs>
          <w:tab w:leader="none" w:pos="2560" w:val="left"/>
        </w:tabs>
        <w:numPr>
          <w:ilvl w:val="2"/>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6" w:lineRule="exact"/>
        <w:rPr>
          <w:rFonts w:ascii="Arial" w:cs="Arial" w:eastAsia="Arial" w:hAnsi="Arial"/>
          <w:sz w:val="18"/>
          <w:szCs w:val="18"/>
          <w:color w:val="auto"/>
        </w:rPr>
      </w:pPr>
    </w:p>
    <w:p>
      <w:pPr>
        <w:ind w:left="620" w:right="3860" w:hanging="571"/>
        <w:spacing w:after="0" w:line="524" w:lineRule="auto"/>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76,039</w:t>
      </w:r>
    </w:p>
    <w:p>
      <w:pPr>
        <w:spacing w:after="0" w:line="1" w:lineRule="exact"/>
        <w:rPr>
          <w:rFonts w:ascii="Arial" w:cs="Arial" w:eastAsia="Arial" w:hAnsi="Arial"/>
          <w:sz w:val="18"/>
          <w:szCs w:val="18"/>
          <w:color w:val="auto"/>
        </w:rPr>
      </w:pPr>
    </w:p>
    <w:p>
      <w:pPr>
        <w:ind w:left="620" w:hanging="571"/>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71"/>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0.081%</w:t>
      </w:r>
    </w:p>
    <w:p>
      <w:pPr>
        <w:spacing w:after="0" w:line="261" w:lineRule="exact"/>
        <w:rPr>
          <w:rFonts w:ascii="Arial" w:cs="Arial" w:eastAsia="Arial" w:hAnsi="Arial"/>
          <w:sz w:val="18"/>
          <w:szCs w:val="18"/>
          <w:color w:val="auto"/>
        </w:rPr>
      </w:pPr>
    </w:p>
    <w:p>
      <w:pPr>
        <w:ind w:left="620" w:right="6200" w:hanging="571"/>
        <w:spacing w:after="0" w:line="511" w:lineRule="auto"/>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100"/>
        <w:spacing w:after="0" w:line="277" w:lineRule="auto"/>
        <w:rPr>
          <w:rFonts w:ascii="Arial" w:cs="Arial" w:eastAsia="Arial" w:hAnsi="Arial"/>
          <w:sz w:val="18"/>
          <w:szCs w:val="18"/>
          <w:color w:val="auto"/>
        </w:rPr>
      </w:pPr>
      <w:r>
        <w:rPr>
          <w:rFonts w:ascii="Arial" w:cs="Arial" w:eastAsia="Arial" w:hAnsi="Arial"/>
          <w:sz w:val="18"/>
          <w:szCs w:val="18"/>
          <w:color w:val="auto"/>
        </w:rPr>
        <w:t>* Birmingham Merchant S.A.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6080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080125"/>
                    </a:xfrm>
                    <a:prstGeom prst="rect">
                      <a:avLst/>
                    </a:prstGeom>
                    <a:noFill/>
                  </pic:spPr>
                </pic:pic>
              </a:graphicData>
            </a:graphic>
          </wp:anchor>
        </w:drawing>
      </w:r>
    </w:p>
    <w:p>
      <w:pPr>
        <w:spacing w:after="0" w:line="24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Ana Sylvia Romero Guzmán</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Perú</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80" w:type="dxa"/>
            <w:vAlign w:val="bottom"/>
            <w:tcBorders>
              <w:top w:val="single" w:sz="8" w:color="auto"/>
              <w:right w:val="single" w:sz="8" w:color="auto"/>
            </w:tcBorders>
          </w:tcPr>
          <w:p>
            <w:pPr>
              <w:spacing w:after="0"/>
              <w:rPr>
                <w:sz w:val="22"/>
                <w:szCs w:val="22"/>
                <w:color w:val="auto"/>
              </w:rPr>
            </w:pPr>
          </w:p>
        </w:tc>
        <w:tc>
          <w:tcPr>
            <w:tcW w:w="56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w w:val="90"/>
              </w:rPr>
              <w:t>(5)</w:t>
            </w:r>
          </w:p>
        </w:tc>
        <w:tc>
          <w:tcPr>
            <w:tcW w:w="88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98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NUMBER OF</w:t>
            </w:r>
          </w:p>
        </w:tc>
        <w:tc>
          <w:tcPr>
            <w:tcW w:w="5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0"/>
              </w:rPr>
              <w:t>(6)</w:t>
            </w:r>
          </w:p>
        </w:tc>
        <w:tc>
          <w:tcPr>
            <w:tcW w:w="88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8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SHARES</w:t>
            </w:r>
          </w:p>
        </w:tc>
        <w:tc>
          <w:tcPr>
            <w:tcW w:w="560" w:type="dxa"/>
            <w:vAlign w:val="bottom"/>
            <w:tcBorders>
              <w:right w:val="single" w:sz="8" w:color="auto"/>
            </w:tcBorders>
          </w:tcPr>
          <w:p>
            <w:pPr>
              <w:spacing w:after="0"/>
              <w:rPr>
                <w:sz w:val="18"/>
                <w:szCs w:val="18"/>
                <w:color w:val="auto"/>
              </w:rPr>
            </w:pPr>
          </w:p>
        </w:tc>
        <w:tc>
          <w:tcPr>
            <w:tcW w:w="8880" w:type="dxa"/>
            <w:vAlign w:val="bottom"/>
            <w:vMerge w:val="restart"/>
          </w:tcPr>
          <w:p>
            <w:pPr>
              <w:ind w:left="2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113"/>
        </w:trPr>
        <w:tc>
          <w:tcPr>
            <w:tcW w:w="19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right w:val="single" w:sz="8" w:color="auto"/>
            </w:tcBorders>
          </w:tcPr>
          <w:p>
            <w:pPr>
              <w:spacing w:after="0"/>
              <w:rPr>
                <w:sz w:val="9"/>
                <w:szCs w:val="9"/>
                <w:color w:val="auto"/>
              </w:rPr>
            </w:pPr>
          </w:p>
        </w:tc>
        <w:tc>
          <w:tcPr>
            <w:tcW w:w="8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8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8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0"/>
              </w:rPr>
              <w:t>(7)</w:t>
            </w:r>
          </w:p>
        </w:tc>
        <w:tc>
          <w:tcPr>
            <w:tcW w:w="8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EACH</w:t>
            </w:r>
          </w:p>
        </w:tc>
        <w:tc>
          <w:tcPr>
            <w:tcW w:w="560" w:type="dxa"/>
            <w:vAlign w:val="bottom"/>
            <w:tcBorders>
              <w:right w:val="single" w:sz="8" w:color="auto"/>
            </w:tcBorders>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8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9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PERSON</w:t>
            </w:r>
          </w:p>
        </w:tc>
        <w:tc>
          <w:tcPr>
            <w:tcW w:w="560" w:type="dxa"/>
            <w:vAlign w:val="bottom"/>
            <w:tcBorders>
              <w:bottom w:val="single" w:sz="8" w:color="auto"/>
              <w:right w:val="single" w:sz="8" w:color="auto"/>
            </w:tcBorders>
          </w:tcPr>
          <w:p>
            <w:pPr>
              <w:spacing w:after="0"/>
              <w:rPr>
                <w:sz w:val="13"/>
                <w:szCs w:val="13"/>
                <w:color w:val="auto"/>
              </w:rPr>
            </w:pPr>
          </w:p>
        </w:tc>
        <w:tc>
          <w:tcPr>
            <w:tcW w:w="8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1980" w:type="dxa"/>
            <w:vAlign w:val="bottom"/>
            <w:tcBorders>
              <w:right w:val="single" w:sz="8" w:color="auto"/>
            </w:tcBorders>
            <w:vMerge w:val="continue"/>
          </w:tcPr>
          <w:p>
            <w:pPr>
              <w:spacing w:after="0"/>
              <w:rPr>
                <w:sz w:val="3"/>
                <w:szCs w:val="3"/>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0"/>
              </w:rPr>
              <w:t>(8)</w:t>
            </w:r>
          </w:p>
        </w:tc>
        <w:tc>
          <w:tcPr>
            <w:tcW w:w="8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4"/>
        </w:trPr>
        <w:tc>
          <w:tcPr>
            <w:tcW w:w="1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right w:val="single" w:sz="8" w:color="auto"/>
            </w:tcBorders>
            <w:vMerge w:val="continue"/>
          </w:tcPr>
          <w:p>
            <w:pPr>
              <w:spacing w:after="0"/>
              <w:rPr>
                <w:sz w:val="20"/>
                <w:szCs w:val="20"/>
                <w:color w:val="auto"/>
              </w:rPr>
            </w:pPr>
          </w:p>
        </w:tc>
        <w:tc>
          <w:tcPr>
            <w:tcW w:w="8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19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80" w:right="3860" w:hanging="631"/>
        <w:spacing w:after="0" w:line="28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2,758</w:t>
      </w:r>
    </w:p>
    <w:p>
      <w:pPr>
        <w:spacing w:after="0" w:line="202" w:lineRule="exact"/>
        <w:rPr>
          <w:rFonts w:ascii="Arial" w:cs="Arial" w:eastAsia="Arial" w:hAnsi="Arial"/>
          <w:sz w:val="18"/>
          <w:szCs w:val="18"/>
          <w:color w:val="auto"/>
        </w:rPr>
      </w:pPr>
    </w:p>
    <w:p>
      <w:pPr>
        <w:ind w:left="620" w:hanging="571"/>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71"/>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0.003%</w:t>
      </w:r>
    </w:p>
    <w:p>
      <w:pPr>
        <w:spacing w:after="0" w:line="247" w:lineRule="exact"/>
        <w:rPr>
          <w:sz w:val="20"/>
          <w:szCs w:val="20"/>
          <w:color w:val="auto"/>
        </w:rPr>
      </w:pPr>
    </w:p>
    <w:p>
      <w:pPr>
        <w:ind w:left="620" w:right="6200" w:hanging="571"/>
        <w:spacing w:after="0" w:line="532"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6491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491605"/>
                    </a:xfrm>
                    <a:prstGeom prst="rect">
                      <a:avLst/>
                    </a:prstGeom>
                    <a:noFill/>
                  </pic:spPr>
                </pic:pic>
              </a:graphicData>
            </a:graphic>
          </wp:anchor>
        </w:drawing>
      </w:r>
    </w:p>
    <w:p>
      <w:pPr>
        <w:spacing w:after="0" w:line="24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Fideicomiso Solmar*</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Perú</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(5)</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178,413</w:t>
            </w:r>
          </w:p>
        </w:tc>
        <w:tc>
          <w:tcPr>
            <w:tcW w:w="0" w:type="dxa"/>
            <w:vAlign w:val="bottom"/>
          </w:tcPr>
          <w:p>
            <w:pPr>
              <w:spacing w:after="0"/>
              <w:rPr>
                <w:sz w:val="1"/>
                <w:szCs w:val="1"/>
                <w:color w:val="auto"/>
              </w:rPr>
            </w:pPr>
          </w:p>
        </w:tc>
      </w:tr>
      <w:tr>
        <w:trPr>
          <w:trHeight w:val="237"/>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(6)</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18"/>
                <w:szCs w:val="18"/>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20" w:type="dxa"/>
            <w:vAlign w:val="bottom"/>
          </w:tcPr>
          <w:p>
            <w:pPr>
              <w:spacing w:after="0"/>
              <w:rPr>
                <w:sz w:val="9"/>
                <w:szCs w:val="9"/>
                <w:color w:val="auto"/>
              </w:rPr>
            </w:pPr>
          </w:p>
        </w:tc>
        <w:tc>
          <w:tcPr>
            <w:tcW w:w="9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20" w:type="dxa"/>
            <w:vAlign w:val="bottom"/>
            <w:tcBorders>
              <w:bottom w:val="single" w:sz="8" w:color="auto"/>
            </w:tcBorders>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20" w:type="dxa"/>
            <w:vAlign w:val="bottom"/>
            <w:vMerge w:val="continue"/>
          </w:tcPr>
          <w:p>
            <w:pPr>
              <w:spacing w:after="0"/>
              <w:rPr>
                <w:sz w:val="7"/>
                <w:szCs w:val="7"/>
                <w:color w:val="auto"/>
              </w:rPr>
            </w:pPr>
          </w:p>
        </w:tc>
        <w:tc>
          <w:tcPr>
            <w:tcW w:w="42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(7)</w:t>
            </w:r>
          </w:p>
        </w:tc>
        <w:tc>
          <w:tcPr>
            <w:tcW w:w="90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2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20" w:type="dxa"/>
            <w:vAlign w:val="bottom"/>
          </w:tcPr>
          <w:p>
            <w:pPr>
              <w:spacing w:after="0"/>
              <w:rPr>
                <w:sz w:val="18"/>
                <w:szCs w:val="18"/>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178,413</w:t>
            </w: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20" w:type="dxa"/>
            <w:vAlign w:val="bottom"/>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20" w:type="dxa"/>
            <w:vAlign w:val="bottom"/>
            <w:tcBorders>
              <w:bottom w:val="single" w:sz="8" w:color="auto"/>
            </w:tcBorders>
          </w:tcPr>
          <w:p>
            <w:pPr>
              <w:spacing w:after="0"/>
              <w:rPr>
                <w:sz w:val="13"/>
                <w:szCs w:val="13"/>
                <w:color w:val="auto"/>
              </w:rPr>
            </w:pPr>
          </w:p>
        </w:tc>
        <w:tc>
          <w:tcPr>
            <w:tcW w:w="9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80" w:hanging="567"/>
        <w:spacing w:after="0" w:line="509" w:lineRule="auto"/>
        <w:tabs>
          <w:tab w:leader="none" w:pos="25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6" w:lineRule="exact"/>
        <w:rPr>
          <w:rFonts w:ascii="Arial" w:cs="Arial" w:eastAsia="Arial" w:hAnsi="Arial"/>
          <w:sz w:val="18"/>
          <w:szCs w:val="18"/>
          <w:color w:val="auto"/>
        </w:rPr>
      </w:pPr>
    </w:p>
    <w:p>
      <w:pPr>
        <w:ind w:left="620" w:right="3860" w:hanging="571"/>
        <w:spacing w:after="0" w:line="524" w:lineRule="auto"/>
        <w:tabs>
          <w:tab w:leader="none" w:pos="62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178,413</w:t>
      </w:r>
    </w:p>
    <w:p>
      <w:pPr>
        <w:spacing w:after="0" w:line="1" w:lineRule="exact"/>
        <w:rPr>
          <w:rFonts w:ascii="Arial" w:cs="Arial" w:eastAsia="Arial" w:hAnsi="Arial"/>
          <w:sz w:val="18"/>
          <w:szCs w:val="18"/>
          <w:color w:val="auto"/>
        </w:rPr>
      </w:pPr>
    </w:p>
    <w:p>
      <w:pPr>
        <w:ind w:left="620" w:hanging="571"/>
        <w:spacing w:after="0"/>
        <w:tabs>
          <w:tab w:leader="none" w:pos="62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71"/>
        <w:spacing w:after="0"/>
        <w:tabs>
          <w:tab w:leader="none" w:pos="62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0.189%</w:t>
      </w:r>
    </w:p>
    <w:p>
      <w:pPr>
        <w:spacing w:after="0" w:line="261" w:lineRule="exact"/>
        <w:rPr>
          <w:rFonts w:ascii="Arial" w:cs="Arial" w:eastAsia="Arial" w:hAnsi="Arial"/>
          <w:sz w:val="18"/>
          <w:szCs w:val="18"/>
          <w:color w:val="auto"/>
        </w:rPr>
      </w:pPr>
    </w:p>
    <w:p>
      <w:pPr>
        <w:ind w:left="620" w:right="6200" w:hanging="571"/>
        <w:spacing w:after="0" w:line="511" w:lineRule="auto"/>
        <w:tabs>
          <w:tab w:leader="none" w:pos="62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OO</w:t>
      </w:r>
    </w:p>
    <w:p>
      <w:pPr>
        <w:spacing w:after="0"/>
        <w:rPr>
          <w:rFonts w:ascii="Arial" w:cs="Arial" w:eastAsia="Arial" w:hAnsi="Arial"/>
          <w:sz w:val="18"/>
          <w:szCs w:val="18"/>
          <w:color w:val="auto"/>
        </w:rPr>
      </w:pPr>
      <w:r>
        <w:rPr>
          <w:rFonts w:ascii="Arial" w:cs="Arial" w:eastAsia="Arial" w:hAnsi="Arial"/>
          <w:sz w:val="18"/>
          <w:szCs w:val="18"/>
          <w:color w:val="auto"/>
        </w:rPr>
        <w:t>* Fideicomiso Solmar is one of several trusts formed for the benefit of certain individuals who are members of the Romero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6491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491605"/>
                    </a:xfrm>
                    <a:prstGeom prst="rect">
                      <a:avLst/>
                    </a:prstGeom>
                    <a:noFill/>
                  </pic:spPr>
                </pic:pic>
              </a:graphicData>
            </a:graphic>
          </wp:anchor>
        </w:drawing>
      </w:r>
    </w:p>
    <w:p>
      <w:pPr>
        <w:spacing w:after="0" w:line="24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Grupo Rosta Internacional</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Panamá</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(5)</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37"/>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(6)</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20" w:type="dxa"/>
            <w:vAlign w:val="bottom"/>
          </w:tcPr>
          <w:p>
            <w:pPr>
              <w:spacing w:after="0"/>
              <w:rPr>
                <w:sz w:val="18"/>
                <w:szCs w:val="18"/>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20" w:type="dxa"/>
            <w:vAlign w:val="bottom"/>
          </w:tcPr>
          <w:p>
            <w:pPr>
              <w:spacing w:after="0"/>
              <w:rPr>
                <w:sz w:val="9"/>
                <w:szCs w:val="9"/>
                <w:color w:val="auto"/>
              </w:rPr>
            </w:pPr>
          </w:p>
        </w:tc>
        <w:tc>
          <w:tcPr>
            <w:tcW w:w="9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20" w:type="dxa"/>
            <w:vAlign w:val="bottom"/>
            <w:tcBorders>
              <w:bottom w:val="single" w:sz="8" w:color="auto"/>
            </w:tcBorders>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20" w:type="dxa"/>
            <w:vAlign w:val="bottom"/>
            <w:vMerge w:val="continue"/>
          </w:tcPr>
          <w:p>
            <w:pPr>
              <w:spacing w:after="0"/>
              <w:rPr>
                <w:sz w:val="7"/>
                <w:szCs w:val="7"/>
                <w:color w:val="auto"/>
              </w:rPr>
            </w:pPr>
          </w:p>
        </w:tc>
        <w:tc>
          <w:tcPr>
            <w:tcW w:w="42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(7)</w:t>
            </w:r>
          </w:p>
        </w:tc>
        <w:tc>
          <w:tcPr>
            <w:tcW w:w="90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2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20" w:type="dxa"/>
            <w:vAlign w:val="bottom"/>
          </w:tcPr>
          <w:p>
            <w:pPr>
              <w:spacing w:after="0"/>
              <w:rPr>
                <w:sz w:val="18"/>
                <w:szCs w:val="18"/>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20" w:type="dxa"/>
            <w:vAlign w:val="bottom"/>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2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20" w:type="dxa"/>
            <w:vAlign w:val="bottom"/>
            <w:tcBorders>
              <w:bottom w:val="single" w:sz="8" w:color="auto"/>
            </w:tcBorders>
          </w:tcPr>
          <w:p>
            <w:pPr>
              <w:spacing w:after="0"/>
              <w:rPr>
                <w:sz w:val="13"/>
                <w:szCs w:val="13"/>
                <w:color w:val="auto"/>
              </w:rPr>
            </w:pPr>
          </w:p>
        </w:tc>
        <w:tc>
          <w:tcPr>
            <w:tcW w:w="9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80" w:hanging="567"/>
        <w:spacing w:after="0" w:line="509" w:lineRule="auto"/>
        <w:tabs>
          <w:tab w:leader="none" w:pos="25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6" w:lineRule="exact"/>
        <w:rPr>
          <w:rFonts w:ascii="Arial" w:cs="Arial" w:eastAsia="Arial" w:hAnsi="Arial"/>
          <w:sz w:val="18"/>
          <w:szCs w:val="18"/>
          <w:color w:val="auto"/>
        </w:rPr>
      </w:pPr>
    </w:p>
    <w:p>
      <w:pPr>
        <w:ind w:left="620" w:right="3860" w:hanging="571"/>
        <w:spacing w:after="0" w:line="524"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4,314</w:t>
      </w:r>
    </w:p>
    <w:p>
      <w:pPr>
        <w:spacing w:after="0" w:line="1" w:lineRule="exact"/>
        <w:rPr>
          <w:rFonts w:ascii="Arial" w:cs="Arial" w:eastAsia="Arial" w:hAnsi="Arial"/>
          <w:sz w:val="18"/>
          <w:szCs w:val="18"/>
          <w:color w:val="auto"/>
        </w:rPr>
      </w:pPr>
    </w:p>
    <w:p>
      <w:pPr>
        <w:ind w:left="620" w:hanging="571"/>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480" w:hanging="571"/>
        <w:spacing w:after="0" w:line="524"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0.005%</w:t>
      </w:r>
    </w:p>
    <w:p>
      <w:pPr>
        <w:spacing w:after="0" w:line="1" w:lineRule="exact"/>
        <w:rPr>
          <w:rFonts w:ascii="Arial" w:cs="Arial" w:eastAsia="Arial" w:hAnsi="Arial"/>
          <w:sz w:val="18"/>
          <w:szCs w:val="18"/>
          <w:color w:val="auto"/>
        </w:rPr>
      </w:pPr>
    </w:p>
    <w:p>
      <w:pPr>
        <w:ind w:left="620" w:right="6200" w:hanging="571"/>
        <w:spacing w:after="0" w:line="53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Ana Silvia Guzman Portilla de Romero</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2,758</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3,358</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0.004%</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9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Rosalina María Helguero Romero</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11,360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0.012%</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10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High Inter Projects, Corp*</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2,867,829</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2,867,829</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2"/>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2,867,829</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hanging="583"/>
        <w:spacing w:after="0"/>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3.039%</w:t>
      </w:r>
    </w:p>
    <w:p>
      <w:pPr>
        <w:spacing w:after="0" w:line="261" w:lineRule="exact"/>
        <w:rPr>
          <w:rFonts w:ascii="Arial" w:cs="Arial" w:eastAsia="Arial" w:hAnsi="Arial"/>
          <w:sz w:val="18"/>
          <w:szCs w:val="18"/>
          <w:color w:val="auto"/>
        </w:rPr>
      </w:pPr>
    </w:p>
    <w:p>
      <w:pPr>
        <w:ind w:left="640" w:right="6180" w:hanging="583"/>
        <w:spacing w:after="0" w:line="511"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240"/>
        <w:spacing w:after="0" w:line="277" w:lineRule="auto"/>
        <w:rPr>
          <w:rFonts w:ascii="Arial" w:cs="Arial" w:eastAsia="Arial" w:hAnsi="Arial"/>
          <w:sz w:val="18"/>
          <w:szCs w:val="18"/>
          <w:color w:val="auto"/>
        </w:rPr>
      </w:pPr>
      <w:r>
        <w:rPr>
          <w:rFonts w:ascii="Arial" w:cs="Arial" w:eastAsia="Arial" w:hAnsi="Arial"/>
          <w:sz w:val="18"/>
          <w:szCs w:val="18"/>
          <w:color w:val="auto"/>
        </w:rPr>
        <w:t>* High Inter Projects, Corp.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-2592070</wp:posOffset>
            </wp:positionV>
            <wp:extent cx="7246620" cy="2298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11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Teresa Holder de Onrubia</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297,571</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297,571</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297,571</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0.315%</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12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Inversiones Casa Real</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3,000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0.003%</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13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Inversiones Piuranas S.A.*</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158,000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0.167%</w:t>
      </w:r>
    </w:p>
    <w:p>
      <w:pPr>
        <w:spacing w:after="0" w:line="1" w:lineRule="exact"/>
        <w:rPr>
          <w:rFonts w:ascii="Arial" w:cs="Arial" w:eastAsia="Arial" w:hAnsi="Arial"/>
          <w:sz w:val="18"/>
          <w:szCs w:val="18"/>
          <w:color w:val="auto"/>
        </w:rPr>
      </w:pPr>
    </w:p>
    <w:p>
      <w:pPr>
        <w:ind w:left="640" w:right="6180" w:hanging="583"/>
        <w:spacing w:after="0" w:line="511"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-2288540</wp:posOffset>
            </wp:positionV>
            <wp:extent cx="7246620" cy="2298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ind w:right="300"/>
        <w:spacing w:after="0" w:line="277" w:lineRule="auto"/>
        <w:rPr>
          <w:sz w:val="20"/>
          <w:szCs w:val="20"/>
          <w:color w:val="auto"/>
        </w:rPr>
      </w:pPr>
      <w:r>
        <w:rPr>
          <w:rFonts w:ascii="Arial" w:cs="Arial" w:eastAsia="Arial" w:hAnsi="Arial"/>
          <w:sz w:val="18"/>
          <w:szCs w:val="18"/>
          <w:color w:val="auto"/>
        </w:rPr>
        <w:t>*Inversiones Piuranas S.A.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14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La Roncadora S.A.*</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40,090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0.042%</w:t>
      </w:r>
    </w:p>
    <w:p>
      <w:pPr>
        <w:spacing w:after="0" w:line="1" w:lineRule="exact"/>
        <w:rPr>
          <w:rFonts w:ascii="Arial" w:cs="Arial" w:eastAsia="Arial" w:hAnsi="Arial"/>
          <w:sz w:val="18"/>
          <w:szCs w:val="18"/>
          <w:color w:val="auto"/>
        </w:rPr>
      </w:pPr>
    </w:p>
    <w:p>
      <w:pPr>
        <w:ind w:left="640" w:right="6180" w:hanging="583"/>
        <w:spacing w:after="0" w:line="511"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-2288540</wp:posOffset>
            </wp:positionV>
            <wp:extent cx="7246620" cy="2298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ind w:right="100"/>
        <w:spacing w:after="0" w:line="277" w:lineRule="auto"/>
        <w:rPr>
          <w:sz w:val="20"/>
          <w:szCs w:val="20"/>
          <w:color w:val="auto"/>
        </w:rPr>
      </w:pPr>
      <w:r>
        <w:rPr>
          <w:rFonts w:ascii="Arial" w:cs="Arial" w:eastAsia="Arial" w:hAnsi="Arial"/>
          <w:sz w:val="18"/>
          <w:szCs w:val="18"/>
          <w:color w:val="auto"/>
        </w:rPr>
        <w:t>*La Roncadora S.A. is controlled by various members of the Onrubia Holder family, which includes José Antonio Onrubia Holder, Eduardo Onrubia Holder, Luis Fernando Martin Onrubia Holder, and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15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Eduardo Victoriano Onrubia Holder</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40,090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140,090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0.148%</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16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José Antonio Onrubia Holder</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207,978</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8,689,234</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207,978</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8,689,234</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8,897,212</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9.425%</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17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Luis Fernando Martin Onrubia Holder</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192,013</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192,013</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40,090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232,103</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0.245%</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18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40" w:right="7840" w:hanging="583"/>
        <w:spacing w:after="0" w:line="555"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NAMES OF REPORTING PERSONS María Inmaculada Onrubia Holder</w:t>
      </w:r>
    </w:p>
    <w:p>
      <w:pPr>
        <w:ind w:left="640" w:hanging="583"/>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80" w:hanging="242"/>
        <w:spacing w:after="0" w:line="207" w:lineRule="exact"/>
        <w:tabs>
          <w:tab w:leader="none" w:pos="88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00" w:hanging="262"/>
        <w:spacing w:after="0" w:line="207" w:lineRule="exact"/>
        <w:tabs>
          <w:tab w:leader="none" w:pos="90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40" w:hanging="583"/>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40" w:right="6860" w:hanging="583"/>
        <w:spacing w:after="0" w:line="532"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ind w:left="2560" w:hanging="558"/>
        <w:spacing w:after="0"/>
        <w:tabs>
          <w:tab w:leader="none" w:pos="2560" w:val="left"/>
        </w:tabs>
        <w:numPr>
          <w:ilvl w:val="2"/>
          <w:numId w:val="35"/>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0237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023745"/>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218,503</w:t>
            </w:r>
          </w:p>
        </w:tc>
        <w:tc>
          <w:tcPr>
            <w:tcW w:w="0" w:type="dxa"/>
            <w:vAlign w:val="bottom"/>
          </w:tcPr>
          <w:p>
            <w:pPr>
              <w:spacing w:after="0"/>
              <w:rPr>
                <w:sz w:val="1"/>
                <w:szCs w:val="1"/>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bottom w:val="single" w:sz="8" w:color="auto"/>
            </w:tcBorders>
          </w:tcPr>
          <w:p>
            <w:pPr>
              <w:spacing w:after="0"/>
              <w:rPr>
                <w:sz w:val="19"/>
                <w:szCs w:val="19"/>
                <w:color w:val="auto"/>
              </w:rPr>
            </w:pPr>
          </w:p>
        </w:tc>
        <w:tc>
          <w:tcPr>
            <w:tcW w:w="9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900" w:type="dxa"/>
            <w:vAlign w:val="bottom"/>
          </w:tcPr>
          <w:p>
            <w:pPr>
              <w:spacing w:after="0" w:line="191" w:lineRule="exact"/>
              <w:rPr>
                <w:sz w:val="20"/>
                <w:szCs w:val="20"/>
                <w:color w:val="auto"/>
              </w:rPr>
            </w:pPr>
            <w:r>
              <w:rPr>
                <w:rFonts w:ascii="Arial" w:cs="Arial" w:eastAsia="Arial" w:hAnsi="Arial"/>
                <w:sz w:val="18"/>
                <w:szCs w:val="18"/>
                <w:b w:val="1"/>
                <w:bCs w:val="1"/>
                <w:color w:val="auto"/>
              </w:rPr>
              <w:t>OWNED BY</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2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9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218,503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2298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line="232" w:lineRule="exact"/>
        <w:rPr>
          <w:sz w:val="20"/>
          <w:szCs w:val="20"/>
          <w:color w:val="auto"/>
        </w:rPr>
      </w:pPr>
    </w:p>
    <w:p>
      <w:pPr>
        <w:ind w:left="640" w:right="3860" w:hanging="583"/>
        <w:spacing w:after="0" w:line="52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219,170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0.233%</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19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Patrimonio Fideicometido Angolo*</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24,663</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24,663</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2"/>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24,663</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hanging="583"/>
        <w:spacing w:after="0"/>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0.026%</w:t>
      </w:r>
    </w:p>
    <w:p>
      <w:pPr>
        <w:spacing w:after="0" w:line="261" w:lineRule="exact"/>
        <w:rPr>
          <w:rFonts w:ascii="Arial" w:cs="Arial" w:eastAsia="Arial" w:hAnsi="Arial"/>
          <w:sz w:val="18"/>
          <w:szCs w:val="18"/>
          <w:color w:val="auto"/>
        </w:rPr>
      </w:pPr>
    </w:p>
    <w:p>
      <w:pPr>
        <w:ind w:left="640" w:right="6180" w:hanging="583"/>
        <w:spacing w:after="0" w:line="511" w:lineRule="auto"/>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OO</w:t>
      </w:r>
    </w:p>
    <w:p>
      <w:pPr>
        <w:spacing w:after="0"/>
        <w:rPr>
          <w:rFonts w:ascii="Arial" w:cs="Arial" w:eastAsia="Arial" w:hAnsi="Arial"/>
          <w:sz w:val="18"/>
          <w:szCs w:val="18"/>
          <w:color w:val="auto"/>
        </w:rPr>
      </w:pPr>
      <w:r>
        <w:rPr>
          <w:rFonts w:ascii="Arial" w:cs="Arial" w:eastAsia="Arial" w:hAnsi="Arial"/>
          <w:sz w:val="18"/>
          <w:szCs w:val="18"/>
          <w:color w:val="auto"/>
        </w:rPr>
        <w:t>* Patrimonio Fideicometido Angolo is one of several trusts formed for the benefit of certain individuals who are members of the Romero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-2419985</wp:posOffset>
            </wp:positionV>
            <wp:extent cx="7246620" cy="2298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20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Reverades Holding Inc.*</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Seychelles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838,712</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838,712</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838,712</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0.889%</w:t>
      </w:r>
    </w:p>
    <w:p>
      <w:pPr>
        <w:spacing w:after="0" w:line="1" w:lineRule="exact"/>
        <w:rPr>
          <w:rFonts w:ascii="Arial" w:cs="Arial" w:eastAsia="Arial" w:hAnsi="Arial"/>
          <w:sz w:val="18"/>
          <w:szCs w:val="18"/>
          <w:color w:val="auto"/>
        </w:rPr>
      </w:pPr>
    </w:p>
    <w:p>
      <w:pPr>
        <w:ind w:left="640" w:right="6180" w:hanging="583"/>
        <w:spacing w:after="0" w:line="511"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-2288540</wp:posOffset>
            </wp:positionV>
            <wp:extent cx="7246620" cy="2298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*Reverades Holding Inc.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21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Rittenhouse Capital Ltd.*</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5,469,470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5,469,470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47"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5,469,470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5.795%</w:t>
      </w:r>
    </w:p>
    <w:p>
      <w:pPr>
        <w:spacing w:after="0" w:line="1" w:lineRule="exact"/>
        <w:rPr>
          <w:rFonts w:ascii="Arial" w:cs="Arial" w:eastAsia="Arial" w:hAnsi="Arial"/>
          <w:sz w:val="18"/>
          <w:szCs w:val="18"/>
          <w:color w:val="auto"/>
        </w:rPr>
      </w:pPr>
    </w:p>
    <w:p>
      <w:pPr>
        <w:ind w:left="640" w:right="6180" w:hanging="583"/>
        <w:spacing w:after="0" w:line="511"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-2288540</wp:posOffset>
            </wp:positionV>
            <wp:extent cx="7246620" cy="2298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ind w:right="340"/>
        <w:spacing w:after="0" w:line="277" w:lineRule="auto"/>
        <w:rPr>
          <w:sz w:val="20"/>
          <w:szCs w:val="20"/>
          <w:color w:val="auto"/>
        </w:rPr>
      </w:pPr>
      <w:r>
        <w:rPr>
          <w:rFonts w:ascii="Arial" w:cs="Arial" w:eastAsia="Arial" w:hAnsi="Arial"/>
          <w:sz w:val="18"/>
          <w:szCs w:val="18"/>
          <w:color w:val="auto"/>
        </w:rPr>
        <w:t>*Rittenhouse Capital Ltd..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22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Alfredo Romero Belismelis</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700,387</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700,387</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700,387</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0.742%</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23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Fernando Romero Belismelis</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707,195</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707,195</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707,195</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0.749%</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24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José Roberto Romero Belismelis</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15,214</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15,214</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0.016%</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25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Luis Romero Belismelis</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9,369,880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9,369,880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9,369,880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9.928%</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26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40" w:right="7840" w:hanging="583"/>
        <w:spacing w:after="0" w:line="555"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NAMES OF REPORTING PERSONS Manuel Antonio Romero Belismelis</w:t>
      </w:r>
    </w:p>
    <w:p>
      <w:pPr>
        <w:ind w:left="640" w:hanging="58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80" w:hanging="242"/>
        <w:spacing w:after="0" w:line="207" w:lineRule="exact"/>
        <w:tabs>
          <w:tab w:leader="none" w:pos="880" w:val="left"/>
        </w:tabs>
        <w:numPr>
          <w:ilvl w:val="1"/>
          <w:numId w:val="5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00" w:hanging="262"/>
        <w:spacing w:after="0" w:line="207" w:lineRule="exact"/>
        <w:tabs>
          <w:tab w:leader="none" w:pos="900" w:val="left"/>
        </w:tabs>
        <w:numPr>
          <w:ilvl w:val="1"/>
          <w:numId w:val="5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40" w:hanging="58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40" w:right="6860" w:hanging="583"/>
        <w:spacing w:after="0" w:line="532"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ind w:left="2560" w:hanging="558"/>
        <w:spacing w:after="0"/>
        <w:tabs>
          <w:tab w:leader="none" w:pos="2560" w:val="left"/>
        </w:tabs>
        <w:numPr>
          <w:ilvl w:val="2"/>
          <w:numId w:val="51"/>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8865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86585"/>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30,861</w:t>
            </w:r>
          </w:p>
        </w:tc>
        <w:tc>
          <w:tcPr>
            <w:tcW w:w="0" w:type="dxa"/>
            <w:vAlign w:val="bottom"/>
          </w:tcPr>
          <w:p>
            <w:pPr>
              <w:spacing w:after="0"/>
              <w:rPr>
                <w:sz w:val="1"/>
                <w:szCs w:val="1"/>
                <w:color w:val="auto"/>
              </w:rPr>
            </w:pPr>
          </w:p>
        </w:tc>
      </w:tr>
      <w:tr>
        <w:trPr>
          <w:trHeight w:val="124"/>
        </w:trPr>
        <w:tc>
          <w:tcPr>
            <w:tcW w:w="1900" w:type="dxa"/>
            <w:vAlign w:val="bottom"/>
            <w:vMerge w:val="continue"/>
          </w:tcPr>
          <w:p>
            <w:pPr>
              <w:spacing w:after="0"/>
              <w:rPr>
                <w:sz w:val="10"/>
                <w:szCs w:val="10"/>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vMerge w:val="continue"/>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20" w:type="dxa"/>
            <w:vAlign w:val="bottom"/>
            <w:vMerge w:val="restart"/>
          </w:tcPr>
          <w:p>
            <w:pPr>
              <w:ind w:left="220"/>
              <w:spacing w:after="0"/>
              <w:rPr>
                <w:sz w:val="20"/>
                <w:szCs w:val="20"/>
                <w:color w:val="auto"/>
              </w:rPr>
            </w:pPr>
            <w:r>
              <w:rPr>
                <w:rFonts w:ascii="Arial" w:cs="Arial" w:eastAsia="Arial" w:hAnsi="Arial"/>
                <w:sz w:val="18"/>
                <w:szCs w:val="18"/>
                <w:color w:val="auto"/>
              </w:rPr>
              <w:t>726,928</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30,861</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395" w:lineRule="auto"/>
        <w:tabs>
          <w:tab w:leader="none" w:pos="2560" w:val="left"/>
        </w:tabs>
        <w:numPr>
          <w:ilvl w:val="1"/>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726,928</w:t>
      </w:r>
    </w:p>
    <w:p>
      <w:pPr>
        <w:ind w:left="640" w:right="3860" w:hanging="583"/>
        <w:spacing w:after="0" w:line="524"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757,789</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0.803%</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27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Calixto Romero Guzmán</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8,649,144</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8,649,144</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8,649,144</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9.165%</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28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Ana María Romero Paoletti de Sacchi</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6,150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6,150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0.007%</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29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Dionisio Romero Paoletti</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126,020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8,649,144</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126,020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8,649,144</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8,775,164</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9.431%</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30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40" w:right="7840" w:hanging="583"/>
        <w:spacing w:after="0" w:line="555"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NAMES OF REPORTING PERSONS Marianella Romero Guzmán</w:t>
      </w:r>
    </w:p>
    <w:p>
      <w:pPr>
        <w:ind w:left="640" w:hanging="583"/>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80" w:hanging="242"/>
        <w:spacing w:after="0" w:line="207" w:lineRule="exact"/>
        <w:tabs>
          <w:tab w:leader="none" w:pos="880" w:val="left"/>
        </w:tabs>
        <w:numPr>
          <w:ilvl w:val="1"/>
          <w:numId w:val="6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00" w:hanging="262"/>
        <w:spacing w:after="0" w:line="207" w:lineRule="exact"/>
        <w:tabs>
          <w:tab w:leader="none" w:pos="900" w:val="left"/>
        </w:tabs>
        <w:numPr>
          <w:ilvl w:val="1"/>
          <w:numId w:val="6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40" w:hanging="583"/>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40" w:right="6860" w:hanging="583"/>
        <w:spacing w:after="0" w:line="532"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ind w:left="2560" w:hanging="558"/>
        <w:spacing w:after="0"/>
        <w:tabs>
          <w:tab w:leader="none" w:pos="2560" w:val="left"/>
        </w:tabs>
        <w:numPr>
          <w:ilvl w:val="2"/>
          <w:numId w:val="60"/>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0237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023745"/>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26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90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2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2,758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65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886585"/>
                    </a:xfrm>
                    <a:prstGeom prst="rect">
                      <a:avLst/>
                    </a:prstGeom>
                    <a:noFill/>
                  </pic:spPr>
                </pic:pic>
              </a:graphicData>
            </a:graphic>
          </wp:anchor>
        </w:drawing>
      </w:r>
    </w:p>
    <w:p>
      <w:pPr>
        <w:spacing w:after="0" w:line="39" w:lineRule="exact"/>
        <w:rPr>
          <w:sz w:val="20"/>
          <w:szCs w:val="20"/>
          <w:color w:val="auto"/>
        </w:rPr>
      </w:pPr>
    </w:p>
    <w:p>
      <w:pPr>
        <w:ind w:left="680" w:right="3860" w:hanging="623"/>
        <w:spacing w:after="0" w:line="282"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2,758</w:t>
      </w:r>
    </w:p>
    <w:p>
      <w:pPr>
        <w:spacing w:after="0" w:line="202" w:lineRule="exact"/>
        <w:rPr>
          <w:rFonts w:ascii="Arial" w:cs="Arial" w:eastAsia="Arial" w:hAnsi="Arial"/>
          <w:sz w:val="18"/>
          <w:szCs w:val="18"/>
          <w:color w:val="auto"/>
        </w:rPr>
      </w:pPr>
    </w:p>
    <w:p>
      <w:pPr>
        <w:ind w:left="640" w:hanging="583"/>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hanging="583"/>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0.003%</w:t>
      </w:r>
    </w:p>
    <w:p>
      <w:pPr>
        <w:spacing w:after="0" w:line="46" w:lineRule="exact"/>
        <w:rPr>
          <w:sz w:val="20"/>
          <w:szCs w:val="20"/>
          <w:color w:val="auto"/>
        </w:rPr>
      </w:pPr>
    </w:p>
    <w:p>
      <w:pPr>
        <w:ind w:left="640" w:hanging="583"/>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31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Dionisio Romero Seminario</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1,714,359</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1,714,359</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1,714,359</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1.817%</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32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Rubyfield Investments Ltd.*</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Seychelles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875,647</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875,647</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875,647</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0.928%</w:t>
      </w:r>
    </w:p>
    <w:p>
      <w:pPr>
        <w:spacing w:after="0" w:line="1" w:lineRule="exact"/>
        <w:rPr>
          <w:rFonts w:ascii="Arial" w:cs="Arial" w:eastAsia="Arial" w:hAnsi="Arial"/>
          <w:sz w:val="18"/>
          <w:szCs w:val="18"/>
          <w:color w:val="auto"/>
        </w:rPr>
      </w:pPr>
    </w:p>
    <w:p>
      <w:pPr>
        <w:ind w:left="640" w:right="6180" w:hanging="583"/>
        <w:spacing w:after="0" w:line="511"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-2288540</wp:posOffset>
            </wp:positionV>
            <wp:extent cx="7246620" cy="22980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*Rubyfield Investments Ltd.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33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Paolo Mario Sacchi Giurato</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6,150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6,150</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right="5480" w:hanging="583"/>
        <w:spacing w:after="0" w:line="524"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0.007%</w:t>
      </w:r>
    </w:p>
    <w:p>
      <w:pPr>
        <w:spacing w:after="0" w:line="1" w:lineRule="exact"/>
        <w:rPr>
          <w:rFonts w:ascii="Arial" w:cs="Arial" w:eastAsia="Arial" w:hAnsi="Arial"/>
          <w:sz w:val="18"/>
          <w:szCs w:val="18"/>
          <w:color w:val="auto"/>
        </w:rPr>
      </w:pPr>
    </w:p>
    <w:p>
      <w:pPr>
        <w:ind w:left="640" w:right="6180" w:hanging="583"/>
        <w:spacing w:after="0" w:line="532"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-2311400</wp:posOffset>
            </wp:positionV>
            <wp:extent cx="7246620" cy="2298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34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Maray S.A.*</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693,073</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693,073</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2"/>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693,073</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hanging="583"/>
        <w:spacing w:after="0"/>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0.734%</w:t>
      </w:r>
    </w:p>
    <w:p>
      <w:pPr>
        <w:spacing w:after="0" w:line="261" w:lineRule="exact"/>
        <w:rPr>
          <w:rFonts w:ascii="Arial" w:cs="Arial" w:eastAsia="Arial" w:hAnsi="Arial"/>
          <w:sz w:val="18"/>
          <w:szCs w:val="18"/>
          <w:color w:val="auto"/>
        </w:rPr>
      </w:pPr>
    </w:p>
    <w:p>
      <w:pPr>
        <w:ind w:left="640" w:right="6180" w:hanging="583"/>
        <w:spacing w:after="0" w:line="511" w:lineRule="auto"/>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Maray S.A. is owned and controlled by various members of the Romero Belismelis family, which includes Alfredo Romero Belismelis, Fernando Romero Belismelis, José Roberto Romero Belismelis, Luis Romero Belismelis, and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-2592070</wp:posOffset>
            </wp:positionV>
            <wp:extent cx="7246620" cy="2298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35 of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0326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spacing w:after="0" w:line="24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NAMES OF REPORTING PERSONS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Urigeler International S.A.*</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2"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SEC USE ONLY</w:t>
      </w:r>
    </w:p>
    <w:p>
      <w:pPr>
        <w:spacing w:after="0" w:line="266"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160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77,806</w:t>
            </w:r>
          </w:p>
        </w:tc>
        <w:tc>
          <w:tcPr>
            <w:tcW w:w="0" w:type="dxa"/>
            <w:vAlign w:val="bottom"/>
          </w:tcPr>
          <w:p>
            <w:pPr>
              <w:spacing w:after="0"/>
              <w:rPr>
                <w:sz w:val="1"/>
                <w:szCs w:val="1"/>
                <w:color w:val="auto"/>
              </w:rPr>
            </w:pPr>
          </w:p>
        </w:tc>
      </w:tr>
      <w:tr>
        <w:trPr>
          <w:trHeight w:val="237"/>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2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9"/>
                <w:szCs w:val="9"/>
                <w:color w:val="auto"/>
              </w:rPr>
            </w:pP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9"/>
                <w:szCs w:val="9"/>
                <w:color w:val="auto"/>
              </w:rPr>
            </w:pPr>
          </w:p>
        </w:tc>
        <w:tc>
          <w:tcPr>
            <w:tcW w:w="9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20" w:type="dxa"/>
            <w:vAlign w:val="bottom"/>
            <w:vMerge w:val="restart"/>
          </w:tcPr>
          <w:p>
            <w:pPr>
              <w:ind w:left="160"/>
              <w:spacing w:after="0"/>
              <w:rPr>
                <w:sz w:val="20"/>
                <w:szCs w:val="20"/>
                <w:color w:val="auto"/>
              </w:rPr>
            </w:pPr>
            <w:r>
              <w:rPr>
                <w:rFonts w:ascii="Arial" w:cs="Arial" w:eastAsia="Arial" w:hAnsi="Arial"/>
                <w:sz w:val="18"/>
                <w:szCs w:val="18"/>
                <w:color w:val="auto"/>
              </w:rPr>
              <w:t>77,806</w:t>
            </w: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9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9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tcBorders>
          </w:tcPr>
          <w:p>
            <w:pPr>
              <w:spacing w:after="0"/>
              <w:rPr>
                <w:sz w:val="13"/>
                <w:szCs w:val="13"/>
                <w:color w:val="auto"/>
              </w:rPr>
            </w:pPr>
          </w:p>
        </w:tc>
        <w:tc>
          <w:tcPr>
            <w:tcW w:w="9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90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60" w:right="6160" w:hanging="558"/>
        <w:spacing w:after="0" w:line="509" w:lineRule="auto"/>
        <w:tabs>
          <w:tab w:leader="none" w:pos="2560" w:val="left"/>
        </w:tabs>
        <w:numPr>
          <w:ilvl w:val="2"/>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rFonts w:ascii="Arial" w:cs="Arial" w:eastAsia="Arial" w:hAnsi="Arial"/>
          <w:sz w:val="18"/>
          <w:szCs w:val="18"/>
          <w:color w:val="auto"/>
        </w:rPr>
      </w:pPr>
    </w:p>
    <w:p>
      <w:pPr>
        <w:ind w:left="640" w:right="3860" w:hanging="583"/>
        <w:spacing w:after="0" w:line="524"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77,806</w:t>
      </w:r>
    </w:p>
    <w:p>
      <w:pPr>
        <w:spacing w:after="0" w:line="1" w:lineRule="exact"/>
        <w:rPr>
          <w:rFonts w:ascii="Arial" w:cs="Arial" w:eastAsia="Arial" w:hAnsi="Arial"/>
          <w:sz w:val="18"/>
          <w:szCs w:val="18"/>
          <w:color w:val="auto"/>
        </w:rPr>
      </w:pPr>
    </w:p>
    <w:p>
      <w:pPr>
        <w:ind w:left="640" w:hanging="583"/>
        <w:spacing w:after="0"/>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40" w:hanging="583"/>
        <w:spacing w:after="0"/>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0.082%</w:t>
      </w:r>
    </w:p>
    <w:p>
      <w:pPr>
        <w:spacing w:after="0" w:line="261" w:lineRule="exact"/>
        <w:rPr>
          <w:rFonts w:ascii="Arial" w:cs="Arial" w:eastAsia="Arial" w:hAnsi="Arial"/>
          <w:sz w:val="18"/>
          <w:szCs w:val="18"/>
          <w:color w:val="auto"/>
        </w:rPr>
      </w:pPr>
    </w:p>
    <w:p>
      <w:pPr>
        <w:ind w:left="640" w:right="6180" w:hanging="583"/>
        <w:spacing w:after="0" w:line="511"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Urigeler International S.A.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-2592070</wp:posOffset>
            </wp:positionV>
            <wp:extent cx="7246620" cy="2298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36 of 84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for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Banco de Crédito del Perú</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Centenario N° 156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B attached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37 of 84 Pages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21</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Shares, par value $5.00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G2519Y108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38 of 84 Pages</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14</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15</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16</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17</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18</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19</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20</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21</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22</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23</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24</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25</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26</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27</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28</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29</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30</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31</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32</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33</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34</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35</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2</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3</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4</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5</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6</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7</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8</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9</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10</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11</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12</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13</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14</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15</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16</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17</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18</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19</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20</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21</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8" w:name="page39"/>
    <w:bookmarkEnd w:id="3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39 of 84 Pages</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23</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Number of shares as to which the person has:</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 Sole power to vote or to direct the vote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9" w:name="page40"/>
    <w:bookmarkEnd w:id="3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40 of 84 Pages</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35</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(ii) Shared power to vote or to direct the vote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40" w:name="page41"/>
    <w:bookmarkEnd w:id="4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41 of 84 Pages</w:t>
      </w:r>
    </w:p>
    <w:p>
      <w:pPr>
        <w:sectPr>
          <w:pgSz w:w="11900" w:h="16838" w:orient="portrait"/>
          <w:cols w:equalWidth="0" w:num="1">
            <w:col w:w="11420"/>
          </w:cols>
          <w:pgMar w:left="240" w:top="909" w:right="239" w:bottom="1440" w:gutter="0" w:footer="0" w:header="0"/>
        </w:sectPr>
      </w:pPr>
    </w:p>
    <w:p>
      <w:pPr>
        <w:spacing w:after="0" w:line="225" w:lineRule="exact"/>
        <w:rPr>
          <w:sz w:val="20"/>
          <w:szCs w:val="20"/>
          <w:color w:val="auto"/>
        </w:rPr>
      </w:pPr>
    </w:p>
    <w:p>
      <w:pPr>
        <w:ind w:left="1300" w:hanging="320"/>
        <w:spacing w:after="0"/>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w:t>
      </w:r>
    </w:p>
    <w:p>
      <w:pPr>
        <w:spacing w:after="0" w:line="236" w:lineRule="exact"/>
        <w:rPr>
          <w:rFonts w:ascii="Arial" w:cs="Arial" w:eastAsia="Arial" w:hAnsi="Arial"/>
          <w:sz w:val="17"/>
          <w:szCs w:val="17"/>
          <w:color w:val="auto"/>
        </w:rPr>
      </w:pPr>
    </w:p>
    <w:p>
      <w:pPr>
        <w:ind w:left="1300" w:right="8500"/>
        <w:spacing w:after="0" w:line="303" w:lineRule="auto"/>
        <w:rPr>
          <w:rFonts w:ascii="Arial" w:cs="Arial" w:eastAsia="Arial" w:hAnsi="Arial"/>
          <w:sz w:val="17"/>
          <w:szCs w:val="17"/>
          <w:color w:val="auto"/>
        </w:rPr>
      </w:pPr>
      <w:r>
        <w:rPr>
          <w:rFonts w:ascii="Arial" w:cs="Arial" w:eastAsia="Arial" w:hAnsi="Arial"/>
          <w:sz w:val="15"/>
          <w:szCs w:val="15"/>
          <w:color w:val="auto"/>
        </w:rPr>
        <w:t>See Item 7 on Page 2 See Item 7 on Page 3 See Item 7 on Page 4 See Item 7 on Page 5 See Item 7 on Page 6 See Item 7 on Page 7 See Item 7 on Page 8 See Item 7 on Page 9 See Item 7 on Page 10 See Item 7 on Page 11 See Item 7 on Page 12 See Item 7 on Page 13 See Item 7 on Page 14 See Item 7 on Page 15 See Item 7 on Page 16 See Item 7 on Page 17 See Item 7 on Page 18 See Item 7 on Page 19 See Item 7 on Page 20 See Item 7 on Page 21 See Item 7 on Page 22 See Item 7 on Page 23 See Item 7 on Page 24 See Item 7 on Page 25 See Item 7 on Page 26 See Item 7 on Page 27 See Item 7 on Page 28 See Item 7 on Page 29 See Item 7 on Page 30 See Item 7 on Page 31 See Item 7 on Page 32 See Item 7 on Page 33 See Item 7 on Page 34 See Item 7 on Page 35</w:t>
      </w:r>
    </w:p>
    <w:p>
      <w:pPr>
        <w:spacing w:after="0" w:line="159" w:lineRule="exact"/>
        <w:rPr>
          <w:rFonts w:ascii="Arial" w:cs="Arial" w:eastAsia="Arial" w:hAnsi="Arial"/>
          <w:sz w:val="17"/>
          <w:szCs w:val="17"/>
          <w:color w:val="auto"/>
        </w:rPr>
      </w:pPr>
    </w:p>
    <w:p>
      <w:pPr>
        <w:ind w:left="1280" w:hanging="300"/>
        <w:spacing w:after="0"/>
        <w:tabs>
          <w:tab w:leader="none" w:pos="12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248" w:lineRule="exact"/>
        <w:rPr>
          <w:rFonts w:ascii="Arial" w:cs="Arial" w:eastAsia="Arial" w:hAnsi="Arial"/>
          <w:sz w:val="16"/>
          <w:szCs w:val="16"/>
          <w:color w:val="auto"/>
        </w:rPr>
      </w:pPr>
    </w:p>
    <w:p>
      <w:pPr>
        <w:jc w:val="both"/>
        <w:ind w:left="1300" w:right="8600"/>
        <w:spacing w:after="0" w:line="320" w:lineRule="auto"/>
        <w:rPr>
          <w:rFonts w:ascii="Arial" w:cs="Arial" w:eastAsia="Arial" w:hAnsi="Arial"/>
          <w:sz w:val="16"/>
          <w:szCs w:val="16"/>
          <w:color w:val="auto"/>
        </w:rPr>
      </w:pPr>
      <w:r>
        <w:rPr>
          <w:rFonts w:ascii="Arial" w:cs="Arial" w:eastAsia="Arial" w:hAnsi="Arial"/>
          <w:sz w:val="15"/>
          <w:szCs w:val="15"/>
          <w:color w:val="auto"/>
        </w:rPr>
        <w:t>See Item 8 on Page 2 See Item 8 on Page 3 See Item 8 on Page 4 See Item 8 on Page 5 See Item 8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41" w:name="page42"/>
    <w:bookmarkEnd w:id="4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42 of 84 Pages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7</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4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C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43 of 84 Pages</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44 of 84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51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February 11, 2020</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Dionisio Romero Paoletti</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Dionisio Romero Paoletti</w:t>
      </w:r>
    </w:p>
    <w:p>
      <w:pPr>
        <w:spacing w:after="0" w:line="23"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45 of 84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Statement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Names of Persons Filing</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Identification and Classification of Members of Group</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Powers of Attorney with English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60"/>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46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w:t>
      </w:r>
    </w:p>
    <w:p>
      <w:pPr>
        <w:spacing w:after="0" w:line="211" w:lineRule="exact"/>
        <w:rPr>
          <w:sz w:val="20"/>
          <w:szCs w:val="20"/>
          <w:color w:val="auto"/>
        </w:rPr>
      </w:pPr>
    </w:p>
    <w:p>
      <w:pPr>
        <w:ind w:firstLine="519"/>
        <w:spacing w:after="0" w:line="277"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Dionisio Romero Paoletti.</w:t>
      </w:r>
    </w:p>
    <w:p>
      <w:pPr>
        <w:spacing w:after="0" w:line="170" w:lineRule="exact"/>
        <w:rPr>
          <w:sz w:val="20"/>
          <w:szCs w:val="20"/>
          <w:color w:val="auto"/>
        </w:rPr>
      </w:pPr>
    </w:p>
    <w:p>
      <w:pPr>
        <w:ind w:firstLine="519"/>
        <w:spacing w:after="0" w:line="308" w:lineRule="auto"/>
        <w:rPr>
          <w:sz w:val="20"/>
          <w:szCs w:val="20"/>
          <w:color w:val="auto"/>
        </w:rPr>
      </w:pPr>
      <w:r>
        <w:rPr>
          <w:rFonts w:ascii="Arial" w:cs="Arial" w:eastAsia="Arial" w:hAnsi="Arial"/>
          <w:sz w:val="17"/>
          <w:szCs w:val="17"/>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Date:February 3, 2020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Arnueld Limited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Ursula Martina Bernard Valderrama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Fideicomiso Solmar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Guzman Portilla de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María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Roberto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María Romero Paoletti de Sacchi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Marianella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47 of 84 Pages</w:t>
      </w:r>
    </w:p>
    <w:p>
      <w:pPr>
        <w:sectPr>
          <w:pgSz w:w="11900" w:h="16838" w:orient="portrait"/>
          <w:cols w:equalWidth="0" w:num="1">
            <w:col w:w="11420"/>
          </w:cols>
          <w:pgMar w:left="240" w:top="909" w:right="239" w:bottom="1440" w:gutter="0" w:footer="0" w:header="0"/>
        </w:sect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Maray S.A.</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Urigeler International S.A.</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Dionisio Romero Paoletti</w:t>
      </w:r>
    </w:p>
    <w:p>
      <w:pPr>
        <w:spacing w:after="0" w:line="23" w:lineRule="exact"/>
        <w:rPr>
          <w:sz w:val="20"/>
          <w:szCs w:val="20"/>
          <w:color w:val="auto"/>
        </w:rPr>
      </w:pPr>
    </w:p>
    <w:p>
      <w:pPr>
        <w:jc w:val="right"/>
        <w:ind w:right="3000"/>
        <w:spacing w:after="0"/>
        <w:rPr>
          <w:sz w:val="20"/>
          <w:szCs w:val="20"/>
          <w:color w:val="auto"/>
        </w:rPr>
      </w:pPr>
      <w:r>
        <w:rPr>
          <w:rFonts w:ascii="Arial" w:cs="Arial" w:eastAsia="Arial" w:hAnsi="Arial"/>
          <w:sz w:val="18"/>
          <w:szCs w:val="18"/>
          <w:color w:val="auto"/>
        </w:rPr>
        <w:t>Name: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47" w:name="page48"/>
    <w:bookmarkEnd w:id="4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48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Names of Persons Filing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Arnueld Limited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Ursula Martina Bernard Valderrama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Fideicomiso Solmar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Guzman Portilla de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María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Roberto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María Romero Paoletti de Sacchi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Marianella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Paolo Mario Sacchi Giurato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Urigeler International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49 of 84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CUSIP No. G2519Y108</w:t>
            </w:r>
          </w:p>
        </w:tc>
        <w:tc>
          <w:tcPr>
            <w:tcW w:w="4660" w:type="dxa"/>
            <w:vAlign w:val="bottom"/>
          </w:tcPr>
          <w:p>
            <w:pPr>
              <w:jc w:val="center"/>
              <w:ind w:right="610"/>
              <w:spacing w:after="0"/>
              <w:rPr>
                <w:sz w:val="20"/>
                <w:szCs w:val="20"/>
                <w:color w:val="auto"/>
              </w:rPr>
            </w:pPr>
            <w:r>
              <w:rPr>
                <w:rFonts w:ascii="Arial" w:cs="Arial" w:eastAsia="Arial" w:hAnsi="Arial"/>
                <w:sz w:val="18"/>
                <w:szCs w:val="18"/>
                <w:color w:val="auto"/>
                <w:w w:val="93"/>
              </w:rPr>
              <w:t>SCHEDULE 13G</w:t>
            </w:r>
          </w:p>
        </w:tc>
        <w:tc>
          <w:tcPr>
            <w:tcW w:w="3020" w:type="dxa"/>
            <w:vAlign w:val="bottom"/>
          </w:tcPr>
          <w:p>
            <w:pPr>
              <w:ind w:left="1560"/>
              <w:spacing w:after="0"/>
              <w:rPr>
                <w:sz w:val="20"/>
                <w:szCs w:val="20"/>
                <w:color w:val="auto"/>
              </w:rPr>
            </w:pPr>
            <w:r>
              <w:rPr>
                <w:rFonts w:ascii="Arial" w:cs="Arial" w:eastAsia="Arial" w:hAnsi="Arial"/>
                <w:sz w:val="18"/>
                <w:szCs w:val="18"/>
                <w:color w:val="auto"/>
                <w:w w:val="85"/>
              </w:rPr>
              <w:t>Page 50 of 84 Pages</w:t>
            </w:r>
          </w:p>
        </w:tc>
        <w:tc>
          <w:tcPr>
            <w:tcW w:w="0" w:type="dxa"/>
            <w:vAlign w:val="bottom"/>
          </w:tcPr>
          <w:p>
            <w:pPr>
              <w:spacing w:after="0"/>
              <w:rPr>
                <w:sz w:val="1"/>
                <w:szCs w:val="1"/>
                <w:color w:val="auto"/>
              </w:rPr>
            </w:pPr>
          </w:p>
        </w:tc>
      </w:tr>
      <w:tr>
        <w:trPr>
          <w:trHeight w:val="418"/>
        </w:trPr>
        <w:tc>
          <w:tcPr>
            <w:tcW w:w="3740" w:type="dxa"/>
            <w:vAlign w:val="bottom"/>
          </w:tcPr>
          <w:p>
            <w:pPr>
              <w:spacing w:after="0"/>
              <w:rPr>
                <w:sz w:val="24"/>
                <w:szCs w:val="24"/>
                <w:color w:val="auto"/>
              </w:rPr>
            </w:pPr>
          </w:p>
        </w:tc>
        <w:tc>
          <w:tcPr>
            <w:tcW w:w="4660" w:type="dxa"/>
            <w:vAlign w:val="bottom"/>
          </w:tcPr>
          <w:p>
            <w:pPr>
              <w:jc w:val="center"/>
              <w:ind w:right="630"/>
              <w:spacing w:after="0"/>
              <w:rPr>
                <w:sz w:val="20"/>
                <w:szCs w:val="20"/>
                <w:color w:val="auto"/>
              </w:rPr>
            </w:pPr>
            <w:r>
              <w:rPr>
                <w:rFonts w:ascii="Arial" w:cs="Arial" w:eastAsia="Arial" w:hAnsi="Arial"/>
                <w:sz w:val="18"/>
                <w:szCs w:val="18"/>
                <w:color w:val="auto"/>
                <w:w w:val="91"/>
              </w:rPr>
              <w:t>Exhibit C to Schedule 13G</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vMerge w:val="restart"/>
          </w:tcPr>
          <w:p>
            <w:pPr>
              <w:spacing w:after="0"/>
              <w:rPr>
                <w:sz w:val="20"/>
                <w:szCs w:val="20"/>
                <w:color w:val="auto"/>
              </w:rPr>
            </w:pPr>
            <w:r>
              <w:rPr>
                <w:rFonts w:ascii="Arial" w:cs="Arial" w:eastAsia="Arial" w:hAnsi="Arial"/>
                <w:sz w:val="18"/>
                <w:szCs w:val="18"/>
                <w:color w:val="auto"/>
              </w:rPr>
              <w:t>Members of Group:</w:t>
            </w:r>
          </w:p>
        </w:tc>
        <w:tc>
          <w:tcPr>
            <w:tcW w:w="4660" w:type="dxa"/>
            <w:vAlign w:val="bottom"/>
          </w:tcPr>
          <w:p>
            <w:pPr>
              <w:jc w:val="center"/>
              <w:ind w:right="630"/>
              <w:spacing w:after="0"/>
              <w:rPr>
                <w:sz w:val="20"/>
                <w:szCs w:val="20"/>
                <w:color w:val="auto"/>
              </w:rPr>
            </w:pPr>
            <w:r>
              <w:rPr>
                <w:rFonts w:ascii="Arial" w:cs="Arial" w:eastAsia="Arial" w:hAnsi="Arial"/>
                <w:sz w:val="18"/>
                <w:szCs w:val="18"/>
                <w:color w:val="auto"/>
                <w:w w:val="93"/>
              </w:rPr>
              <w:t>Identification and Classification of Members of Group</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740" w:type="dxa"/>
            <w:vAlign w:val="bottom"/>
          </w:tcPr>
          <w:p>
            <w:pPr>
              <w:ind w:left="520"/>
              <w:spacing w:after="0"/>
              <w:rPr>
                <w:sz w:val="20"/>
                <w:szCs w:val="20"/>
                <w:color w:val="auto"/>
              </w:rPr>
            </w:pPr>
            <w:r>
              <w:rPr>
                <w:rFonts w:ascii="Arial" w:cs="Arial" w:eastAsia="Arial" w:hAnsi="Arial"/>
                <w:sz w:val="18"/>
                <w:szCs w:val="18"/>
                <w:color w:val="auto"/>
              </w:rPr>
              <w:t>Arnueld Limited (CO)</w:t>
            </w:r>
          </w:p>
        </w:tc>
        <w:tc>
          <w:tcPr>
            <w:tcW w:w="4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Ursula Martina Bernard Valderrama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Birmingham Merchant S.A.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Ana Sylvia Romero Guzmán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Fideicomiso Solmar (OO)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Grupo Rosta Internacional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w w:val="93"/>
              </w:rPr>
              <w:t>Ana Silvia Guzman Portilla de Romero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Rosalina María Helguero Romero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High Inter Projects, Corp.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Teresa Holder de Onrubia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Inversiones Casa Real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Inversiones Piuranas, S.A.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La Roncadora S.A.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Eduardo Victoriano Onrubia Holder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José Antonio Onrubia Holder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w w:val="96"/>
              </w:rPr>
              <w:t>Luis Fernando Martin Onrubia Holder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María Inmaculada Onrubia Holder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Patrimonio Fideicometido Angolo (OO)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Reverades Holding Inc.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Rittenhouse Capital Ltd.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Alfredo Romero Belismelis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Fernando Romero Belismelis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José Roberto Romero Belismelis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Luis Romero Belismelis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Manuel Antonio Romero Belismelis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Calixto Romero Guzmán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w w:val="95"/>
              </w:rPr>
              <w:t>Ana María Romero Paoletti de Sacchi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Dionisio Romero Paoletti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Marianella Romero Guzmán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Dionisio Romero Seminario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Rubyfield Investments Ltd.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Paolo Mario Sacchi Giurato (IN)</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Maray S.A. (CO)</w:t>
            </w:r>
          </w:p>
        </w:tc>
        <w:tc>
          <w:tcPr>
            <w:tcW w:w="4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520"/>
              <w:spacing w:after="0"/>
              <w:rPr>
                <w:sz w:val="20"/>
                <w:szCs w:val="20"/>
                <w:color w:val="auto"/>
              </w:rPr>
            </w:pPr>
            <w:r>
              <w:rPr>
                <w:rFonts w:ascii="Arial" w:cs="Arial" w:eastAsia="Arial" w:hAnsi="Arial"/>
                <w:sz w:val="18"/>
                <w:szCs w:val="18"/>
                <w:color w:val="auto"/>
              </w:rPr>
              <w:t>Urigeler International S.A. (CO)</w:t>
            </w:r>
          </w:p>
        </w:tc>
        <w:tc>
          <w:tcPr>
            <w:tcW w:w="4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Arial" w:cs="Arial" w:eastAsia="Arial" w:hAnsi="Arial"/>
                <w:sz w:val="18"/>
                <w:szCs w:val="18"/>
                <w:color w:val="auto"/>
              </w:rPr>
              <w:t>Aggregate Amount of Common Shares Beneficially Owned by Group:</w:t>
            </w:r>
          </w:p>
        </w:tc>
        <w:tc>
          <w:tcPr>
            <w:tcW w:w="3020" w:type="dxa"/>
            <w:vAlign w:val="bottom"/>
          </w:tcPr>
          <w:p>
            <w:pPr>
              <w:ind w:left="740"/>
              <w:spacing w:after="0"/>
              <w:rPr>
                <w:sz w:val="20"/>
                <w:szCs w:val="20"/>
                <w:color w:val="auto"/>
              </w:rPr>
            </w:pPr>
            <w:r>
              <w:rPr>
                <w:rFonts w:ascii="Arial" w:cs="Arial" w:eastAsia="Arial" w:hAnsi="Arial"/>
                <w:sz w:val="18"/>
                <w:szCs w:val="18"/>
                <w:b w:val="1"/>
                <w:bCs w:val="1"/>
                <w:color w:val="auto"/>
              </w:rPr>
              <w:t>12,325,011</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Percent of Class:</w:t>
            </w:r>
          </w:p>
        </w:tc>
        <w:tc>
          <w:tcPr>
            <w:tcW w:w="4660" w:type="dxa"/>
            <w:vAlign w:val="bottom"/>
          </w:tcPr>
          <w:p>
            <w:pPr>
              <w:spacing w:after="0"/>
              <w:rPr>
                <w:sz w:val="24"/>
                <w:szCs w:val="24"/>
                <w:color w:val="auto"/>
              </w:rPr>
            </w:pPr>
          </w:p>
        </w:tc>
        <w:tc>
          <w:tcPr>
            <w:tcW w:w="3020" w:type="dxa"/>
            <w:vAlign w:val="bottom"/>
          </w:tcPr>
          <w:p>
            <w:pPr>
              <w:ind w:left="740"/>
              <w:spacing w:after="0"/>
              <w:rPr>
                <w:sz w:val="20"/>
                <w:szCs w:val="20"/>
                <w:color w:val="auto"/>
              </w:rPr>
            </w:pPr>
            <w:r>
              <w:rPr>
                <w:rFonts w:ascii="Arial" w:cs="Arial" w:eastAsia="Arial" w:hAnsi="Arial"/>
                <w:sz w:val="18"/>
                <w:szCs w:val="18"/>
                <w:b w:val="1"/>
                <w:bCs w:val="1"/>
                <w:color w:val="auto"/>
              </w:rPr>
              <w:t>13.06%</w:t>
            </w:r>
          </w:p>
        </w:tc>
        <w:tc>
          <w:tcPr>
            <w:tcW w:w="0" w:type="dxa"/>
            <w:vAlign w:val="bottom"/>
          </w:tcPr>
          <w:p>
            <w:pPr>
              <w:spacing w:after="0"/>
              <w:rPr>
                <w:sz w:val="1"/>
                <w:szCs w:val="1"/>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0" w:name="page51"/>
    <w:bookmarkEnd w:id="5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51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Powers of Attorney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w:t>
            </w:r>
          </w:p>
        </w:tc>
        <w:tc>
          <w:tcPr>
            <w:tcW w:w="10680" w:type="dxa"/>
            <w:vAlign w:val="bottom"/>
          </w:tcPr>
          <w:p>
            <w:pPr>
              <w:ind w:left="420"/>
              <w:spacing w:after="0"/>
              <w:rPr>
                <w:sz w:val="20"/>
                <w:szCs w:val="20"/>
                <w:color w:val="auto"/>
              </w:rPr>
            </w:pPr>
            <w:r>
              <w:rPr>
                <w:rFonts w:ascii="Arial" w:cs="Arial" w:eastAsia="Arial" w:hAnsi="Arial"/>
                <w:sz w:val="18"/>
                <w:szCs w:val="18"/>
                <w:color w:val="auto"/>
              </w:rPr>
              <w:t>Arnueld Limited</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w:t>
            </w:r>
          </w:p>
        </w:tc>
        <w:tc>
          <w:tcPr>
            <w:tcW w:w="10680" w:type="dxa"/>
            <w:vAlign w:val="bottom"/>
          </w:tcPr>
          <w:p>
            <w:pPr>
              <w:ind w:left="420"/>
              <w:spacing w:after="0"/>
              <w:rPr>
                <w:sz w:val="20"/>
                <w:szCs w:val="20"/>
                <w:color w:val="auto"/>
              </w:rPr>
            </w:pPr>
            <w:r>
              <w:rPr>
                <w:rFonts w:ascii="Arial" w:cs="Arial" w:eastAsia="Arial" w:hAnsi="Arial"/>
                <w:sz w:val="18"/>
                <w:szCs w:val="18"/>
                <w:color w:val="auto"/>
              </w:rPr>
              <w:t>Ursula Martina Bernard Valderrama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D3</w:t>
            </w:r>
          </w:p>
        </w:tc>
        <w:tc>
          <w:tcPr>
            <w:tcW w:w="10680" w:type="dxa"/>
            <w:vAlign w:val="bottom"/>
          </w:tcPr>
          <w:p>
            <w:pPr>
              <w:ind w:left="420"/>
              <w:spacing w:after="0"/>
              <w:rPr>
                <w:sz w:val="20"/>
                <w:szCs w:val="20"/>
                <w:color w:val="auto"/>
              </w:rPr>
            </w:pPr>
            <w:r>
              <w:rPr>
                <w:rFonts w:ascii="Arial" w:cs="Arial" w:eastAsia="Arial" w:hAnsi="Arial"/>
                <w:sz w:val="18"/>
                <w:szCs w:val="18"/>
                <w:color w:val="auto"/>
              </w:rPr>
              <w:t>Birmingham Merchant S.A.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D4</w:t>
            </w:r>
          </w:p>
        </w:tc>
        <w:tc>
          <w:tcPr>
            <w:tcW w:w="10680" w:type="dxa"/>
            <w:vAlign w:val="bottom"/>
          </w:tcPr>
          <w:p>
            <w:pPr>
              <w:ind w:left="420"/>
              <w:spacing w:after="0"/>
              <w:rPr>
                <w:sz w:val="20"/>
                <w:szCs w:val="20"/>
                <w:color w:val="auto"/>
              </w:rPr>
            </w:pPr>
            <w:r>
              <w:rPr>
                <w:rFonts w:ascii="Arial" w:cs="Arial" w:eastAsia="Arial" w:hAnsi="Arial"/>
                <w:sz w:val="18"/>
                <w:szCs w:val="18"/>
                <w:color w:val="auto"/>
              </w:rPr>
              <w:t>Ana Sylvia Romero Guzmán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D5</w:t>
            </w:r>
          </w:p>
        </w:tc>
        <w:tc>
          <w:tcPr>
            <w:tcW w:w="10680" w:type="dxa"/>
            <w:vAlign w:val="bottom"/>
          </w:tcPr>
          <w:p>
            <w:pPr>
              <w:ind w:left="420"/>
              <w:spacing w:after="0"/>
              <w:rPr>
                <w:sz w:val="20"/>
                <w:szCs w:val="20"/>
                <w:color w:val="auto"/>
              </w:rPr>
            </w:pPr>
            <w:r>
              <w:rPr>
                <w:rFonts w:ascii="Arial" w:cs="Arial" w:eastAsia="Arial" w:hAnsi="Arial"/>
                <w:sz w:val="18"/>
                <w:szCs w:val="18"/>
                <w:color w:val="auto"/>
              </w:rPr>
              <w:t>Fideicomiso Solmar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D6</w:t>
            </w:r>
          </w:p>
        </w:tc>
        <w:tc>
          <w:tcPr>
            <w:tcW w:w="10680" w:type="dxa"/>
            <w:vAlign w:val="bottom"/>
          </w:tcPr>
          <w:p>
            <w:pPr>
              <w:ind w:left="420"/>
              <w:spacing w:after="0"/>
              <w:rPr>
                <w:sz w:val="20"/>
                <w:szCs w:val="20"/>
                <w:color w:val="auto"/>
              </w:rPr>
            </w:pPr>
            <w:r>
              <w:rPr>
                <w:rFonts w:ascii="Arial" w:cs="Arial" w:eastAsia="Arial" w:hAnsi="Arial"/>
                <w:sz w:val="18"/>
                <w:szCs w:val="18"/>
                <w:color w:val="auto"/>
              </w:rPr>
              <w:t>Grupo Rosta Internacional</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D7</w:t>
            </w:r>
          </w:p>
        </w:tc>
        <w:tc>
          <w:tcPr>
            <w:tcW w:w="10680" w:type="dxa"/>
            <w:vAlign w:val="bottom"/>
          </w:tcPr>
          <w:p>
            <w:pPr>
              <w:ind w:left="420"/>
              <w:spacing w:after="0"/>
              <w:rPr>
                <w:sz w:val="20"/>
                <w:szCs w:val="20"/>
                <w:color w:val="auto"/>
              </w:rPr>
            </w:pPr>
            <w:r>
              <w:rPr>
                <w:rFonts w:ascii="Arial" w:cs="Arial" w:eastAsia="Arial" w:hAnsi="Arial"/>
                <w:sz w:val="18"/>
                <w:szCs w:val="18"/>
                <w:color w:val="auto"/>
              </w:rPr>
              <w:t>Ana Silvia Guzman Portilla de Romero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D8</w:t>
            </w:r>
          </w:p>
        </w:tc>
        <w:tc>
          <w:tcPr>
            <w:tcW w:w="10680" w:type="dxa"/>
            <w:vAlign w:val="bottom"/>
          </w:tcPr>
          <w:p>
            <w:pPr>
              <w:ind w:left="420"/>
              <w:spacing w:after="0"/>
              <w:rPr>
                <w:sz w:val="20"/>
                <w:szCs w:val="20"/>
                <w:color w:val="auto"/>
              </w:rPr>
            </w:pPr>
            <w:r>
              <w:rPr>
                <w:rFonts w:ascii="Arial" w:cs="Arial" w:eastAsia="Arial" w:hAnsi="Arial"/>
                <w:sz w:val="18"/>
                <w:szCs w:val="18"/>
                <w:color w:val="auto"/>
              </w:rPr>
              <w:t>Rosalina María Helguero Romero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D9</w:t>
            </w:r>
          </w:p>
        </w:tc>
        <w:tc>
          <w:tcPr>
            <w:tcW w:w="10680" w:type="dxa"/>
            <w:vAlign w:val="bottom"/>
          </w:tcPr>
          <w:p>
            <w:pPr>
              <w:ind w:left="420"/>
              <w:spacing w:after="0"/>
              <w:rPr>
                <w:sz w:val="20"/>
                <w:szCs w:val="20"/>
                <w:color w:val="auto"/>
              </w:rPr>
            </w:pPr>
            <w:r>
              <w:rPr>
                <w:rFonts w:ascii="Arial" w:cs="Arial" w:eastAsia="Arial" w:hAnsi="Arial"/>
                <w:sz w:val="18"/>
                <w:szCs w:val="18"/>
                <w:color w:val="auto"/>
              </w:rPr>
              <w:t>High Inter Projects, Corp.</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D10</w:t>
            </w:r>
          </w:p>
        </w:tc>
        <w:tc>
          <w:tcPr>
            <w:tcW w:w="10680" w:type="dxa"/>
            <w:vAlign w:val="bottom"/>
          </w:tcPr>
          <w:p>
            <w:pPr>
              <w:ind w:left="420"/>
              <w:spacing w:after="0"/>
              <w:rPr>
                <w:sz w:val="20"/>
                <w:szCs w:val="20"/>
                <w:color w:val="auto"/>
              </w:rPr>
            </w:pPr>
            <w:r>
              <w:rPr>
                <w:rFonts w:ascii="Arial" w:cs="Arial" w:eastAsia="Arial" w:hAnsi="Arial"/>
                <w:sz w:val="18"/>
                <w:szCs w:val="18"/>
                <w:color w:val="auto"/>
              </w:rPr>
              <w:t>Teresa Holder de Onrubia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D11</w:t>
            </w:r>
          </w:p>
        </w:tc>
        <w:tc>
          <w:tcPr>
            <w:tcW w:w="10680" w:type="dxa"/>
            <w:vAlign w:val="bottom"/>
          </w:tcPr>
          <w:p>
            <w:pPr>
              <w:ind w:left="420"/>
              <w:spacing w:after="0"/>
              <w:rPr>
                <w:sz w:val="20"/>
                <w:szCs w:val="20"/>
                <w:color w:val="auto"/>
              </w:rPr>
            </w:pPr>
            <w:r>
              <w:rPr>
                <w:rFonts w:ascii="Arial" w:cs="Arial" w:eastAsia="Arial" w:hAnsi="Arial"/>
                <w:sz w:val="18"/>
                <w:szCs w:val="18"/>
                <w:color w:val="auto"/>
              </w:rPr>
              <w:t>Inversiones Casa Real</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D12</w:t>
            </w:r>
          </w:p>
        </w:tc>
        <w:tc>
          <w:tcPr>
            <w:tcW w:w="10680" w:type="dxa"/>
            <w:vAlign w:val="bottom"/>
          </w:tcPr>
          <w:p>
            <w:pPr>
              <w:ind w:left="420"/>
              <w:spacing w:after="0"/>
              <w:rPr>
                <w:sz w:val="20"/>
                <w:szCs w:val="20"/>
                <w:color w:val="auto"/>
              </w:rPr>
            </w:pPr>
            <w:r>
              <w:rPr>
                <w:rFonts w:ascii="Arial" w:cs="Arial" w:eastAsia="Arial" w:hAnsi="Arial"/>
                <w:sz w:val="18"/>
                <w:szCs w:val="18"/>
                <w:color w:val="auto"/>
              </w:rPr>
              <w:t>Inversiones Piuranas, S.A.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D13</w:t>
            </w:r>
          </w:p>
        </w:tc>
        <w:tc>
          <w:tcPr>
            <w:tcW w:w="10680" w:type="dxa"/>
            <w:vAlign w:val="bottom"/>
          </w:tcPr>
          <w:p>
            <w:pPr>
              <w:ind w:left="420"/>
              <w:spacing w:after="0"/>
              <w:rPr>
                <w:sz w:val="20"/>
                <w:szCs w:val="20"/>
                <w:color w:val="auto"/>
              </w:rPr>
            </w:pPr>
            <w:r>
              <w:rPr>
                <w:rFonts w:ascii="Arial" w:cs="Arial" w:eastAsia="Arial" w:hAnsi="Arial"/>
                <w:sz w:val="18"/>
                <w:szCs w:val="18"/>
                <w:color w:val="auto"/>
              </w:rPr>
              <w:t>La Roncadora S.A.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D14</w:t>
            </w:r>
          </w:p>
        </w:tc>
        <w:tc>
          <w:tcPr>
            <w:tcW w:w="10680" w:type="dxa"/>
            <w:vAlign w:val="bottom"/>
          </w:tcPr>
          <w:p>
            <w:pPr>
              <w:ind w:left="420"/>
              <w:spacing w:after="0"/>
              <w:rPr>
                <w:sz w:val="20"/>
                <w:szCs w:val="20"/>
                <w:color w:val="auto"/>
              </w:rPr>
            </w:pPr>
            <w:r>
              <w:rPr>
                <w:rFonts w:ascii="Arial" w:cs="Arial" w:eastAsia="Arial" w:hAnsi="Arial"/>
                <w:sz w:val="18"/>
                <w:szCs w:val="18"/>
                <w:color w:val="auto"/>
              </w:rPr>
              <w:t>Eduardo Victoriano Onrubia Holder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D15</w:t>
            </w:r>
          </w:p>
        </w:tc>
        <w:tc>
          <w:tcPr>
            <w:tcW w:w="10680" w:type="dxa"/>
            <w:vAlign w:val="bottom"/>
          </w:tcPr>
          <w:p>
            <w:pPr>
              <w:ind w:left="420"/>
              <w:spacing w:after="0"/>
              <w:rPr>
                <w:sz w:val="20"/>
                <w:szCs w:val="20"/>
                <w:color w:val="auto"/>
              </w:rPr>
            </w:pPr>
            <w:r>
              <w:rPr>
                <w:rFonts w:ascii="Arial" w:cs="Arial" w:eastAsia="Arial" w:hAnsi="Arial"/>
                <w:sz w:val="18"/>
                <w:szCs w:val="18"/>
                <w:color w:val="auto"/>
              </w:rPr>
              <w:t>José Antonio Onrubia Holder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D16</w:t>
            </w:r>
          </w:p>
        </w:tc>
        <w:tc>
          <w:tcPr>
            <w:tcW w:w="10680" w:type="dxa"/>
            <w:vAlign w:val="bottom"/>
          </w:tcPr>
          <w:p>
            <w:pPr>
              <w:ind w:left="420"/>
              <w:spacing w:after="0"/>
              <w:rPr>
                <w:sz w:val="20"/>
                <w:szCs w:val="20"/>
                <w:color w:val="auto"/>
              </w:rPr>
            </w:pPr>
            <w:r>
              <w:rPr>
                <w:rFonts w:ascii="Arial" w:cs="Arial" w:eastAsia="Arial" w:hAnsi="Arial"/>
                <w:sz w:val="18"/>
                <w:szCs w:val="18"/>
                <w:color w:val="auto"/>
              </w:rPr>
              <w:t>Luis Fernando Martin Onrubia Holder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D17</w:t>
            </w:r>
          </w:p>
        </w:tc>
        <w:tc>
          <w:tcPr>
            <w:tcW w:w="10680" w:type="dxa"/>
            <w:vAlign w:val="bottom"/>
          </w:tcPr>
          <w:p>
            <w:pPr>
              <w:ind w:left="420"/>
              <w:spacing w:after="0"/>
              <w:rPr>
                <w:sz w:val="20"/>
                <w:szCs w:val="20"/>
                <w:color w:val="auto"/>
              </w:rPr>
            </w:pPr>
            <w:r>
              <w:rPr>
                <w:rFonts w:ascii="Arial" w:cs="Arial" w:eastAsia="Arial" w:hAnsi="Arial"/>
                <w:sz w:val="18"/>
                <w:szCs w:val="18"/>
                <w:color w:val="auto"/>
              </w:rPr>
              <w:t>María Inmaculada Onrubia Holder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D18</w:t>
            </w:r>
          </w:p>
        </w:tc>
        <w:tc>
          <w:tcPr>
            <w:tcW w:w="10680" w:type="dxa"/>
            <w:vAlign w:val="bottom"/>
          </w:tcPr>
          <w:p>
            <w:pPr>
              <w:ind w:left="420"/>
              <w:spacing w:after="0"/>
              <w:rPr>
                <w:sz w:val="20"/>
                <w:szCs w:val="20"/>
                <w:color w:val="auto"/>
              </w:rPr>
            </w:pPr>
            <w:r>
              <w:rPr>
                <w:rFonts w:ascii="Arial" w:cs="Arial" w:eastAsia="Arial" w:hAnsi="Arial"/>
                <w:sz w:val="18"/>
                <w:szCs w:val="18"/>
                <w:color w:val="auto"/>
              </w:rPr>
              <w:t>Patrimonio Fideicometido Angolo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D19</w:t>
            </w:r>
          </w:p>
        </w:tc>
        <w:tc>
          <w:tcPr>
            <w:tcW w:w="10680" w:type="dxa"/>
            <w:vAlign w:val="bottom"/>
          </w:tcPr>
          <w:p>
            <w:pPr>
              <w:ind w:left="420"/>
              <w:spacing w:after="0"/>
              <w:rPr>
                <w:sz w:val="20"/>
                <w:szCs w:val="20"/>
                <w:color w:val="auto"/>
              </w:rPr>
            </w:pPr>
            <w:r>
              <w:rPr>
                <w:rFonts w:ascii="Arial" w:cs="Arial" w:eastAsia="Arial" w:hAnsi="Arial"/>
                <w:sz w:val="18"/>
                <w:szCs w:val="18"/>
                <w:color w:val="auto"/>
              </w:rPr>
              <w:t>Reverades Holding Inc.</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D20</w:t>
            </w:r>
          </w:p>
        </w:tc>
        <w:tc>
          <w:tcPr>
            <w:tcW w:w="10680" w:type="dxa"/>
            <w:vAlign w:val="bottom"/>
          </w:tcPr>
          <w:p>
            <w:pPr>
              <w:ind w:left="420"/>
              <w:spacing w:after="0"/>
              <w:rPr>
                <w:sz w:val="20"/>
                <w:szCs w:val="20"/>
                <w:color w:val="auto"/>
              </w:rPr>
            </w:pPr>
            <w:r>
              <w:rPr>
                <w:rFonts w:ascii="Arial" w:cs="Arial" w:eastAsia="Arial" w:hAnsi="Arial"/>
                <w:sz w:val="18"/>
                <w:szCs w:val="18"/>
                <w:color w:val="auto"/>
              </w:rPr>
              <w:t>Rittenhouse Capital Ltd.</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D21</w:t>
            </w:r>
          </w:p>
        </w:tc>
        <w:tc>
          <w:tcPr>
            <w:tcW w:w="10680" w:type="dxa"/>
            <w:vAlign w:val="bottom"/>
          </w:tcPr>
          <w:p>
            <w:pPr>
              <w:ind w:left="420"/>
              <w:spacing w:after="0"/>
              <w:rPr>
                <w:sz w:val="20"/>
                <w:szCs w:val="20"/>
                <w:color w:val="auto"/>
              </w:rPr>
            </w:pPr>
            <w:r>
              <w:rPr>
                <w:rFonts w:ascii="Arial" w:cs="Arial" w:eastAsia="Arial" w:hAnsi="Arial"/>
                <w:sz w:val="18"/>
                <w:szCs w:val="18"/>
                <w:color w:val="auto"/>
              </w:rPr>
              <w:t>Alfredo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D22</w:t>
            </w:r>
          </w:p>
        </w:tc>
        <w:tc>
          <w:tcPr>
            <w:tcW w:w="10680" w:type="dxa"/>
            <w:vAlign w:val="bottom"/>
          </w:tcPr>
          <w:p>
            <w:pPr>
              <w:ind w:left="420"/>
              <w:spacing w:after="0"/>
              <w:rPr>
                <w:sz w:val="20"/>
                <w:szCs w:val="20"/>
                <w:color w:val="auto"/>
              </w:rPr>
            </w:pPr>
            <w:r>
              <w:rPr>
                <w:rFonts w:ascii="Arial" w:cs="Arial" w:eastAsia="Arial" w:hAnsi="Arial"/>
                <w:sz w:val="18"/>
                <w:szCs w:val="18"/>
                <w:color w:val="auto"/>
              </w:rPr>
              <w:t>Fernando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D23</w:t>
            </w:r>
          </w:p>
        </w:tc>
        <w:tc>
          <w:tcPr>
            <w:tcW w:w="10680" w:type="dxa"/>
            <w:vAlign w:val="bottom"/>
          </w:tcPr>
          <w:p>
            <w:pPr>
              <w:ind w:left="420"/>
              <w:spacing w:after="0"/>
              <w:rPr>
                <w:sz w:val="20"/>
                <w:szCs w:val="20"/>
                <w:color w:val="auto"/>
              </w:rPr>
            </w:pPr>
            <w:r>
              <w:rPr>
                <w:rFonts w:ascii="Arial" w:cs="Arial" w:eastAsia="Arial" w:hAnsi="Arial"/>
                <w:sz w:val="18"/>
                <w:szCs w:val="18"/>
                <w:color w:val="auto"/>
              </w:rPr>
              <w:t>Jose Roberto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D24</w:t>
            </w:r>
          </w:p>
        </w:tc>
        <w:tc>
          <w:tcPr>
            <w:tcW w:w="10680" w:type="dxa"/>
            <w:vAlign w:val="bottom"/>
          </w:tcPr>
          <w:p>
            <w:pPr>
              <w:ind w:left="420"/>
              <w:spacing w:after="0"/>
              <w:rPr>
                <w:sz w:val="20"/>
                <w:szCs w:val="20"/>
                <w:color w:val="auto"/>
              </w:rPr>
            </w:pPr>
            <w:r>
              <w:rPr>
                <w:rFonts w:ascii="Arial" w:cs="Arial" w:eastAsia="Arial" w:hAnsi="Arial"/>
                <w:sz w:val="18"/>
                <w:szCs w:val="18"/>
                <w:color w:val="auto"/>
              </w:rPr>
              <w:t>Luis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D25</w:t>
            </w:r>
          </w:p>
        </w:tc>
        <w:tc>
          <w:tcPr>
            <w:tcW w:w="10680" w:type="dxa"/>
            <w:vAlign w:val="bottom"/>
          </w:tcPr>
          <w:p>
            <w:pPr>
              <w:ind w:left="420"/>
              <w:spacing w:after="0"/>
              <w:rPr>
                <w:sz w:val="20"/>
                <w:szCs w:val="20"/>
                <w:color w:val="auto"/>
              </w:rPr>
            </w:pPr>
            <w:r>
              <w:rPr>
                <w:rFonts w:ascii="Arial" w:cs="Arial" w:eastAsia="Arial" w:hAnsi="Arial"/>
                <w:sz w:val="18"/>
                <w:szCs w:val="18"/>
                <w:color w:val="auto"/>
              </w:rPr>
              <w:t>Manuel Antonio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D26</w:t>
            </w:r>
          </w:p>
        </w:tc>
        <w:tc>
          <w:tcPr>
            <w:tcW w:w="10680" w:type="dxa"/>
            <w:vAlign w:val="bottom"/>
          </w:tcPr>
          <w:p>
            <w:pPr>
              <w:ind w:left="420"/>
              <w:spacing w:after="0"/>
              <w:rPr>
                <w:sz w:val="20"/>
                <w:szCs w:val="20"/>
                <w:color w:val="auto"/>
              </w:rPr>
            </w:pPr>
            <w:r>
              <w:rPr>
                <w:rFonts w:ascii="Arial" w:cs="Arial" w:eastAsia="Arial" w:hAnsi="Arial"/>
                <w:sz w:val="18"/>
                <w:szCs w:val="18"/>
                <w:color w:val="auto"/>
              </w:rPr>
              <w:t>Marianella Romero Guzmán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D27</w:t>
            </w:r>
          </w:p>
        </w:tc>
        <w:tc>
          <w:tcPr>
            <w:tcW w:w="10680" w:type="dxa"/>
            <w:vAlign w:val="bottom"/>
          </w:tcPr>
          <w:p>
            <w:pPr>
              <w:ind w:left="420"/>
              <w:spacing w:after="0"/>
              <w:rPr>
                <w:sz w:val="20"/>
                <w:szCs w:val="20"/>
                <w:color w:val="auto"/>
              </w:rPr>
            </w:pPr>
            <w:r>
              <w:rPr>
                <w:rFonts w:ascii="Arial" w:cs="Arial" w:eastAsia="Arial" w:hAnsi="Arial"/>
                <w:sz w:val="18"/>
                <w:szCs w:val="18"/>
                <w:color w:val="auto"/>
              </w:rPr>
              <w:t>Ana María Romero Paoletti de Sacchi</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D28</w:t>
            </w:r>
          </w:p>
        </w:tc>
        <w:tc>
          <w:tcPr>
            <w:tcW w:w="10680" w:type="dxa"/>
            <w:vAlign w:val="bottom"/>
          </w:tcPr>
          <w:p>
            <w:pPr>
              <w:ind w:left="420"/>
              <w:spacing w:after="0"/>
              <w:rPr>
                <w:sz w:val="20"/>
                <w:szCs w:val="20"/>
                <w:color w:val="auto"/>
              </w:rPr>
            </w:pPr>
            <w:r>
              <w:rPr>
                <w:rFonts w:ascii="Arial" w:cs="Arial" w:eastAsia="Arial" w:hAnsi="Arial"/>
                <w:sz w:val="18"/>
                <w:szCs w:val="18"/>
                <w:color w:val="auto"/>
              </w:rPr>
              <w:t>Calixto Romero Seminario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D29</w:t>
            </w:r>
          </w:p>
        </w:tc>
        <w:tc>
          <w:tcPr>
            <w:tcW w:w="10680" w:type="dxa"/>
            <w:vAlign w:val="bottom"/>
          </w:tcPr>
          <w:p>
            <w:pPr>
              <w:ind w:left="420"/>
              <w:spacing w:after="0"/>
              <w:rPr>
                <w:sz w:val="20"/>
                <w:szCs w:val="20"/>
                <w:color w:val="auto"/>
              </w:rPr>
            </w:pPr>
            <w:r>
              <w:rPr>
                <w:rFonts w:ascii="Arial" w:cs="Arial" w:eastAsia="Arial" w:hAnsi="Arial"/>
                <w:sz w:val="18"/>
                <w:szCs w:val="18"/>
                <w:color w:val="auto"/>
              </w:rPr>
              <w:t>Dionisio Romero Seminario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D30</w:t>
            </w:r>
          </w:p>
        </w:tc>
        <w:tc>
          <w:tcPr>
            <w:tcW w:w="10680" w:type="dxa"/>
            <w:vAlign w:val="bottom"/>
          </w:tcPr>
          <w:p>
            <w:pPr>
              <w:ind w:left="420"/>
              <w:spacing w:after="0"/>
              <w:rPr>
                <w:sz w:val="20"/>
                <w:szCs w:val="20"/>
                <w:color w:val="auto"/>
              </w:rPr>
            </w:pPr>
            <w:r>
              <w:rPr>
                <w:rFonts w:ascii="Arial" w:cs="Arial" w:eastAsia="Arial" w:hAnsi="Arial"/>
                <w:sz w:val="18"/>
                <w:szCs w:val="18"/>
                <w:color w:val="auto"/>
              </w:rPr>
              <w:t>Rubyfield Investments Ltd.</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D31</w:t>
            </w:r>
          </w:p>
        </w:tc>
        <w:tc>
          <w:tcPr>
            <w:tcW w:w="10680" w:type="dxa"/>
            <w:vAlign w:val="bottom"/>
          </w:tcPr>
          <w:p>
            <w:pPr>
              <w:ind w:left="420"/>
              <w:spacing w:after="0"/>
              <w:rPr>
                <w:sz w:val="20"/>
                <w:szCs w:val="20"/>
                <w:color w:val="auto"/>
              </w:rPr>
            </w:pPr>
            <w:r>
              <w:rPr>
                <w:rFonts w:ascii="Arial" w:cs="Arial" w:eastAsia="Arial" w:hAnsi="Arial"/>
                <w:sz w:val="18"/>
                <w:szCs w:val="18"/>
                <w:color w:val="auto"/>
              </w:rPr>
              <w:t>Paolo Mario Sacchi Giurato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D32</w:t>
            </w:r>
          </w:p>
        </w:tc>
        <w:tc>
          <w:tcPr>
            <w:tcW w:w="10680" w:type="dxa"/>
            <w:vAlign w:val="bottom"/>
          </w:tcPr>
          <w:p>
            <w:pPr>
              <w:ind w:left="420"/>
              <w:spacing w:after="0"/>
              <w:rPr>
                <w:sz w:val="20"/>
                <w:szCs w:val="20"/>
                <w:color w:val="auto"/>
              </w:rPr>
            </w:pPr>
            <w:r>
              <w:rPr>
                <w:rFonts w:ascii="Arial" w:cs="Arial" w:eastAsia="Arial" w:hAnsi="Arial"/>
                <w:sz w:val="18"/>
                <w:szCs w:val="18"/>
                <w:color w:val="auto"/>
              </w:rPr>
              <w:t>Maray S.A.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D33</w:t>
            </w:r>
          </w:p>
        </w:tc>
        <w:tc>
          <w:tcPr>
            <w:tcW w:w="10680" w:type="dxa"/>
            <w:vAlign w:val="bottom"/>
          </w:tcPr>
          <w:p>
            <w:pPr>
              <w:ind w:left="420"/>
              <w:spacing w:after="0"/>
              <w:rPr>
                <w:sz w:val="20"/>
                <w:szCs w:val="20"/>
                <w:color w:val="auto"/>
              </w:rPr>
            </w:pPr>
            <w:r>
              <w:rPr>
                <w:rFonts w:ascii="Arial" w:cs="Arial" w:eastAsia="Arial" w:hAnsi="Arial"/>
                <w:sz w:val="18"/>
                <w:szCs w:val="18"/>
                <w:color w:val="auto"/>
              </w:rPr>
              <w:t>Urigeler International S.A.</w:t>
            </w:r>
          </w:p>
        </w:tc>
      </w:tr>
      <w:tr>
        <w:trPr>
          <w:trHeight w:val="675"/>
        </w:trPr>
        <w:tc>
          <w:tcPr>
            <w:tcW w:w="74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1" w:name="page52"/>
    <w:bookmarkEnd w:id="5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52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undersigned, Arnueld Limited, the principal business address of which is Nevis,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ARNUELD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Manuel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Manuel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2" w:name="page53"/>
    <w:bookmarkEnd w:id="5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53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The undersigned, Ursula Martina Bernard Valderrama, an individual whose address is </w:t>
      </w:r>
      <w:r>
        <w:rPr>
          <w:rFonts w:ascii="Arial" w:cs="Arial" w:eastAsia="Arial" w:hAnsi="Arial"/>
          <w:sz w:val="18"/>
          <w:szCs w:val="18"/>
          <w:color w:val="29292A"/>
        </w:rPr>
        <w:t>Calle Once 286, Rinconada Baja, La Molina, Lima -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Ursula Martina Bernard Valderrama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Ursula Martina Bernard Valderrama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54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Birmingham Merchant S.A., the principal business address of which is Scotia Plaza No 18, Avenida Federico Boyd y Calle 51, pisos 9,1 0 y 11,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BIRMINGHAM MERCHANT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4" w:name="page55"/>
    <w:bookmarkEnd w:id="5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55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undersigned, Ana Sylvia Romero Guzmán, an individual whose address is Las Moreras 169, San Isidro, Lima-Perú,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Signed as of the 30 day of January, 2020</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Ana Sylvia Romero Guzmán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Name:Ana Sylvia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67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56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Fideicomiso Solmar, the principal business address of which is Av. El Derby 055, Torre 4, Piso 10, Santiago de Surco, Lima,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FIDEICOMISO SOLMAR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María Inmaculada Onrubia Holder</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María Inmaculada Onrubia Holder</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6" w:name="page57"/>
    <w:bookmarkEnd w:id="5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57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Grupo Rosta Internacional, the principal business address of which is Calle 50 y 74 San Francisco P.H. 909, Pisos 15 y 16,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GRUPO ROSTA INTERNACIONAL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Alfredo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Alfredo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7" w:name="page58"/>
    <w:bookmarkEnd w:id="5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58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undersigned, Ana Silvia Guzman Portilla de Romero, an individual whose address is </w:t>
      </w:r>
      <w:r>
        <w:rPr>
          <w:rFonts w:ascii="Arial" w:cs="Arial" w:eastAsia="Arial" w:hAnsi="Arial"/>
          <w:sz w:val="18"/>
          <w:szCs w:val="18"/>
          <w:color w:val="29292A"/>
        </w:rPr>
        <w:t>Calle Estados Unidos 720, Jesús María,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Ana Silvia Guzman Portilla de Romero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59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The undersigned, Rosalina María Helguero Romero, an individual whose address is </w:t>
      </w:r>
      <w:r>
        <w:rPr>
          <w:rFonts w:ascii="Arial" w:cs="Arial" w:eastAsia="Arial" w:hAnsi="Arial"/>
          <w:sz w:val="18"/>
          <w:szCs w:val="18"/>
          <w:color w:val="29292A"/>
        </w:rPr>
        <w:t>Av Aurelio Miró Quesada 744, Piso 6, San Isidro,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Rosalina María Helguero Romero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Rosalina María Helguero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60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undersigned, High Inter Projects Corp., the principal business address of which is Scotia Plaza No 18, Avenida Federico Boyd y Calle 51, pisos 9,1 0 y 11,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HIGH INTER PROJECTS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0" w:name="page61"/>
    <w:bookmarkEnd w:id="6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61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undersigned, Teresa Holder de Onrubia, an individual whose address is Lima-Perú,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6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Teresa Holder de Onrubia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62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undersigned, Inversiones Casa Real, the principal business address of which is Calle 50 y 74 San Francisco P.H. 909, Pisos 15 y 16,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INVERSIONES CASA REAL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2" w:name="page63"/>
    <w:bookmarkEnd w:id="6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63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undersigned, Inversiones Piuranas, S.A., the principal business address of which is Av. Circunvalación Golf Los Inkas 134, Piso 13, Santiago de Surco, Lima, Perú,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INVERSIONES PIURANAS,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Marco Peschiera Fernández</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Marco Peschiera Fernández</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3" w:name="page64"/>
    <w:bookmarkEnd w:id="6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64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undersigned, La Roncadora S.A., the principal business address of which is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 RONCADORA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José Antonio Onrubia Holder</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José Antonio Onrubia Holder</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4" w:name="page65"/>
    <w:bookmarkEnd w:id="6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65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The undersigned, Eduardo Victoriano Onrubia Holder, an individual whose address is </w:t>
      </w:r>
      <w:r>
        <w:rPr>
          <w:rFonts w:ascii="Arial" w:cs="Arial" w:eastAsia="Arial" w:hAnsi="Arial"/>
          <w:sz w:val="17"/>
          <w:szCs w:val="17"/>
          <w:color w:val="29292A"/>
        </w:rPr>
        <w:t>Jr. Flor de Roca177, Urbanización Casuarinas, Santiago de</w:t>
      </w:r>
      <w:r>
        <w:rPr>
          <w:rFonts w:ascii="Arial" w:cs="Arial" w:eastAsia="Arial" w:hAnsi="Arial"/>
          <w:sz w:val="17"/>
          <w:szCs w:val="17"/>
          <w:color w:val="auto"/>
        </w:rPr>
        <w:t xml:space="preserve"> </w:t>
      </w:r>
      <w:r>
        <w:rPr>
          <w:rFonts w:ascii="Arial" w:cs="Arial" w:eastAsia="Arial" w:hAnsi="Arial"/>
          <w:sz w:val="17"/>
          <w:szCs w:val="17"/>
          <w:color w:val="29292A"/>
        </w:rPr>
        <w:t xml:space="preserve">Surco, Lima, Perú, </w:t>
      </w:r>
      <w:r>
        <w:rPr>
          <w:rFonts w:ascii="Arial" w:cs="Arial" w:eastAsia="Arial" w:hAnsi="Arial"/>
          <w:sz w:val="17"/>
          <w:szCs w:val="17"/>
          <w:color w:val="000000"/>
        </w:rPr>
        <w:t>does hereby appoint Dionisio Romero Paoletti, whose address is Calle Centenario 156, Las Laderas de Melgarejo, La Molina, Lima 12,</w:t>
      </w:r>
      <w:r>
        <w:rPr>
          <w:rFonts w:ascii="Arial" w:cs="Arial" w:eastAsia="Arial" w:hAnsi="Arial"/>
          <w:sz w:val="17"/>
          <w:szCs w:val="17"/>
          <w:color w:val="29292A"/>
        </w:rPr>
        <w:t xml:space="preserve"> </w:t>
      </w:r>
      <w:r>
        <w:rPr>
          <w:rFonts w:ascii="Arial" w:cs="Arial" w:eastAsia="Arial" w:hAnsi="Arial"/>
          <w:sz w:val="17"/>
          <w:szCs w:val="17"/>
          <w:color w:val="000000"/>
        </w:rPr>
        <w:t>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Eduardo Victoriano Onrubia Holder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Eduardo Victoriano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66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undersigned, José Antonio Onrubia Holder, an individual whose address is Av. Circunvalación Golf Los Inkas 134, Piso 12, Santiago de Surco,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José Antonio Onrubia Holder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José Antonio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67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The undersigned, Luis Fernando Martin Onrubia Holder, an individual whose address is </w:t>
      </w:r>
      <w:r>
        <w:rPr>
          <w:rFonts w:ascii="Arial" w:cs="Arial" w:eastAsia="Arial" w:hAnsi="Arial"/>
          <w:sz w:val="17"/>
          <w:szCs w:val="17"/>
          <w:color w:val="29292A"/>
        </w:rPr>
        <w:t>Calle El Picacho 140, Urbanización La Planicie, La Molina,</w:t>
      </w:r>
      <w:r>
        <w:rPr>
          <w:rFonts w:ascii="Arial" w:cs="Arial" w:eastAsia="Arial" w:hAnsi="Arial"/>
          <w:sz w:val="17"/>
          <w:szCs w:val="17"/>
          <w:color w:val="auto"/>
        </w:rPr>
        <w:t xml:space="preserve"> </w:t>
      </w:r>
      <w:r>
        <w:rPr>
          <w:rFonts w:ascii="Arial" w:cs="Arial" w:eastAsia="Arial" w:hAnsi="Arial"/>
          <w:sz w:val="17"/>
          <w:szCs w:val="17"/>
          <w:color w:val="29292A"/>
        </w:rPr>
        <w:t xml:space="preserve">Lima, Perú, </w:t>
      </w:r>
      <w:r>
        <w:rPr>
          <w:rFonts w:ascii="Arial" w:cs="Arial" w:eastAsia="Arial" w:hAnsi="Arial"/>
          <w:sz w:val="17"/>
          <w:szCs w:val="17"/>
          <w:color w:val="000000"/>
        </w:rPr>
        <w:t>does hereby appoint Dionisio Romero Paoletti, whose address is Calle Centenario 156, Las Laderas de Melgarejo, La Molina, Lima 12, Perú, as</w:t>
      </w:r>
      <w:r>
        <w:rPr>
          <w:rFonts w:ascii="Arial" w:cs="Arial" w:eastAsia="Arial" w:hAnsi="Arial"/>
          <w:sz w:val="17"/>
          <w:szCs w:val="17"/>
          <w:color w:val="29292A"/>
        </w:rPr>
        <w:t xml:space="preserve"> </w:t>
      </w:r>
      <w:r>
        <w:rPr>
          <w:rFonts w:ascii="Arial" w:cs="Arial" w:eastAsia="Arial" w:hAnsi="Arial"/>
          <w:sz w:val="17"/>
          <w:szCs w:val="17"/>
          <w:color w:val="000000"/>
        </w:rPr>
        <w:t>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Luis Fernando Martin Onrubia Holder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Luis Fernando Martin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7" w:name="page68"/>
    <w:bookmarkEnd w:id="6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68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undersigned, María Inmaculada Onrubia Holder, an individual whose address is </w:t>
      </w:r>
      <w:r>
        <w:rPr>
          <w:rFonts w:ascii="Arial" w:cs="Arial" w:eastAsia="Arial" w:hAnsi="Arial"/>
          <w:sz w:val="18"/>
          <w:szCs w:val="18"/>
          <w:color w:val="29292A"/>
        </w:rPr>
        <w:t>Calle Tomas Edison 105, San Isidro,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María Inmaculada Onrubia Holder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69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undersigned, Patrimonio Fideicometido Angolo, the principal business address of which is Av. El Derby 055, Torre 4, Piso 10, Santiago de Surco, Lima,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PATRIMONIO FIDEICOMETIDO ANGOLO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70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undersigned, Reverades Holding Inc., the principal business address of which is Seychelles,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REVERADES HOLDING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0" w:name="page71"/>
    <w:bookmarkEnd w:id="7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71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Rittenhouse Capital Ltd., the principal business address of which is Cayman Corporate Centre, 27 Hospital Road, George Town, Grand Cayman, KY1-9008,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RITTENHOUSE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 Corsetti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Nicola Corsetti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1" w:name="page72"/>
    <w:bookmarkEnd w:id="7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72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undersigned, Alfredo Romero Belismelis, an individual whose address is Av. Rinconada Baja 1241, La Molina,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Alfredo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73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undersigned, Fernando Romero Belismelis, an individual whose address is Calle Once 286, Rinconada Baja, La Molina,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Fernando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74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undersigned, José Roberto Romero Belismelis, an individual whose address is </w:t>
      </w:r>
      <w:r>
        <w:rPr>
          <w:rFonts w:ascii="Arial" w:cs="Arial" w:eastAsia="Arial" w:hAnsi="Arial"/>
          <w:sz w:val="18"/>
          <w:szCs w:val="18"/>
          <w:color w:val="29292A"/>
        </w:rPr>
        <w:t>Av. Rinconada Baja 1241,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José Roberto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José Roberto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75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690"/>
        <w:spacing w:after="0" w:line="255" w:lineRule="auto"/>
        <w:rPr>
          <w:sz w:val="20"/>
          <w:szCs w:val="20"/>
          <w:color w:val="auto"/>
        </w:rPr>
      </w:pPr>
      <w:r>
        <w:rPr>
          <w:rFonts w:ascii="Arial" w:cs="Arial" w:eastAsia="Arial" w:hAnsi="Arial"/>
          <w:sz w:val="18"/>
          <w:szCs w:val="18"/>
          <w:color w:val="auto"/>
        </w:rPr>
        <w:t>The undersigned, Luis Romero Belismelis, an individual whose address is Av. Circunvalación Golf Los Inkas 134, Piso 12, Santiago de Surco, Lima, Perú</w:t>
      </w:r>
      <w:r>
        <w:rPr>
          <w:rFonts w:ascii="Arial" w:cs="Arial" w:eastAsia="Arial" w:hAnsi="Arial"/>
          <w:sz w:val="18"/>
          <w:szCs w:val="18"/>
          <w:color w:val="29292A"/>
        </w:rPr>
        <w:t>,</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Luis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76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undersigned, Manuel Antonio Romero Belismelis, an individual whose address is </w:t>
      </w:r>
      <w:r>
        <w:rPr>
          <w:rFonts w:ascii="Arial" w:cs="Arial" w:eastAsia="Arial" w:hAnsi="Arial"/>
          <w:sz w:val="18"/>
          <w:szCs w:val="18"/>
          <w:color w:val="29292A"/>
        </w:rPr>
        <w:t>Av. Rinconada Baja 1241,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Manuel Antonio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77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The undersigned, Calixto Romero Guzmán, an individual whose address is </w:t>
      </w:r>
      <w:r>
        <w:rPr>
          <w:rFonts w:ascii="Arial" w:cs="Arial" w:eastAsia="Arial" w:hAnsi="Arial"/>
          <w:sz w:val="18"/>
          <w:szCs w:val="18"/>
          <w:color w:val="29292A"/>
        </w:rPr>
        <w:t>Av. Circunvalación Golf Los Inkas 134, Piso 12, Santiago de Surco,</w:t>
      </w:r>
      <w:r>
        <w:rPr>
          <w:rFonts w:ascii="Arial" w:cs="Arial" w:eastAsia="Arial" w:hAnsi="Arial"/>
          <w:sz w:val="18"/>
          <w:szCs w:val="18"/>
          <w:color w:val="auto"/>
        </w:rPr>
        <w:t xml:space="preserve"> </w:t>
      </w:r>
      <w:r>
        <w:rPr>
          <w:rFonts w:ascii="Arial" w:cs="Arial" w:eastAsia="Arial" w:hAnsi="Arial"/>
          <w:sz w:val="18"/>
          <w:szCs w:val="18"/>
          <w:color w:val="29292A"/>
        </w:rPr>
        <w:t xml:space="preserve">Lima, Perú, </w:t>
      </w:r>
      <w:r>
        <w:rPr>
          <w:rFonts w:ascii="Arial" w:cs="Arial" w:eastAsia="Arial" w:hAnsi="Arial"/>
          <w:sz w:val="18"/>
          <w:szCs w:val="18"/>
          <w:color w:val="000000"/>
        </w:rPr>
        <w:t>does hereby appoint Dionisio Romero Paoletti, whose address is Calle Centenario 156, Las Laderas de Melgarejo, La Molina, Lima 12, Perú, as</w:t>
      </w:r>
      <w:r>
        <w:rPr>
          <w:rFonts w:ascii="Arial" w:cs="Arial" w:eastAsia="Arial" w:hAnsi="Arial"/>
          <w:sz w:val="18"/>
          <w:szCs w:val="18"/>
          <w:color w:val="29292A"/>
        </w:rPr>
        <w:t xml:space="preserve"> </w:t>
      </w:r>
      <w:r>
        <w:rPr>
          <w:rFonts w:ascii="Arial" w:cs="Arial" w:eastAsia="Arial" w:hAnsi="Arial"/>
          <w:sz w:val="18"/>
          <w:szCs w:val="18"/>
          <w:color w:val="000000"/>
        </w:rPr>
        <w:t>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Calixto Romero Guzmán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Calixto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78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The undersigned, Ana María Romero Paoletti de Sacchi, an individual whose address is </w:t>
      </w:r>
      <w:r>
        <w:rPr>
          <w:rFonts w:ascii="Arial" w:cs="Arial" w:eastAsia="Arial" w:hAnsi="Arial"/>
          <w:sz w:val="18"/>
          <w:szCs w:val="18"/>
          <w:color w:val="29292A"/>
        </w:rPr>
        <w:t>Calle Once 190, Rinconada Baja,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Ana María Romero Paoletti de Sacchi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Ana María Romero Paoletti de Sacchi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79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90"/>
        <w:spacing w:after="0" w:line="255" w:lineRule="auto"/>
        <w:rPr>
          <w:sz w:val="20"/>
          <w:szCs w:val="20"/>
          <w:color w:val="auto"/>
        </w:rPr>
      </w:pPr>
      <w:r>
        <w:rPr>
          <w:rFonts w:ascii="Arial" w:cs="Arial" w:eastAsia="Arial" w:hAnsi="Arial"/>
          <w:sz w:val="18"/>
          <w:szCs w:val="18"/>
          <w:color w:val="auto"/>
        </w:rPr>
        <w:t>The undersigned, Marianella Romero Guzmán, an individual whose address is Calle Estados Unidos 720, Jesus María, Lima-Perú</w:t>
      </w:r>
      <w:r>
        <w:rPr>
          <w:rFonts w:ascii="Arial" w:cs="Arial" w:eastAsia="Arial" w:hAnsi="Arial"/>
          <w:sz w:val="18"/>
          <w:szCs w:val="18"/>
          <w:color w:val="29292A"/>
        </w:rPr>
        <w:t>,</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Marianella Romero Guzmán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Marianella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80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undersigned, Dionisio Romero Seminario, an individual whose address is </w:t>
      </w:r>
      <w:r>
        <w:rPr>
          <w:rFonts w:ascii="Arial" w:cs="Arial" w:eastAsia="Arial" w:hAnsi="Arial"/>
          <w:sz w:val="18"/>
          <w:szCs w:val="18"/>
          <w:color w:val="29292A"/>
        </w:rPr>
        <w:t>Calle Centenario 156, Las Laderas de Melgarejo, La Molina,</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Dionisio Romero Seminario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81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undersigned, Rubyfield Investments Ltd., the principal business address of which is Seychelles,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RUBYFIELD INVESTMENTS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1" w:name="page82"/>
    <w:bookmarkEnd w:id="8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82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undersigned, Paolo Mario Sacchi Giurato, an individual whose address is </w:t>
      </w:r>
      <w:r>
        <w:rPr>
          <w:rFonts w:ascii="Arial" w:cs="Arial" w:eastAsia="Arial" w:hAnsi="Arial"/>
          <w:sz w:val="18"/>
          <w:szCs w:val="18"/>
          <w:color w:val="29292A"/>
        </w:rPr>
        <w:t>Calle Once 190, Rinconada Baja,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Paolo Mario Sacchi Giurato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83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Maray S.A., the principal business address of which is Av. Circunvalación Golf Los Inkas 134, Piso 11, Santiago de Surco, Lima, Perú,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TECH AMERICAN ENTERPRISES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3" w:name="page84"/>
    <w:bookmarkEnd w:id="8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84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Urigeler International S.A., the principal business address of which is Scotia Plaza No 18, Avenida Federico Boyd y Calle 51, pisos 9,1 0 y 11,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URIGELER INTERNACIONAL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lvl w:ilvl="1">
      <w:lvlJc w:val="left"/>
      <w:lvlText w:val="(%2)"/>
      <w:numFmt w:val="decimal"/>
      <w:start w:val="8"/>
    </w:lvl>
  </w:abstractNum>
  <w:abstractNum w:abstractNumId="3">
    <w:nsid w:val="2463B9EA"/>
    <w:multiLevelType w:val="hybridMultilevel"/>
    <w:lvl w:ilvl="0">
      <w:lvlJc w:val="left"/>
      <w:lvlText w:val="(%1)"/>
      <w:numFmt w:val="decimal"/>
      <w:start w:val="9"/>
    </w:lvl>
    <w:lvl w:ilvl="1">
      <w:lvlJc w:val="left"/>
      <w:lvlText w:val="%2"/>
      <w:numFmt w:val="decimal"/>
      <w:start w:val="1"/>
    </w:lvl>
  </w:abstractNum>
  <w:abstractNum w:abstractNumId="4">
    <w:nsid w:val="5E884ADC"/>
    <w:multiLevelType w:val="hybridMultilevel"/>
    <w:lvl w:ilvl="0">
      <w:lvlJc w:val="left"/>
      <w:lvlText w:val="%1"/>
      <w:numFmt w:val="decimal"/>
      <w:start w:val="1"/>
    </w:lvl>
    <w:lvl w:ilvl="1">
      <w:lvlJc w:val="left"/>
      <w:lvlText w:val="(%2)"/>
      <w:numFmt w:val="decimal"/>
      <w:start w:val="8"/>
    </w:lvl>
  </w:abstractNum>
  <w:abstractNum w:abstractNumId="5">
    <w:nsid w:val="51EAD36B"/>
    <w:multiLevelType w:val="hybridMultilevel"/>
    <w:lvl w:ilvl="0">
      <w:lvlJc w:val="left"/>
      <w:lvlText w:val="(%1)"/>
      <w:numFmt w:val="decimal"/>
      <w:start w:val="9"/>
    </w:lvl>
    <w:lvl w:ilvl="1">
      <w:lvlJc w:val="left"/>
      <w:lvlText w:val="%2"/>
      <w:numFmt w:val="decimal"/>
      <w:start w:val="1"/>
    </w:lvl>
  </w:abstractNum>
  <w:abstractNum w:abstractNumId="6">
    <w:nsid w:val="2D517796"/>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580BD78F"/>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153EA438"/>
    <w:multiLevelType w:val="hybridMultilevel"/>
    <w:lvl w:ilvl="0">
      <w:lvlJc w:val="left"/>
      <w:lvlText w:val="(%1)"/>
      <w:numFmt w:val="decimal"/>
      <w:start w:val="9"/>
    </w:lvl>
  </w:abstractNum>
  <w:abstractNum w:abstractNumId="9">
    <w:nsid w:val="3855585C"/>
    <w:multiLevelType w:val="hybridMultilevel"/>
    <w:lvl w:ilvl="0">
      <w:lvlJc w:val="left"/>
      <w:lvlText w:val="(%1)"/>
      <w:numFmt w:val="decimal"/>
      <w:start w:val="12"/>
    </w:lvl>
  </w:abstractNum>
  <w:abstractNum w:abstractNumId="10">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1">
    <w:nsid w:val="6A2342E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2">
    <w:nsid w:val="2A487CB0"/>
    <w:multiLevelType w:val="hybridMultilevel"/>
    <w:lvl w:ilvl="0">
      <w:lvlJc w:val="left"/>
      <w:lvlText w:val="%1"/>
      <w:numFmt w:val="decimal"/>
      <w:start w:val="1"/>
    </w:lvl>
    <w:lvl w:ilvl="1">
      <w:lvlJc w:val="left"/>
      <w:lvlText w:val="(%2)"/>
      <w:numFmt w:val="decimal"/>
      <w:start w:val="8"/>
    </w:lvl>
  </w:abstractNum>
  <w:abstractNum w:abstractNumId="13">
    <w:nsid w:val="1D4ED43B"/>
    <w:multiLevelType w:val="hybridMultilevel"/>
    <w:lvl w:ilvl="0">
      <w:lvlJc w:val="left"/>
      <w:lvlText w:val="(%1)"/>
      <w:numFmt w:val="decimal"/>
      <w:start w:val="9"/>
    </w:lvl>
    <w:lvl w:ilvl="1">
      <w:lvlJc w:val="left"/>
      <w:lvlText w:val="%2"/>
      <w:numFmt w:val="decimal"/>
      <w:start w:val="1"/>
    </w:lvl>
  </w:abstractNum>
  <w:abstractNum w:abstractNumId="14">
    <w:nsid w:val="725A06FB"/>
    <w:multiLevelType w:val="hybridMultilevel"/>
    <w:lvl w:ilvl="0">
      <w:lvlJc w:val="left"/>
      <w:lvlText w:val="%1"/>
      <w:numFmt w:val="decimal"/>
      <w:start w:val="1"/>
    </w:lvl>
    <w:lvl w:ilvl="1">
      <w:lvlJc w:val="left"/>
      <w:lvlText w:val="(%2)"/>
      <w:numFmt w:val="decimal"/>
      <w:start w:val="8"/>
    </w:lvl>
  </w:abstractNum>
  <w:abstractNum w:abstractNumId="15">
    <w:nsid w:val="2CD89A32"/>
    <w:multiLevelType w:val="hybridMultilevel"/>
    <w:lvl w:ilvl="0">
      <w:lvlJc w:val="left"/>
      <w:lvlText w:val="(%1)"/>
      <w:numFmt w:val="decimal"/>
      <w:start w:val="9"/>
    </w:lvl>
    <w:lvl w:ilvl="1">
      <w:lvlJc w:val="left"/>
      <w:lvlText w:val="%2"/>
      <w:numFmt w:val="decimal"/>
      <w:start w:val="1"/>
    </w:lvl>
  </w:abstractNum>
  <w:abstractNum w:abstractNumId="16">
    <w:nsid w:val="57E4CCAF"/>
    <w:multiLevelType w:val="hybridMultilevel"/>
    <w:lvl w:ilvl="0">
      <w:lvlJc w:val="left"/>
      <w:lvlText w:val="%1"/>
      <w:numFmt w:val="decimal"/>
      <w:start w:val="1"/>
    </w:lvl>
    <w:lvl w:ilvl="1">
      <w:lvlJc w:val="left"/>
      <w:lvlText w:val="(%2)"/>
      <w:numFmt w:val="decimal"/>
      <w:start w:val="8"/>
    </w:lvl>
  </w:abstractNum>
  <w:abstractNum w:abstractNumId="17">
    <w:nsid w:val="7A6D8D3C"/>
    <w:multiLevelType w:val="hybridMultilevel"/>
    <w:lvl w:ilvl="0">
      <w:lvlJc w:val="left"/>
      <w:lvlText w:val="(%1)"/>
      <w:numFmt w:val="decimal"/>
      <w:start w:val="9"/>
    </w:lvl>
    <w:lvl w:ilvl="1">
      <w:lvlJc w:val="left"/>
      <w:lvlText w:val="%2"/>
      <w:numFmt w:val="decimal"/>
      <w:start w:val="1"/>
    </w:lvl>
  </w:abstractNum>
  <w:abstractNum w:abstractNumId="18">
    <w:nsid w:val="4B588F54"/>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9">
    <w:nsid w:val="542289E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0">
    <w:nsid w:val="6DE91B18"/>
    <w:multiLevelType w:val="hybridMultilevel"/>
    <w:lvl w:ilvl="0">
      <w:lvlJc w:val="left"/>
      <w:lvlText w:val="%1"/>
      <w:numFmt w:val="decimal"/>
      <w:start w:val="1"/>
    </w:lvl>
    <w:lvl w:ilvl="1">
      <w:lvlJc w:val="left"/>
      <w:lvlText w:val="(%2)"/>
      <w:numFmt w:val="decimal"/>
      <w:start w:val="8"/>
    </w:lvl>
  </w:abstractNum>
  <w:abstractNum w:abstractNumId="21">
    <w:nsid w:val="38437FDB"/>
    <w:multiLevelType w:val="hybridMultilevel"/>
    <w:lvl w:ilvl="0">
      <w:lvlJc w:val="left"/>
      <w:lvlText w:val="(%1)"/>
      <w:numFmt w:val="decimal"/>
      <w:start w:val="9"/>
    </w:lvl>
    <w:lvl w:ilvl="1">
      <w:lvlJc w:val="left"/>
      <w:lvlText w:val="%2"/>
      <w:numFmt w:val="decimal"/>
      <w:start w:val="1"/>
    </w:lvl>
  </w:abstractNum>
  <w:abstractNum w:abstractNumId="22">
    <w:nsid w:val="7644A45C"/>
    <w:multiLevelType w:val="hybridMultilevel"/>
    <w:lvl w:ilvl="0">
      <w:lvlJc w:val="left"/>
      <w:lvlText w:val="%1"/>
      <w:numFmt w:val="decimal"/>
      <w:start w:val="1"/>
    </w:lvl>
    <w:lvl w:ilvl="1">
      <w:lvlJc w:val="left"/>
      <w:lvlText w:val="(%2)"/>
      <w:numFmt w:val="decimal"/>
      <w:start w:val="8"/>
    </w:lvl>
  </w:abstractNum>
  <w:abstractNum w:abstractNumId="23">
    <w:nsid w:val="32FFF902"/>
    <w:multiLevelType w:val="hybridMultilevel"/>
    <w:lvl w:ilvl="0">
      <w:lvlJc w:val="left"/>
      <w:lvlText w:val="(%1)"/>
      <w:numFmt w:val="decimal"/>
      <w:start w:val="9"/>
    </w:lvl>
    <w:lvl w:ilvl="1">
      <w:lvlJc w:val="left"/>
      <w:lvlText w:val="%2"/>
      <w:numFmt w:val="decimal"/>
      <w:start w:val="1"/>
    </w:lvl>
  </w:abstractNum>
  <w:abstractNum w:abstractNumId="24">
    <w:nsid w:val="684A481A"/>
    <w:multiLevelType w:val="hybridMultilevel"/>
    <w:lvl w:ilvl="0">
      <w:lvlJc w:val="left"/>
      <w:lvlText w:val="%1"/>
      <w:numFmt w:val="decimal"/>
      <w:start w:val="1"/>
    </w:lvl>
    <w:lvl w:ilvl="1">
      <w:lvlJc w:val="left"/>
      <w:lvlText w:val="(%2)"/>
      <w:numFmt w:val="decimal"/>
      <w:start w:val="8"/>
    </w:lvl>
  </w:abstractNum>
  <w:abstractNum w:abstractNumId="25">
    <w:nsid w:val="579478FE"/>
    <w:multiLevelType w:val="hybridMultilevel"/>
    <w:lvl w:ilvl="0">
      <w:lvlJc w:val="left"/>
      <w:lvlText w:val="(%1)"/>
      <w:numFmt w:val="decimal"/>
      <w:start w:val="9"/>
    </w:lvl>
    <w:lvl w:ilvl="1">
      <w:lvlJc w:val="left"/>
      <w:lvlText w:val="%2"/>
      <w:numFmt w:val="decimal"/>
      <w:start w:val="1"/>
    </w:lvl>
  </w:abstractNum>
  <w:abstractNum w:abstractNumId="26">
    <w:nsid w:val="749ABB43"/>
    <w:multiLevelType w:val="hybridMultilevel"/>
    <w:lvl w:ilvl="0">
      <w:lvlJc w:val="left"/>
      <w:lvlText w:val="%1"/>
      <w:numFmt w:val="decimal"/>
      <w:start w:val="1"/>
    </w:lvl>
    <w:lvl w:ilvl="1">
      <w:lvlJc w:val="left"/>
      <w:lvlText w:val="(%2)"/>
      <w:numFmt w:val="decimal"/>
      <w:start w:val="8"/>
    </w:lvl>
  </w:abstractNum>
  <w:abstractNum w:abstractNumId="27">
    <w:nsid w:val="3DC240FB"/>
    <w:multiLevelType w:val="hybridMultilevel"/>
    <w:lvl w:ilvl="0">
      <w:lvlJc w:val="left"/>
      <w:lvlText w:val="(%1)"/>
      <w:numFmt w:val="decimal"/>
      <w:start w:val="9"/>
    </w:lvl>
    <w:lvl w:ilvl="1">
      <w:lvlJc w:val="left"/>
      <w:lvlText w:val="%2"/>
      <w:numFmt w:val="decimal"/>
      <w:start w:val="1"/>
    </w:lvl>
  </w:abstractNum>
  <w:abstractNum w:abstractNumId="28">
    <w:nsid w:val="1BA026FA"/>
    <w:multiLevelType w:val="hybridMultilevel"/>
    <w:lvl w:ilvl="0">
      <w:lvlJc w:val="left"/>
      <w:lvlText w:val="%1"/>
      <w:numFmt w:val="decimal"/>
      <w:start w:val="1"/>
    </w:lvl>
    <w:lvl w:ilvl="1">
      <w:lvlJc w:val="left"/>
      <w:lvlText w:val="(%2)"/>
      <w:numFmt w:val="decimal"/>
      <w:start w:val="8"/>
    </w:lvl>
  </w:abstractNum>
  <w:abstractNum w:abstractNumId="29">
    <w:nsid w:val="79A1DEAA"/>
    <w:multiLevelType w:val="hybridMultilevel"/>
    <w:lvl w:ilvl="0">
      <w:lvlJc w:val="left"/>
      <w:lvlText w:val="(%1)"/>
      <w:numFmt w:val="decimal"/>
      <w:start w:val="9"/>
    </w:lvl>
    <w:lvl w:ilvl="1">
      <w:lvlJc w:val="left"/>
      <w:lvlText w:val="%2"/>
      <w:numFmt w:val="decimal"/>
      <w:start w:val="1"/>
    </w:lvl>
  </w:abstractNum>
  <w:abstractNum w:abstractNumId="30">
    <w:nsid w:val="75C6C33A"/>
    <w:multiLevelType w:val="hybridMultilevel"/>
    <w:lvl w:ilvl="0">
      <w:lvlJc w:val="left"/>
      <w:lvlText w:val="%1"/>
      <w:numFmt w:val="decimal"/>
      <w:start w:val="1"/>
    </w:lvl>
    <w:lvl w:ilvl="1">
      <w:lvlJc w:val="left"/>
      <w:lvlText w:val="(%2)"/>
      <w:numFmt w:val="decimal"/>
      <w:start w:val="8"/>
    </w:lvl>
  </w:abstractNum>
  <w:abstractNum w:abstractNumId="31">
    <w:nsid w:val="12E685FB"/>
    <w:multiLevelType w:val="hybridMultilevel"/>
    <w:lvl w:ilvl="0">
      <w:lvlJc w:val="left"/>
      <w:lvlText w:val="(%1)"/>
      <w:numFmt w:val="decimal"/>
      <w:start w:val="9"/>
    </w:lvl>
    <w:lvl w:ilvl="1">
      <w:lvlJc w:val="left"/>
      <w:lvlText w:val="%2"/>
      <w:numFmt w:val="decimal"/>
      <w:start w:val="1"/>
    </w:lvl>
  </w:abstractNum>
  <w:abstractNum w:abstractNumId="32">
    <w:nsid w:val="70C6A529"/>
    <w:multiLevelType w:val="hybridMultilevel"/>
    <w:lvl w:ilvl="0">
      <w:lvlJc w:val="left"/>
      <w:lvlText w:val="%1"/>
      <w:numFmt w:val="decimal"/>
      <w:start w:val="1"/>
    </w:lvl>
    <w:lvl w:ilvl="1">
      <w:lvlJc w:val="left"/>
      <w:lvlText w:val="(%2)"/>
      <w:numFmt w:val="decimal"/>
      <w:start w:val="8"/>
    </w:lvl>
  </w:abstractNum>
  <w:abstractNum w:abstractNumId="33">
    <w:nsid w:val="520EEDD1"/>
    <w:multiLevelType w:val="hybridMultilevel"/>
    <w:lvl w:ilvl="0">
      <w:lvlJc w:val="left"/>
      <w:lvlText w:val="(%1)"/>
      <w:numFmt w:val="decimal"/>
      <w:start w:val="9"/>
    </w:lvl>
    <w:lvl w:ilvl="1">
      <w:lvlJc w:val="left"/>
      <w:lvlText w:val="%2"/>
      <w:numFmt w:val="decimal"/>
      <w:start w:val="1"/>
    </w:lvl>
  </w:abstractNum>
  <w:abstractNum w:abstractNumId="34">
    <w:nsid w:val="374A3FE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5">
    <w:nsid w:val="4F4EF005"/>
    <w:multiLevelType w:val="hybridMultilevel"/>
    <w:lvl w:ilvl="0">
      <w:lvlJc w:val="left"/>
      <w:lvlText w:val="(%1)"/>
      <w:numFmt w:val="decimal"/>
      <w:start w:val="9"/>
    </w:lvl>
  </w:abstractNum>
  <w:abstractNum w:abstractNumId="36">
    <w:nsid w:val="23F9C13C"/>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37">
    <w:nsid w:val="649BB77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38">
    <w:nsid w:val="275AC794"/>
    <w:multiLevelType w:val="hybridMultilevel"/>
    <w:lvl w:ilvl="0">
      <w:lvlJc w:val="left"/>
      <w:lvlText w:val="%1"/>
      <w:numFmt w:val="decimal"/>
      <w:start w:val="1"/>
    </w:lvl>
    <w:lvl w:ilvl="1">
      <w:lvlJc w:val="left"/>
      <w:lvlText w:val="(%2)"/>
      <w:numFmt w:val="decimal"/>
      <w:start w:val="8"/>
    </w:lvl>
  </w:abstractNum>
  <w:abstractNum w:abstractNumId="39">
    <w:nsid w:val="39386575"/>
    <w:multiLevelType w:val="hybridMultilevel"/>
    <w:lvl w:ilvl="0">
      <w:lvlJc w:val="left"/>
      <w:lvlText w:val="(%1)"/>
      <w:numFmt w:val="decimal"/>
      <w:start w:val="9"/>
    </w:lvl>
    <w:lvl w:ilvl="1">
      <w:lvlJc w:val="left"/>
      <w:lvlText w:val="%2"/>
      <w:numFmt w:val="decimal"/>
      <w:start w:val="1"/>
    </w:lvl>
  </w:abstractNum>
  <w:abstractNum w:abstractNumId="40">
    <w:nsid w:val="1CF10FD8"/>
    <w:multiLevelType w:val="hybridMultilevel"/>
    <w:lvl w:ilvl="0">
      <w:lvlJc w:val="left"/>
      <w:lvlText w:val="%1"/>
      <w:numFmt w:val="decimal"/>
      <w:start w:val="1"/>
    </w:lvl>
    <w:lvl w:ilvl="1">
      <w:lvlJc w:val="left"/>
      <w:lvlText w:val="(%2)"/>
      <w:numFmt w:val="decimal"/>
      <w:start w:val="8"/>
    </w:lvl>
  </w:abstractNum>
  <w:abstractNum w:abstractNumId="41">
    <w:nsid w:val="180115BE"/>
    <w:multiLevelType w:val="hybridMultilevel"/>
    <w:lvl w:ilvl="0">
      <w:lvlJc w:val="left"/>
      <w:lvlText w:val="(%1)"/>
      <w:numFmt w:val="decimal"/>
      <w:start w:val="9"/>
    </w:lvl>
    <w:lvl w:ilvl="1">
      <w:lvlJc w:val="left"/>
      <w:lvlText w:val="%2"/>
      <w:numFmt w:val="decimal"/>
      <w:start w:val="1"/>
    </w:lvl>
  </w:abstractNum>
  <w:abstractNum w:abstractNumId="42">
    <w:nsid w:val="235BA861"/>
    <w:multiLevelType w:val="hybridMultilevel"/>
    <w:lvl w:ilvl="0">
      <w:lvlJc w:val="left"/>
      <w:lvlText w:val="%1"/>
      <w:numFmt w:val="decimal"/>
      <w:start w:val="1"/>
    </w:lvl>
    <w:lvl w:ilvl="1">
      <w:lvlJc w:val="left"/>
      <w:lvlText w:val="(%2)"/>
      <w:numFmt w:val="decimal"/>
      <w:start w:val="8"/>
    </w:lvl>
  </w:abstractNum>
  <w:abstractNum w:abstractNumId="43">
    <w:nsid w:val="47398C89"/>
    <w:multiLevelType w:val="hybridMultilevel"/>
    <w:lvl w:ilvl="0">
      <w:lvlJc w:val="left"/>
      <w:lvlText w:val="(%1)"/>
      <w:numFmt w:val="decimal"/>
      <w:start w:val="9"/>
    </w:lvl>
    <w:lvl w:ilvl="1">
      <w:lvlJc w:val="left"/>
      <w:lvlText w:val="%2"/>
      <w:numFmt w:val="decimal"/>
      <w:start w:val="1"/>
    </w:lvl>
  </w:abstractNum>
  <w:abstractNum w:abstractNumId="44">
    <w:nsid w:val="354FE9F9"/>
    <w:multiLevelType w:val="hybridMultilevel"/>
    <w:lvl w:ilvl="0">
      <w:lvlJc w:val="left"/>
      <w:lvlText w:val="%1"/>
      <w:numFmt w:val="decimal"/>
      <w:start w:val="1"/>
    </w:lvl>
    <w:lvl w:ilvl="1">
      <w:lvlJc w:val="left"/>
      <w:lvlText w:val="(%2)"/>
      <w:numFmt w:val="decimal"/>
      <w:start w:val="8"/>
    </w:lvl>
  </w:abstractNum>
  <w:abstractNum w:abstractNumId="45">
    <w:nsid w:val="15B5AF5C"/>
    <w:multiLevelType w:val="hybridMultilevel"/>
    <w:lvl w:ilvl="0">
      <w:lvlJc w:val="left"/>
      <w:lvlText w:val="(%1)"/>
      <w:numFmt w:val="decimal"/>
      <w:start w:val="9"/>
    </w:lvl>
    <w:lvl w:ilvl="1">
      <w:lvlJc w:val="left"/>
      <w:lvlText w:val="%2"/>
      <w:numFmt w:val="decimal"/>
      <w:start w:val="1"/>
    </w:lvl>
  </w:abstractNum>
  <w:abstractNum w:abstractNumId="46">
    <w:nsid w:val="741226BB"/>
    <w:multiLevelType w:val="hybridMultilevel"/>
    <w:lvl w:ilvl="0">
      <w:lvlJc w:val="left"/>
      <w:lvlText w:val="%1"/>
      <w:numFmt w:val="decimal"/>
      <w:start w:val="1"/>
    </w:lvl>
    <w:lvl w:ilvl="1">
      <w:lvlJc w:val="left"/>
      <w:lvlText w:val="(%2)"/>
      <w:numFmt w:val="decimal"/>
      <w:start w:val="8"/>
    </w:lvl>
  </w:abstractNum>
  <w:abstractNum w:abstractNumId="47">
    <w:nsid w:val="D34B6A8"/>
    <w:multiLevelType w:val="hybridMultilevel"/>
    <w:lvl w:ilvl="0">
      <w:lvlJc w:val="left"/>
      <w:lvlText w:val="(%1)"/>
      <w:numFmt w:val="decimal"/>
      <w:start w:val="9"/>
    </w:lvl>
    <w:lvl w:ilvl="1">
      <w:lvlJc w:val="left"/>
      <w:lvlText w:val="%2"/>
      <w:numFmt w:val="decimal"/>
      <w:start w:val="1"/>
    </w:lvl>
  </w:abstractNum>
  <w:abstractNum w:abstractNumId="48">
    <w:nsid w:val="10233C99"/>
    <w:multiLevelType w:val="hybridMultilevel"/>
    <w:lvl w:ilvl="0">
      <w:lvlJc w:val="left"/>
      <w:lvlText w:val="%1"/>
      <w:numFmt w:val="decimal"/>
      <w:start w:val="1"/>
    </w:lvl>
    <w:lvl w:ilvl="1">
      <w:lvlJc w:val="left"/>
      <w:lvlText w:val="(%2)"/>
      <w:numFmt w:val="decimal"/>
      <w:start w:val="8"/>
    </w:lvl>
  </w:abstractNum>
  <w:abstractNum w:abstractNumId="49">
    <w:nsid w:val="3F6AB60F"/>
    <w:multiLevelType w:val="hybridMultilevel"/>
    <w:lvl w:ilvl="0">
      <w:lvlJc w:val="left"/>
      <w:lvlText w:val="(%1)"/>
      <w:numFmt w:val="decimal"/>
      <w:start w:val="9"/>
    </w:lvl>
    <w:lvl w:ilvl="1">
      <w:lvlJc w:val="left"/>
      <w:lvlText w:val="%2"/>
      <w:numFmt w:val="decimal"/>
      <w:start w:val="1"/>
    </w:lvl>
  </w:abstractNum>
  <w:abstractNum w:abstractNumId="50">
    <w:nsid w:val="6157409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1">
    <w:nsid w:val="7E0C57B1"/>
    <w:multiLevelType w:val="hybridMultilevel"/>
    <w:lvl w:ilvl="0">
      <w:lvlJc w:val="left"/>
      <w:lvlText w:val="%1"/>
      <w:numFmt w:val="decimal"/>
      <w:start w:val="1"/>
    </w:lvl>
    <w:lvl w:ilvl="1">
      <w:lvlJc w:val="left"/>
      <w:lvlText w:val="(%2)"/>
      <w:numFmt w:val="decimal"/>
      <w:start w:val="8"/>
    </w:lvl>
  </w:abstractNum>
  <w:abstractNum w:abstractNumId="52">
    <w:nsid w:val="77AE35EB"/>
    <w:multiLevelType w:val="hybridMultilevel"/>
    <w:lvl w:ilvl="0">
      <w:lvlJc w:val="left"/>
      <w:lvlText w:val="(%1)"/>
      <w:numFmt w:val="decimal"/>
      <w:start w:val="9"/>
    </w:lvl>
    <w:lvl w:ilvl="1">
      <w:lvlJc w:val="left"/>
      <w:lvlText w:val="%2"/>
      <w:numFmt w:val="decimal"/>
      <w:start w:val="1"/>
    </w:lvl>
  </w:abstractNum>
  <w:abstractNum w:abstractNumId="53">
    <w:nsid w:val="579BE4F1"/>
    <w:multiLevelType w:val="hybridMultilevel"/>
    <w:lvl w:ilvl="0">
      <w:lvlJc w:val="left"/>
      <w:lvlText w:val="%1"/>
      <w:numFmt w:val="decimal"/>
      <w:start w:val="1"/>
    </w:lvl>
    <w:lvl w:ilvl="1">
      <w:lvlJc w:val="left"/>
      <w:lvlText w:val="(%2)"/>
      <w:numFmt w:val="decimal"/>
      <w:start w:val="8"/>
    </w:lvl>
  </w:abstractNum>
  <w:abstractNum w:abstractNumId="54">
    <w:nsid w:val="310C50B3"/>
    <w:multiLevelType w:val="hybridMultilevel"/>
    <w:lvl w:ilvl="0">
      <w:lvlJc w:val="left"/>
      <w:lvlText w:val="(%1)"/>
      <w:numFmt w:val="decimal"/>
      <w:start w:val="9"/>
    </w:lvl>
    <w:lvl w:ilvl="1">
      <w:lvlJc w:val="left"/>
      <w:lvlText w:val="%2"/>
      <w:numFmt w:val="decimal"/>
      <w:start w:val="1"/>
    </w:lvl>
  </w:abstractNum>
  <w:abstractNum w:abstractNumId="55">
    <w:nsid w:val="5FF87E05"/>
    <w:multiLevelType w:val="hybridMultilevel"/>
    <w:lvl w:ilvl="0">
      <w:lvlJc w:val="left"/>
      <w:lvlText w:val="%1"/>
      <w:numFmt w:val="decimal"/>
      <w:start w:val="1"/>
    </w:lvl>
    <w:lvl w:ilvl="1">
      <w:lvlJc w:val="left"/>
      <w:lvlText w:val="(%2)"/>
      <w:numFmt w:val="decimal"/>
      <w:start w:val="8"/>
    </w:lvl>
  </w:abstractNum>
  <w:abstractNum w:abstractNumId="56">
    <w:nsid w:val="2F305DEF"/>
    <w:multiLevelType w:val="hybridMultilevel"/>
    <w:lvl w:ilvl="0">
      <w:lvlJc w:val="left"/>
      <w:lvlText w:val="(%1)"/>
      <w:numFmt w:val="decimal"/>
      <w:start w:val="9"/>
    </w:lvl>
    <w:lvl w:ilvl="1">
      <w:lvlJc w:val="left"/>
      <w:lvlText w:val="%2"/>
      <w:numFmt w:val="decimal"/>
      <w:start w:val="1"/>
    </w:lvl>
  </w:abstractNum>
  <w:abstractNum w:abstractNumId="57">
    <w:nsid w:val="25A70BF7"/>
    <w:multiLevelType w:val="hybridMultilevel"/>
    <w:lvl w:ilvl="0">
      <w:lvlJc w:val="left"/>
      <w:lvlText w:val="%1"/>
      <w:numFmt w:val="decimal"/>
      <w:start w:val="1"/>
    </w:lvl>
    <w:lvl w:ilvl="1">
      <w:lvlJc w:val="left"/>
      <w:lvlText w:val="(%2)"/>
      <w:numFmt w:val="decimal"/>
      <w:start w:val="8"/>
    </w:lvl>
  </w:abstractNum>
  <w:abstractNum w:abstractNumId="58">
    <w:nsid w:val="1DBABF00"/>
    <w:multiLevelType w:val="hybridMultilevel"/>
    <w:lvl w:ilvl="0">
      <w:lvlJc w:val="left"/>
      <w:lvlText w:val="(%1)"/>
      <w:numFmt w:val="decimal"/>
      <w:start w:val="9"/>
    </w:lvl>
    <w:lvl w:ilvl="1">
      <w:lvlJc w:val="left"/>
      <w:lvlText w:val="%2"/>
      <w:numFmt w:val="decimal"/>
      <w:start w:val="1"/>
    </w:lvl>
  </w:abstractNum>
  <w:abstractNum w:abstractNumId="59">
    <w:nsid w:val="4AD084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0">
    <w:nsid w:val="1F48EAA1"/>
    <w:multiLevelType w:val="hybridMultilevel"/>
    <w:lvl w:ilvl="0">
      <w:lvlJc w:val="left"/>
      <w:lvlText w:val="(%1)"/>
      <w:numFmt w:val="decimal"/>
      <w:start w:val="9"/>
    </w:lvl>
  </w:abstractNum>
  <w:abstractNum w:abstractNumId="61">
    <w:nsid w:val="1381823A"/>
    <w:multiLevelType w:val="hybridMultilevel"/>
    <w:lvl w:ilvl="0">
      <w:lvlJc w:val="left"/>
      <w:lvlText w:val="(%1)"/>
      <w:numFmt w:val="decimal"/>
      <w:start w:val="12"/>
    </w:lvl>
  </w:abstractNum>
  <w:abstractNum w:abstractNumId="62">
    <w:nsid w:val="5DB70AE5"/>
    <w:multiLevelType w:val="hybridMultilevel"/>
    <w:lvl w:ilvl="0">
      <w:lvlJc w:val="left"/>
      <w:lvlText w:val="%1"/>
      <w:numFmt w:val="decimal"/>
      <w:start w:val="1"/>
    </w:lvl>
    <w:lvl w:ilvl="1">
      <w:lvlJc w:val="left"/>
      <w:lvlText w:val="(%2)"/>
      <w:numFmt w:val="decimal"/>
      <w:start w:val="8"/>
    </w:lvl>
  </w:abstractNum>
  <w:abstractNum w:abstractNumId="63">
    <w:nsid w:val="100F8FCA"/>
    <w:multiLevelType w:val="hybridMultilevel"/>
    <w:lvl w:ilvl="0">
      <w:lvlJc w:val="left"/>
      <w:lvlText w:val="(%1)"/>
      <w:numFmt w:val="decimal"/>
      <w:start w:val="9"/>
    </w:lvl>
    <w:lvl w:ilvl="1">
      <w:lvlJc w:val="left"/>
      <w:lvlText w:val="%2"/>
      <w:numFmt w:val="decimal"/>
      <w:start w:val="1"/>
    </w:lvl>
  </w:abstractNum>
  <w:abstractNum w:abstractNumId="64">
    <w:nsid w:val="6590700B"/>
    <w:multiLevelType w:val="hybridMultilevel"/>
    <w:lvl w:ilvl="0">
      <w:lvlJc w:val="left"/>
      <w:lvlText w:val="%1"/>
      <w:numFmt w:val="decimal"/>
      <w:start w:val="1"/>
    </w:lvl>
    <w:lvl w:ilvl="1">
      <w:lvlJc w:val="left"/>
      <w:lvlText w:val="(%2)"/>
      <w:numFmt w:val="decimal"/>
      <w:start w:val="8"/>
    </w:lvl>
  </w:abstractNum>
  <w:abstractNum w:abstractNumId="65">
    <w:nsid w:val="15014ACB"/>
    <w:multiLevelType w:val="hybridMultilevel"/>
    <w:lvl w:ilvl="0">
      <w:lvlJc w:val="left"/>
      <w:lvlText w:val="(%1)"/>
      <w:numFmt w:val="decimal"/>
      <w:start w:val="9"/>
    </w:lvl>
    <w:lvl w:ilvl="1">
      <w:lvlJc w:val="left"/>
      <w:lvlText w:val="%2"/>
      <w:numFmt w:val="decimal"/>
      <w:start w:val="1"/>
    </w:lvl>
  </w:abstractNum>
  <w:abstractNum w:abstractNumId="66">
    <w:nsid w:val="5F5E7FD0"/>
    <w:multiLevelType w:val="hybridMultilevel"/>
    <w:lvl w:ilvl="0">
      <w:lvlJc w:val="left"/>
      <w:lvlText w:val="%1"/>
      <w:numFmt w:val="decimal"/>
      <w:start w:val="1"/>
    </w:lvl>
    <w:lvl w:ilvl="1">
      <w:lvlJc w:val="left"/>
      <w:lvlText w:val="(%2)"/>
      <w:numFmt w:val="decimal"/>
      <w:start w:val="8"/>
    </w:lvl>
  </w:abstractNum>
  <w:abstractNum w:abstractNumId="67">
    <w:nsid w:val="98A3148"/>
    <w:multiLevelType w:val="hybridMultilevel"/>
    <w:lvl w:ilvl="0">
      <w:lvlJc w:val="left"/>
      <w:lvlText w:val="(%1)"/>
      <w:numFmt w:val="decimal"/>
      <w:start w:val="9"/>
    </w:lvl>
    <w:lvl w:ilvl="1">
      <w:lvlJc w:val="left"/>
      <w:lvlText w:val="%2"/>
      <w:numFmt w:val="decimal"/>
      <w:start w:val="1"/>
    </w:lvl>
  </w:abstractNum>
  <w:abstractNum w:abstractNumId="68">
    <w:nsid w:val="799D0247"/>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69">
    <w:nsid w:val="6B94764"/>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0">
    <w:nsid w:val="42C296BD"/>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1">
    <w:nsid w:val="168E121F"/>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2">
    <w:nsid w:val="1EBA5D2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2020-02-11T16:18:26Z</dcterms:created>
  <dcterms:modified xsi:type="dcterms:W3CDTF">2020-02-11T16:18:26Z</dcterms:modified>
</cp:coreProperties>
</file>