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August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6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214630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231775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548640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8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5835015</wp:posOffset>
            </wp:positionH>
            <wp:positionV relativeFrom="page">
              <wp:posOffset>448945</wp:posOffset>
            </wp:positionV>
            <wp:extent cx="156908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69085" cy="462915"/>
                    </a:xfrm>
                    <a:prstGeom prst="rect">
                      <a:avLst/>
                    </a:prstGeom>
                    <a:noFill/>
                  </pic:spPr>
                </pic:pic>
              </a:graphicData>
            </a:graphic>
          </wp:anchor>
        </w:drawing>
        <w:t>August 7</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 accordance with article 28 of the Capital Markets Law approved by Law N° 093-2002-EF and SMV Resolution for Material Events and Reserved Information and Other Communications N° 005-2014-SMV-01, and as per the Material Event published on March 31</w:t>
      </w:r>
      <w:r>
        <w:rPr>
          <w:rFonts w:ascii="Arial" w:cs="Arial" w:eastAsia="Arial" w:hAnsi="Arial"/>
          <w:sz w:val="30"/>
          <w:szCs w:val="30"/>
          <w:color w:val="auto"/>
          <w:vertAlign w:val="superscript"/>
        </w:rPr>
        <w:t>st</w:t>
      </w:r>
      <w:r>
        <w:rPr>
          <w:rFonts w:ascii="Arial" w:cs="Arial" w:eastAsia="Arial" w:hAnsi="Arial"/>
          <w:sz w:val="18"/>
          <w:szCs w:val="18"/>
          <w:color w:val="auto"/>
        </w:rPr>
        <w:t>, 2017, Credicorp’s management provides up-to-date information about the effects of El Nino phenomenon (“FEN” by its Spanish initials).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assessment of the FEN’s effect on Credicorp’s businesses indicates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Impact on Grupo Pacífico (PGA)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impact on the insurance business was according to the initial estimates provided in the press release, and it amounted to approximately S/ 22 million. This was due to caps on maximum losses included in the reinsurance and catastrophic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Impact on BCP and Mibanco</w:t>
      </w:r>
    </w:p>
    <w:p>
      <w:pPr>
        <w:spacing w:after="0" w:line="229"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Wholesale Banking</w:t>
      </w:r>
    </w:p>
    <w:p>
      <w:pPr>
        <w:spacing w:after="0" w:line="23" w:lineRule="exact"/>
        <w:rPr>
          <w:rFonts w:ascii="Arial" w:cs="Arial" w:eastAsia="Arial" w:hAnsi="Arial"/>
          <w:sz w:val="18"/>
          <w:szCs w:val="18"/>
          <w:color w:val="auto"/>
        </w:rPr>
      </w:pPr>
    </w:p>
    <w:p>
      <w:pPr>
        <w:ind w:left="660" w:hanging="328"/>
        <w:spacing w:after="0" w:line="290" w:lineRule="auto"/>
        <w:tabs>
          <w:tab w:leader="none" w:pos="660" w:val="left"/>
        </w:tabs>
        <w:numPr>
          <w:ilvl w:val="1"/>
          <w:numId w:val="1"/>
        </w:numPr>
        <w:rPr>
          <w:rFonts w:ascii="Arial" w:cs="Arial" w:eastAsia="Arial" w:hAnsi="Arial"/>
          <w:sz w:val="17"/>
          <w:szCs w:val="17"/>
          <w:color w:val="auto"/>
        </w:rPr>
      </w:pPr>
      <w:r>
        <w:rPr>
          <w:rFonts w:ascii="Arial" w:cs="Arial" w:eastAsia="Arial" w:hAnsi="Arial"/>
          <w:sz w:val="17"/>
          <w:szCs w:val="17"/>
          <w:color w:val="auto"/>
        </w:rPr>
        <w:t>After a case-by-case evaluation of Wholesale Banking’s clients in the areas affected by FEN, the results showed that the impact on them was mild and even below the initial estimates. In this context, the risk quality of the Wholesale Banking’s loan book was not affected.</w:t>
      </w:r>
    </w:p>
    <w:p>
      <w:pPr>
        <w:spacing w:after="0" w:line="161" w:lineRule="exact"/>
        <w:rPr>
          <w:rFonts w:ascii="Arial" w:cs="Arial" w:eastAsia="Arial" w:hAnsi="Arial"/>
          <w:sz w:val="17"/>
          <w:szCs w:val="17"/>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Furthermore, it is important to highlight that the FEN’s impact has not required us to downgrade the risk rating of any client.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Retail Banking and Mibanco</w:t>
      </w:r>
    </w:p>
    <w:p>
      <w:pPr>
        <w:spacing w:after="0" w:line="23" w:lineRule="exact"/>
        <w:rPr>
          <w:rFonts w:ascii="Arial" w:cs="Arial" w:eastAsia="Arial" w:hAnsi="Arial"/>
          <w:sz w:val="18"/>
          <w:szCs w:val="18"/>
          <w:color w:val="auto"/>
        </w:rPr>
      </w:pPr>
    </w:p>
    <w:p>
      <w:pPr>
        <w:jc w:val="both"/>
        <w:ind w:left="660" w:hanging="328"/>
        <w:spacing w:after="0" w:line="199" w:lineRule="auto"/>
        <w:tabs>
          <w:tab w:leader="none" w:pos="660" w:val="left"/>
        </w:tabs>
        <w:numPr>
          <w:ilvl w:val="1"/>
          <w:numId w:val="1"/>
        </w:numPr>
        <w:rPr>
          <w:rFonts w:ascii="Arial" w:cs="Arial" w:eastAsia="Arial" w:hAnsi="Arial"/>
          <w:sz w:val="36"/>
          <w:szCs w:val="36"/>
          <w:color w:val="auto"/>
          <w:vertAlign w:val="superscript"/>
        </w:rPr>
      </w:pPr>
      <w:r>
        <w:rPr>
          <w:rFonts w:ascii="Arial" w:cs="Arial" w:eastAsia="Arial" w:hAnsi="Arial"/>
          <w:sz w:val="18"/>
          <w:szCs w:val="18"/>
          <w:color w:val="auto"/>
        </w:rPr>
        <w:t>On March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2017, Credicorp provided preliminary figures indicating that the loan portfolio in the regions hit by FEN represented approximately S/ 3,900 million, of which S/ 3,500 million were held by BCP and S/ 400 million were held by Mibanco. Nonetheless, after offering SKIPs to clients affected by FEN, the impact was reduced to a portfolio of SKIP loans of approximately S/ 1,490 million.</w:t>
      </w:r>
    </w:p>
    <w:p>
      <w:pPr>
        <w:spacing w:after="0" w:line="204" w:lineRule="exact"/>
        <w:rPr>
          <w:rFonts w:ascii="Arial" w:cs="Arial" w:eastAsia="Arial" w:hAnsi="Arial"/>
          <w:sz w:val="36"/>
          <w:szCs w:val="36"/>
          <w:color w:val="auto"/>
          <w:vertAlign w:val="superscript"/>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Nowadays, BCP and Mibanco are focused on this portfolio of SKIP loans. Relationship Managers are contacting clients to understand their current situation and to define if it is necessary additional rescheduling of the debt after the SKIP period expires.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Considering that the portfolio of SKIP loans has just started to expire, it is prudent to wait until the vast majority of loans reached maturity to assess the final impact of FEN.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With regards to loan origination in the areas affected by FEN, we have resumed our activities under a prudent risk policy, and we will return gradually to our business-as-usual mode.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it is important to mention that, as we have done in the last quarters, Credicorp will continue to inform about the impact of FEN in the Quarterly Earnings Releases, as long as it is relevant.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/s/ Guillermo Morales</w:t>
            </w:r>
          </w:p>
        </w:tc>
        <w:tc>
          <w:tcPr>
            <w:tcW w:w="6880" w:type="dxa"/>
            <w:vAlign w:val="bottom"/>
            <w:gridSpan w:val="3"/>
          </w:tcPr>
          <w:p>
            <w:pPr>
              <w:ind w:left="2900"/>
              <w:spacing w:after="0"/>
              <w:rPr>
                <w:sz w:val="20"/>
                <w:szCs w:val="20"/>
                <w:color w:val="auto"/>
              </w:rPr>
            </w:pPr>
            <w:r>
              <w:rPr>
                <w:rFonts w:ascii="Arial" w:cs="Arial" w:eastAsia="Arial" w:hAnsi="Arial"/>
                <w:sz w:val="18"/>
                <w:szCs w:val="18"/>
                <w:color w:val="auto"/>
              </w:rPr>
              <w:t>/s/ Miriam Böttger</w:t>
            </w:r>
          </w:p>
        </w:tc>
      </w:tr>
      <w:tr>
        <w:trPr>
          <w:trHeight w:val="20"/>
        </w:trPr>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rPr>
              <w:t>Legal Representative</w:t>
            </w:r>
          </w:p>
        </w:tc>
        <w:tc>
          <w:tcPr>
            <w:tcW w:w="6880" w:type="dxa"/>
            <w:vAlign w:val="bottom"/>
            <w:gridSpan w:val="3"/>
          </w:tcPr>
          <w:p>
            <w:pPr>
              <w:ind w:left="2900"/>
              <w:spacing w:after="0"/>
              <w:rPr>
                <w:sz w:val="20"/>
                <w:szCs w:val="20"/>
                <w:color w:val="auto"/>
              </w:rPr>
            </w:pPr>
            <w:r>
              <w:rPr>
                <w:rFonts w:ascii="Arial" w:cs="Arial" w:eastAsia="Arial" w:hAnsi="Arial"/>
                <w:sz w:val="18"/>
                <w:szCs w:val="18"/>
                <w:color w:val="auto"/>
              </w:rPr>
              <w:t>Stock Market Representative</w:t>
            </w: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Credicorp Ltd.</w:t>
            </w:r>
          </w:p>
        </w:tc>
        <w:tc>
          <w:tcPr>
            <w:tcW w:w="6880" w:type="dxa"/>
            <w:vAlign w:val="bottom"/>
            <w:gridSpan w:val="3"/>
          </w:tcPr>
          <w:p>
            <w:pPr>
              <w:ind w:left="2900"/>
              <w:spacing w:after="0"/>
              <w:rPr>
                <w:sz w:val="20"/>
                <w:szCs w:val="20"/>
                <w:color w:val="auto"/>
              </w:rPr>
            </w:pPr>
            <w:r>
              <w:rPr>
                <w:rFonts w:ascii="Arial" w:cs="Arial" w:eastAsia="Arial" w:hAnsi="Arial"/>
                <w:sz w:val="18"/>
                <w:szCs w:val="18"/>
                <w:color w:val="auto"/>
              </w:rPr>
              <w:t>Credicorp Ltd.</w:t>
            </w:r>
          </w:p>
        </w:tc>
      </w:tr>
      <w:tr>
        <w:trPr>
          <w:trHeight w:val="459"/>
        </w:trPr>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7</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(Registrant)</w:t>
            </w:r>
          </w:p>
        </w:tc>
        <w:tc>
          <w:tcPr>
            <w:tcW w:w="3980" w:type="dxa"/>
            <w:vAlign w:val="bottom"/>
          </w:tcPr>
          <w:p>
            <w:pPr>
              <w:spacing w:after="0"/>
              <w:rPr>
                <w:sz w:val="20"/>
                <w:szCs w:val="20"/>
                <w:color w:val="auto"/>
              </w:rPr>
            </w:pPr>
          </w:p>
        </w:tc>
      </w:tr>
      <w:tr>
        <w:trPr>
          <w:trHeight w:val="634"/>
        </w:trPr>
        <w:tc>
          <w:tcPr>
            <w:tcW w:w="7440" w:type="dxa"/>
            <w:vAlign w:val="bottom"/>
            <w:gridSpan w:val="3"/>
          </w:tcPr>
          <w:p>
            <w:pPr>
              <w:spacing w:after="0"/>
              <w:rPr>
                <w:sz w:val="20"/>
                <w:szCs w:val="20"/>
                <w:color w:val="auto"/>
              </w:rPr>
            </w:pPr>
            <w:r>
              <w:rPr>
                <w:rFonts w:ascii="Arial" w:cs="Arial" w:eastAsia="Arial" w:hAnsi="Arial"/>
                <w:sz w:val="18"/>
                <w:szCs w:val="18"/>
                <w:color w:val="auto"/>
              </w:rPr>
              <w:t>By: /s/ Guillermo Morales</w:t>
            </w:r>
          </w:p>
        </w:tc>
        <w:tc>
          <w:tcPr>
            <w:tcW w:w="3980" w:type="dxa"/>
            <w:vAlign w:val="bottom"/>
          </w:tcPr>
          <w:p>
            <w:pPr>
              <w:spacing w:after="0"/>
              <w:rPr>
                <w:sz w:val="20"/>
                <w:szCs w:val="20"/>
                <w:color w:val="auto"/>
              </w:rPr>
            </w:pPr>
            <w:r>
              <w:rPr>
                <w:rFonts w:ascii="Arial" w:cs="Arial" w:eastAsia="Arial" w:hAnsi="Arial"/>
                <w:sz w:val="18"/>
                <w:szCs w:val="18"/>
                <w:color w:val="auto"/>
              </w:rPr>
              <w:t>By: /s/ Miriam Böttger</w:t>
            </w:r>
          </w:p>
        </w:tc>
      </w:tr>
      <w:tr>
        <w:trPr>
          <w:trHeight w:val="191"/>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Guillermo Morales</w:t>
            </w:r>
          </w:p>
        </w:tc>
        <w:tc>
          <w:tcPr>
            <w:tcW w:w="344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Miriam Böttger</w:t>
            </w:r>
          </w:p>
        </w:tc>
      </w:tr>
      <w:tr>
        <w:trPr>
          <w:trHeight w:val="234"/>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Authorized Representative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Authorized Representative</w:t>
            </w:r>
          </w:p>
        </w:tc>
      </w:tr>
      <w:tr>
        <w:trPr>
          <w:trHeight w:val="459"/>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2019-12-06T02:56:22Z</dcterms:created>
  <dcterms:modified xsi:type="dcterms:W3CDTF">2019-12-06T02:56:22Z</dcterms:modified>
</cp:coreProperties>
</file>